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8A6A" w14:textId="77777777" w:rsidR="000B3A4A" w:rsidRPr="00C51385" w:rsidRDefault="000B3A4A" w:rsidP="000B3A4A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C51385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Legislation Act 2019</w:t>
      </w:r>
    </w:p>
    <w:p w14:paraId="4B7FD9C7" w14:textId="77777777" w:rsidR="000B3A4A" w:rsidRPr="00C51385" w:rsidRDefault="000B3A4A" w:rsidP="000B3A4A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C51385">
        <w:rPr>
          <w:rFonts w:ascii="Helvetica" w:eastAsia="Times New Roman" w:hAnsi="Helvetica" w:cs="Helvetica"/>
          <w:color w:val="333333"/>
          <w:szCs w:val="20"/>
          <w:lang w:eastAsia="en-NZ"/>
        </w:rPr>
        <w:t>Notice is given of the making of the following instrument by the Minister for Social Development and Employment.</w:t>
      </w:r>
    </w:p>
    <w:p w14:paraId="02D275E6" w14:textId="77777777" w:rsidR="000B3A4A" w:rsidRPr="00C51385" w:rsidRDefault="000B3A4A" w:rsidP="000B3A4A"/>
    <w:tbl>
      <w:tblPr>
        <w:tblW w:w="51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3"/>
        <w:gridCol w:w="2013"/>
      </w:tblGrid>
      <w:tr w:rsidR="000B3A4A" w:rsidRPr="00C51385" w14:paraId="2698B068" w14:textId="77777777" w:rsidTr="00182837">
        <w:trPr>
          <w:tblCellSpacing w:w="15" w:type="dxa"/>
        </w:trPr>
        <w:tc>
          <w:tcPr>
            <w:tcW w:w="2416" w:type="pct"/>
            <w:vAlign w:val="center"/>
            <w:hideMark/>
          </w:tcPr>
          <w:p w14:paraId="5F019A6C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50" w:type="pct"/>
            <w:vAlign w:val="center"/>
            <w:hideMark/>
          </w:tcPr>
          <w:p w14:paraId="5B8DFEF8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1068" w:type="pct"/>
            <w:vAlign w:val="center"/>
            <w:hideMark/>
          </w:tcPr>
          <w:p w14:paraId="717B69D9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C51385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0B3A4A" w:rsidRPr="00C51385" w14:paraId="1AA240C2" w14:textId="77777777" w:rsidTr="00182837">
        <w:trPr>
          <w:tblCellSpacing w:w="15" w:type="dxa"/>
        </w:trPr>
        <w:tc>
          <w:tcPr>
            <w:tcW w:w="2416" w:type="pct"/>
            <w:vAlign w:val="center"/>
            <w:hideMark/>
          </w:tcPr>
          <w:p w14:paraId="4AB441F3" w14:textId="5687C14E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bookmarkStart w:id="0" w:name="_Hlk135896527"/>
            <w:r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Social Security Act 2018, section</w:t>
            </w:r>
            <w:r w:rsidR="006E2A5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  <w:r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101</w:t>
            </w:r>
          </w:p>
          <w:bookmarkEnd w:id="0"/>
          <w:p w14:paraId="0052DBA7" w14:textId="77777777" w:rsidR="000B3A4A" w:rsidRPr="00C51385" w:rsidRDefault="000B3A4A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50" w:type="pct"/>
            <w:vAlign w:val="center"/>
            <w:hideMark/>
          </w:tcPr>
          <w:p w14:paraId="05C13704" w14:textId="1DE9D261" w:rsidR="000B3A4A" w:rsidRPr="00C51385" w:rsidRDefault="00FB434B" w:rsidP="00182837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Flexi-wage Employment Assistance (New Zealand Superannuation and Veteran’s Pension)</w:t>
            </w:r>
            <w:r w:rsidR="00B92E47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Amendment 2023</w:t>
            </w:r>
            <w:r w:rsidR="000B3A4A" w:rsidRPr="00C51385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</w:p>
        </w:tc>
        <w:tc>
          <w:tcPr>
            <w:tcW w:w="1068" w:type="pct"/>
            <w:vAlign w:val="center"/>
            <w:hideMark/>
          </w:tcPr>
          <w:p w14:paraId="60684169" w14:textId="6338AD1E" w:rsidR="000B3A4A" w:rsidRPr="00C51385" w:rsidRDefault="00664552" w:rsidP="00182837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29 May 2023</w:t>
            </w:r>
          </w:p>
        </w:tc>
      </w:tr>
    </w:tbl>
    <w:p w14:paraId="5D9B1D7A" w14:textId="3330D796" w:rsidR="000B3A4A" w:rsidRPr="00C51385" w:rsidRDefault="000B3A4A" w:rsidP="000B3A4A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C51385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8" w:history="1">
        <w:r w:rsidRPr="007C1878">
          <w:rPr>
            <w:rFonts w:ascii="Helvetica" w:eastAsia="Times New Roman" w:hAnsi="Helvetica" w:cs="Helvetica"/>
            <w:color w:val="0464EA"/>
            <w:szCs w:val="20"/>
            <w:lang w:eastAsia="en-NZ"/>
          </w:rPr>
          <w:t>https://www.msd.govt.nz/about-msd-and-our-work/about-msd/legislation/notice-of-change.html</w:t>
        </w:r>
      </w:hyperlink>
      <w:r w:rsidR="00574D5C">
        <w:rPr>
          <w:rFonts w:ascii="Helvetica" w:eastAsia="Times New Roman" w:hAnsi="Helvetica" w:cs="Helvetica"/>
          <w:color w:val="0464EA"/>
          <w:szCs w:val="20"/>
          <w:lang w:eastAsia="en-NZ"/>
        </w:rPr>
        <w:t>.</w:t>
      </w:r>
    </w:p>
    <w:p w14:paraId="44048D93" w14:textId="2B6DCF34" w:rsidR="000B3A4A" w:rsidRDefault="000B3A4A" w:rsidP="00B92E47">
      <w:pPr>
        <w:spacing w:after="40"/>
        <w:jc w:val="both"/>
        <w:rPr>
          <w:rFonts w:ascii="Arial Mäori" w:hAnsi="Arial Mäori"/>
        </w:rPr>
      </w:pPr>
      <w:r w:rsidRPr="00C51385">
        <w:rPr>
          <w:rFonts w:ascii="Arial Mäori" w:hAnsi="Arial Mäori"/>
        </w:rPr>
        <w:t xml:space="preserve">This instrument, which comes into force </w:t>
      </w:r>
      <w:r w:rsidR="00FB434B">
        <w:rPr>
          <w:rFonts w:ascii="Arial Mäori" w:hAnsi="Arial Mäori"/>
        </w:rPr>
        <w:t>on 1 July 2023</w:t>
      </w:r>
      <w:r w:rsidR="00B92E47">
        <w:rPr>
          <w:rFonts w:ascii="Arial Mäori" w:hAnsi="Arial Mäori"/>
        </w:rPr>
        <w:t>,</w:t>
      </w:r>
      <w:r w:rsidRPr="00C51385">
        <w:rPr>
          <w:rFonts w:ascii="Arial Mäori" w:hAnsi="Arial Mäori"/>
        </w:rPr>
        <w:t xml:space="preserve"> </w:t>
      </w:r>
      <w:r w:rsidR="00B92E47">
        <w:rPr>
          <w:rFonts w:ascii="Arial Mäori" w:hAnsi="Arial Mäori"/>
        </w:rPr>
        <w:t xml:space="preserve">amends the </w:t>
      </w:r>
      <w:r w:rsidR="00FC2C61">
        <w:rPr>
          <w:rFonts w:ascii="Arial Mäori" w:hAnsi="Arial Mäori"/>
        </w:rPr>
        <w:t>Flexi-wage Employment Assistance Programme,</w:t>
      </w:r>
      <w:r w:rsidR="00922FB6">
        <w:rPr>
          <w:rFonts w:ascii="Arial Mäori" w:hAnsi="Arial Mäori"/>
        </w:rPr>
        <w:t xml:space="preserve"> </w:t>
      </w:r>
      <w:r w:rsidR="00447EB5">
        <w:rPr>
          <w:rFonts w:ascii="Arial Mäori" w:hAnsi="Arial Mäori"/>
        </w:rPr>
        <w:t xml:space="preserve">established and approved </w:t>
      </w:r>
      <w:r w:rsidR="006E2A55">
        <w:rPr>
          <w:rFonts w:ascii="Arial Mäori" w:hAnsi="Arial Mäori"/>
        </w:rPr>
        <w:t xml:space="preserve">on </w:t>
      </w:r>
      <w:r w:rsidR="00FC2C61">
        <w:rPr>
          <w:rFonts w:ascii="Arial Mäori" w:hAnsi="Arial Mäori"/>
        </w:rPr>
        <w:t>9 February 2021</w:t>
      </w:r>
      <w:r w:rsidR="006E2A55">
        <w:rPr>
          <w:rFonts w:ascii="Arial Mäori" w:hAnsi="Arial Mäori"/>
        </w:rPr>
        <w:t xml:space="preserve"> </w:t>
      </w:r>
      <w:r w:rsidR="00447EB5">
        <w:rPr>
          <w:rFonts w:ascii="Arial Mäori" w:hAnsi="Arial Mäori"/>
        </w:rPr>
        <w:t xml:space="preserve">under section </w:t>
      </w:r>
      <w:r w:rsidR="006E2A55">
        <w:rPr>
          <w:rFonts w:ascii="Arial Mäori" w:hAnsi="Arial Mäori"/>
        </w:rPr>
        <w:t xml:space="preserve">124(1)(d) of the Social Security Act 1964 </w:t>
      </w:r>
      <w:r w:rsidR="00DF4D29">
        <w:rPr>
          <w:rFonts w:ascii="Arial Mäori" w:hAnsi="Arial Mäori"/>
        </w:rPr>
        <w:t>and saved by clause 21 of schedule 1 of the Social Security Act 2018 as if it w</w:t>
      </w:r>
      <w:r w:rsidR="00555B0D">
        <w:rPr>
          <w:rFonts w:ascii="Arial Mäori" w:hAnsi="Arial Mäori"/>
        </w:rPr>
        <w:t>as</w:t>
      </w:r>
      <w:r w:rsidR="00DF4D29">
        <w:rPr>
          <w:rFonts w:ascii="Arial Mäori" w:hAnsi="Arial Mäori"/>
        </w:rPr>
        <w:t xml:space="preserve"> a</w:t>
      </w:r>
      <w:r w:rsidR="00555B0D">
        <w:rPr>
          <w:rFonts w:ascii="Arial Mäori" w:hAnsi="Arial Mäori"/>
        </w:rPr>
        <w:t>pproved and established under section</w:t>
      </w:r>
      <w:r w:rsidR="00DF4D29">
        <w:rPr>
          <w:rFonts w:ascii="Arial Mäori" w:hAnsi="Arial Mäori"/>
        </w:rPr>
        <w:t xml:space="preserve"> </w:t>
      </w:r>
      <w:r w:rsidR="00447EB5">
        <w:rPr>
          <w:rFonts w:ascii="Arial Mäori" w:hAnsi="Arial Mäori"/>
        </w:rPr>
        <w:t>101</w:t>
      </w:r>
      <w:r w:rsidR="00555B0D">
        <w:rPr>
          <w:rFonts w:ascii="Arial Mäori" w:hAnsi="Arial Mäori"/>
        </w:rPr>
        <w:t xml:space="preserve"> of that Act</w:t>
      </w:r>
      <w:r w:rsidR="00447EB5">
        <w:rPr>
          <w:rFonts w:ascii="Arial Mäori" w:hAnsi="Arial Mäori"/>
        </w:rPr>
        <w:t>.</w:t>
      </w:r>
    </w:p>
    <w:p w14:paraId="2DE4CE5A" w14:textId="77777777" w:rsidR="00447EB5" w:rsidRDefault="00447EB5" w:rsidP="00B92E47">
      <w:pPr>
        <w:spacing w:after="40"/>
        <w:jc w:val="both"/>
        <w:rPr>
          <w:rFonts w:ascii="Arial Mäori" w:hAnsi="Arial Mäori"/>
        </w:rPr>
      </w:pPr>
    </w:p>
    <w:p w14:paraId="08590074" w14:textId="7A906782" w:rsidR="00447EB5" w:rsidRPr="00B92E47" w:rsidRDefault="00447EB5" w:rsidP="00B92E47">
      <w:pPr>
        <w:spacing w:after="40"/>
        <w:jc w:val="both"/>
        <w:rPr>
          <w:rFonts w:ascii="Arial Mäori" w:eastAsia="Times New Roman" w:hAnsi="Arial Mäori" w:cs="Times New Roman"/>
          <w:szCs w:val="20"/>
        </w:rPr>
      </w:pPr>
      <w:r>
        <w:rPr>
          <w:rFonts w:ascii="Arial Mäori" w:hAnsi="Arial Mäori"/>
        </w:rPr>
        <w:t>It rel</w:t>
      </w:r>
      <w:r w:rsidR="0090310B">
        <w:rPr>
          <w:rFonts w:ascii="Arial Mäori" w:hAnsi="Arial Mäori"/>
        </w:rPr>
        <w:t xml:space="preserve">ates to the extension of Flexi-wage assistance to </w:t>
      </w:r>
      <w:r w:rsidR="0095713A">
        <w:rPr>
          <w:rFonts w:ascii="Arial Mäori" w:hAnsi="Arial Mäori"/>
        </w:rPr>
        <w:t>people eligible for New Zealand S</w:t>
      </w:r>
      <w:r w:rsidR="0090310B">
        <w:rPr>
          <w:rFonts w:ascii="Arial Mäori" w:hAnsi="Arial Mäori"/>
        </w:rPr>
        <w:t xml:space="preserve">uperannuation and </w:t>
      </w:r>
      <w:r w:rsidR="0095713A">
        <w:rPr>
          <w:rFonts w:ascii="Arial Mäori" w:hAnsi="Arial Mäori"/>
        </w:rPr>
        <w:t>V</w:t>
      </w:r>
      <w:r w:rsidR="0090310B">
        <w:rPr>
          <w:rFonts w:ascii="Arial Mäori" w:hAnsi="Arial Mäori"/>
        </w:rPr>
        <w:t xml:space="preserve">eteran’s </w:t>
      </w:r>
      <w:r w:rsidR="0095713A">
        <w:rPr>
          <w:rFonts w:ascii="Arial Mäori" w:hAnsi="Arial Mäori"/>
        </w:rPr>
        <w:t>P</w:t>
      </w:r>
      <w:r w:rsidR="0090310B">
        <w:rPr>
          <w:rFonts w:ascii="Arial Mäori" w:hAnsi="Arial Mäori"/>
        </w:rPr>
        <w:t>ension</w:t>
      </w:r>
      <w:r w:rsidR="007A232C">
        <w:rPr>
          <w:rFonts w:ascii="Arial Mäori" w:hAnsi="Arial Mäori"/>
        </w:rPr>
        <w:t xml:space="preserve"> (superannuitants)</w:t>
      </w:r>
      <w:r w:rsidR="0090310B">
        <w:rPr>
          <w:rFonts w:ascii="Arial Mäori" w:hAnsi="Arial Mäori"/>
        </w:rPr>
        <w:t>. The amendment revokes clause 6(2)(d) which</w:t>
      </w:r>
      <w:r w:rsidR="00B63D6D">
        <w:rPr>
          <w:rFonts w:ascii="Arial Mäori" w:hAnsi="Arial Mäori"/>
        </w:rPr>
        <w:t xml:space="preserve"> currently</w:t>
      </w:r>
      <w:r w:rsidR="0090310B">
        <w:rPr>
          <w:rFonts w:ascii="Arial Mäori" w:hAnsi="Arial Mäori"/>
        </w:rPr>
        <w:t xml:space="preserve"> exclude</w:t>
      </w:r>
      <w:r w:rsidR="00B63D6D">
        <w:rPr>
          <w:rFonts w:ascii="Arial Mäori" w:hAnsi="Arial Mäori"/>
        </w:rPr>
        <w:t>s</w:t>
      </w:r>
      <w:r w:rsidR="0090310B">
        <w:rPr>
          <w:rFonts w:ascii="Arial Mäori" w:hAnsi="Arial Mäori"/>
        </w:rPr>
        <w:t xml:space="preserve"> superannuitants from eligibility. This </w:t>
      </w:r>
      <w:r w:rsidR="00964220">
        <w:rPr>
          <w:rFonts w:ascii="Arial Mäori" w:hAnsi="Arial Mäori"/>
        </w:rPr>
        <w:t>means</w:t>
      </w:r>
      <w:r w:rsidR="0090310B">
        <w:rPr>
          <w:rFonts w:ascii="Arial Mäori" w:hAnsi="Arial Mäori"/>
        </w:rPr>
        <w:t xml:space="preserve"> that </w:t>
      </w:r>
      <w:r w:rsidR="0066441D">
        <w:rPr>
          <w:rFonts w:ascii="Arial Mäori" w:hAnsi="Arial Mäori"/>
        </w:rPr>
        <w:t xml:space="preserve">superannuitants </w:t>
      </w:r>
      <w:r w:rsidR="00456959">
        <w:rPr>
          <w:rFonts w:ascii="Arial Mäori" w:hAnsi="Arial Mäori"/>
        </w:rPr>
        <w:t xml:space="preserve">over 65 at the time of application will be eligible for assistance. </w:t>
      </w:r>
      <w:r w:rsidR="0090310B">
        <w:rPr>
          <w:rFonts w:ascii="Arial Mäori" w:hAnsi="Arial Mäori"/>
        </w:rPr>
        <w:t xml:space="preserve">It also amends clause 6(3) to ensure that </w:t>
      </w:r>
      <w:r w:rsidR="007A232C">
        <w:rPr>
          <w:rFonts w:ascii="Arial Mäori" w:hAnsi="Arial Mäori"/>
        </w:rPr>
        <w:t xml:space="preserve">people </w:t>
      </w:r>
      <w:r w:rsidR="00456959">
        <w:rPr>
          <w:rFonts w:ascii="Arial Mäori" w:hAnsi="Arial Mäori"/>
        </w:rPr>
        <w:t xml:space="preserve">who were granted assistance before they </w:t>
      </w:r>
      <w:r w:rsidR="007A232C" w:rsidRPr="007A232C">
        <w:rPr>
          <w:rFonts w:ascii="Arial Mäori" w:hAnsi="Arial Mäori"/>
        </w:rPr>
        <w:t xml:space="preserve">became eligible for New Zealand Superannuation or Veteran’s Pension </w:t>
      </w:r>
      <w:r w:rsidR="00456959">
        <w:rPr>
          <w:rFonts w:ascii="Arial Mäori" w:hAnsi="Arial Mäori"/>
        </w:rPr>
        <w:t xml:space="preserve">can continue to receive Band Two and Three support, despite no longer being at risk of long-term benefit receipt. </w:t>
      </w:r>
    </w:p>
    <w:p w14:paraId="7DB81046" w14:textId="3E4C0082" w:rsidR="000B3A4A" w:rsidRPr="00C51385" w:rsidRDefault="000B3A4A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 w:rsidRPr="00C51385">
        <w:rPr>
          <w:rFonts w:ascii="Arial Mäori" w:eastAsia="Times New Roman" w:hAnsi="Arial Mäori" w:cs="Helvetica"/>
          <w:szCs w:val="20"/>
          <w:lang w:eastAsia="en-NZ"/>
        </w:rPr>
        <w:t xml:space="preserve">The instrument is secondary legislation and </w:t>
      </w:r>
      <w:r w:rsidRPr="00C51385">
        <w:rPr>
          <w:rFonts w:ascii="Arial" w:eastAsia="Times New Roman" w:hAnsi="Arial"/>
          <w:szCs w:val="20"/>
          <w:lang w:eastAsia="en-NZ"/>
        </w:rPr>
        <w:t>is administered by the Ministry of Social Development.</w:t>
      </w:r>
    </w:p>
    <w:p w14:paraId="19553F66" w14:textId="60B2F003" w:rsidR="000B3A4A" w:rsidRPr="00C51385" w:rsidRDefault="00871BB6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>
        <w:rPr>
          <w:rFonts w:ascii="Arial Mäori" w:eastAsia="Times New Roman" w:hAnsi="Arial Mäori" w:cs="Helvetica"/>
          <w:szCs w:val="20"/>
          <w:lang w:eastAsia="en-NZ"/>
        </w:rPr>
        <w:t xml:space="preserve">Dated this </w:t>
      </w:r>
      <w:r w:rsidR="009411FF">
        <w:rPr>
          <w:rFonts w:ascii="Arial Mäori" w:eastAsia="Times New Roman" w:hAnsi="Arial Mäori" w:cs="Helvetica"/>
          <w:szCs w:val="20"/>
          <w:lang w:eastAsia="en-NZ"/>
        </w:rPr>
        <w:t>31</w:t>
      </w:r>
      <w:r w:rsidR="00456959">
        <w:rPr>
          <w:rFonts w:ascii="Arial Mäori" w:eastAsia="Times New Roman" w:hAnsi="Arial Mäori" w:cs="Helvetica"/>
          <w:szCs w:val="20"/>
          <w:lang w:eastAsia="en-NZ"/>
        </w:rPr>
        <w:t xml:space="preserve"> </w:t>
      </w:r>
      <w:r>
        <w:rPr>
          <w:rFonts w:ascii="Arial Mäori" w:eastAsia="Times New Roman" w:hAnsi="Arial Mäori" w:cs="Helvetica"/>
          <w:szCs w:val="20"/>
          <w:lang w:eastAsia="en-NZ"/>
        </w:rPr>
        <w:t xml:space="preserve">day of </w:t>
      </w:r>
      <w:r w:rsidR="00456959">
        <w:rPr>
          <w:rFonts w:ascii="Arial Mäori" w:eastAsia="Times New Roman" w:hAnsi="Arial Mäori" w:cs="Helvetica"/>
          <w:szCs w:val="20"/>
          <w:lang w:eastAsia="en-NZ"/>
        </w:rPr>
        <w:t xml:space="preserve"> </w:t>
      </w:r>
      <w:r w:rsidR="009411FF">
        <w:rPr>
          <w:rFonts w:ascii="Arial Mäori" w:eastAsia="Times New Roman" w:hAnsi="Arial Mäori" w:cs="Helvetica"/>
          <w:szCs w:val="20"/>
          <w:lang w:eastAsia="en-NZ"/>
        </w:rPr>
        <w:t>May</w:t>
      </w:r>
      <w:r w:rsidR="00456959">
        <w:rPr>
          <w:rFonts w:ascii="Arial Mäori" w:eastAsia="Times New Roman" w:hAnsi="Arial Mäori" w:cs="Helvetica"/>
          <w:szCs w:val="20"/>
          <w:lang w:eastAsia="en-NZ"/>
        </w:rPr>
        <w:t xml:space="preserve">  </w:t>
      </w:r>
      <w:r>
        <w:rPr>
          <w:rFonts w:ascii="Arial Mäori" w:eastAsia="Times New Roman" w:hAnsi="Arial Mäori" w:cs="Helvetica"/>
          <w:szCs w:val="20"/>
          <w:lang w:eastAsia="en-NZ"/>
        </w:rPr>
        <w:t>2023</w:t>
      </w:r>
    </w:p>
    <w:p w14:paraId="766DEA2B" w14:textId="76E1569F" w:rsidR="000B3A4A" w:rsidRDefault="000B3A4A" w:rsidP="000B3A4A">
      <w:pPr>
        <w:spacing w:before="100" w:beforeAutospacing="1" w:after="100" w:afterAutospacing="1" w:line="270" w:lineRule="atLeast"/>
        <w:rPr>
          <w:rFonts w:ascii="Arial" w:eastAsia="Times New Roman" w:hAnsi="Arial"/>
          <w:szCs w:val="20"/>
          <w:lang w:eastAsia="en-NZ"/>
        </w:rPr>
      </w:pPr>
      <w:r w:rsidRPr="00C51385">
        <w:rPr>
          <w:rFonts w:ascii="Arial" w:eastAsia="Times New Roman" w:hAnsi="Arial"/>
          <w:szCs w:val="20"/>
          <w:lang w:eastAsia="en-NZ"/>
        </w:rPr>
        <w:t>HON CARMEL SEPULONI, Minister for Social Development and Employment</w:t>
      </w:r>
    </w:p>
    <w:p w14:paraId="3DC5114A" w14:textId="4C3523B7" w:rsidR="007A232C" w:rsidRDefault="007A232C" w:rsidP="000B3A4A">
      <w:pPr>
        <w:spacing w:before="100" w:beforeAutospacing="1" w:after="100" w:afterAutospacing="1" w:line="270" w:lineRule="atLeast"/>
        <w:rPr>
          <w:rFonts w:ascii="Arial" w:eastAsia="Times New Roman" w:hAnsi="Arial"/>
          <w:szCs w:val="20"/>
          <w:lang w:eastAsia="en-NZ"/>
        </w:rPr>
      </w:pPr>
    </w:p>
    <w:p w14:paraId="2DA80989" w14:textId="77777777" w:rsidR="007A232C" w:rsidRPr="00C51385" w:rsidRDefault="007A232C" w:rsidP="000B3A4A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</w:p>
    <w:p w14:paraId="71BD63B6" w14:textId="77777777" w:rsidR="000B3A4A" w:rsidRPr="00C51385" w:rsidRDefault="000B3A4A" w:rsidP="000B3A4A"/>
    <w:p w14:paraId="09A73322" w14:textId="77777777" w:rsidR="000B3A4A" w:rsidRPr="00C51385" w:rsidRDefault="000B3A4A" w:rsidP="000B3A4A"/>
    <w:p w14:paraId="6E61561F" w14:textId="77777777" w:rsidR="000B3A4A" w:rsidRPr="00C51385" w:rsidRDefault="000B3A4A" w:rsidP="000B3A4A"/>
    <w:p w14:paraId="2731DB00" w14:textId="77777777" w:rsidR="000B3A4A" w:rsidRPr="00F113EF" w:rsidRDefault="000B3A4A" w:rsidP="000B3A4A"/>
    <w:p w14:paraId="12C47835" w14:textId="77777777" w:rsidR="00F829F6" w:rsidRPr="00F113EF" w:rsidRDefault="00F829F6" w:rsidP="00F113EF"/>
    <w:sectPr w:rsidR="00F829F6" w:rsidRPr="00F1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D9E8" w14:textId="77777777" w:rsidR="00742A7E" w:rsidRDefault="00742A7E">
      <w:pPr>
        <w:spacing w:after="0" w:line="240" w:lineRule="auto"/>
      </w:pPr>
      <w:r>
        <w:separator/>
      </w:r>
    </w:p>
  </w:endnote>
  <w:endnote w:type="continuationSeparator" w:id="0">
    <w:p w14:paraId="4FE27E31" w14:textId="77777777" w:rsidR="00742A7E" w:rsidRDefault="0074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19A9" w14:textId="77777777" w:rsidR="00742A7E" w:rsidRDefault="00742A7E">
      <w:pPr>
        <w:spacing w:after="0" w:line="240" w:lineRule="auto"/>
      </w:pPr>
      <w:r>
        <w:separator/>
      </w:r>
    </w:p>
  </w:footnote>
  <w:footnote w:type="continuationSeparator" w:id="0">
    <w:p w14:paraId="20CA5473" w14:textId="77777777" w:rsidR="00742A7E" w:rsidRDefault="0074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577B72"/>
    <w:multiLevelType w:val="hybridMultilevel"/>
    <w:tmpl w:val="0FE63342"/>
    <w:lvl w:ilvl="0" w:tplc="1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A"/>
    <w:rsid w:val="00000B4C"/>
    <w:rsid w:val="00005BBE"/>
    <w:rsid w:val="000106D0"/>
    <w:rsid w:val="00034336"/>
    <w:rsid w:val="00037CB0"/>
    <w:rsid w:val="00087C69"/>
    <w:rsid w:val="000A576B"/>
    <w:rsid w:val="000B3A4A"/>
    <w:rsid w:val="000E3BB9"/>
    <w:rsid w:val="000E6C58"/>
    <w:rsid w:val="00106AED"/>
    <w:rsid w:val="001D3744"/>
    <w:rsid w:val="00213DA6"/>
    <w:rsid w:val="00216302"/>
    <w:rsid w:val="00236D2D"/>
    <w:rsid w:val="00245A2B"/>
    <w:rsid w:val="002D1C62"/>
    <w:rsid w:val="002D367B"/>
    <w:rsid w:val="002E3FDE"/>
    <w:rsid w:val="003045F2"/>
    <w:rsid w:val="00344E2B"/>
    <w:rsid w:val="00354EC2"/>
    <w:rsid w:val="00397220"/>
    <w:rsid w:val="003B0A38"/>
    <w:rsid w:val="003E2869"/>
    <w:rsid w:val="003E3722"/>
    <w:rsid w:val="00404FC1"/>
    <w:rsid w:val="004227ED"/>
    <w:rsid w:val="00445BCE"/>
    <w:rsid w:val="00447EB5"/>
    <w:rsid w:val="00454F25"/>
    <w:rsid w:val="00456959"/>
    <w:rsid w:val="004710B8"/>
    <w:rsid w:val="004D0957"/>
    <w:rsid w:val="00533E65"/>
    <w:rsid w:val="00555B0D"/>
    <w:rsid w:val="0056681E"/>
    <w:rsid w:val="005700B6"/>
    <w:rsid w:val="00572AA9"/>
    <w:rsid w:val="00574D5C"/>
    <w:rsid w:val="00585BCF"/>
    <w:rsid w:val="00595906"/>
    <w:rsid w:val="005B11F9"/>
    <w:rsid w:val="00631D73"/>
    <w:rsid w:val="0066441D"/>
    <w:rsid w:val="00664552"/>
    <w:rsid w:val="006B19BD"/>
    <w:rsid w:val="006E2A55"/>
    <w:rsid w:val="00742A7E"/>
    <w:rsid w:val="007A232C"/>
    <w:rsid w:val="007B201A"/>
    <w:rsid w:val="007C2143"/>
    <w:rsid w:val="007F3ACD"/>
    <w:rsid w:val="0080133F"/>
    <w:rsid w:val="00803D67"/>
    <w:rsid w:val="0080498F"/>
    <w:rsid w:val="00837608"/>
    <w:rsid w:val="00860654"/>
    <w:rsid w:val="00871BB6"/>
    <w:rsid w:val="0090310B"/>
    <w:rsid w:val="00903467"/>
    <w:rsid w:val="00906EAA"/>
    <w:rsid w:val="00922FB6"/>
    <w:rsid w:val="009411FF"/>
    <w:rsid w:val="0095713A"/>
    <w:rsid w:val="00964220"/>
    <w:rsid w:val="00970DD2"/>
    <w:rsid w:val="009D15F1"/>
    <w:rsid w:val="009D2B10"/>
    <w:rsid w:val="00A2199C"/>
    <w:rsid w:val="00A43896"/>
    <w:rsid w:val="00A6244E"/>
    <w:rsid w:val="00B32CB6"/>
    <w:rsid w:val="00B41635"/>
    <w:rsid w:val="00B5357A"/>
    <w:rsid w:val="00B63D6D"/>
    <w:rsid w:val="00B92E47"/>
    <w:rsid w:val="00BD3B12"/>
    <w:rsid w:val="00C503A7"/>
    <w:rsid w:val="00C5215F"/>
    <w:rsid w:val="00CB4A28"/>
    <w:rsid w:val="00D07976"/>
    <w:rsid w:val="00D30A47"/>
    <w:rsid w:val="00D34EA0"/>
    <w:rsid w:val="00DD6907"/>
    <w:rsid w:val="00DD7526"/>
    <w:rsid w:val="00DE3929"/>
    <w:rsid w:val="00DF4D29"/>
    <w:rsid w:val="00E30336"/>
    <w:rsid w:val="00E671C3"/>
    <w:rsid w:val="00E72A32"/>
    <w:rsid w:val="00E90142"/>
    <w:rsid w:val="00E9269E"/>
    <w:rsid w:val="00F06EE8"/>
    <w:rsid w:val="00F07349"/>
    <w:rsid w:val="00F113EF"/>
    <w:rsid w:val="00F126F3"/>
    <w:rsid w:val="00F22AE5"/>
    <w:rsid w:val="00F73634"/>
    <w:rsid w:val="00F829C0"/>
    <w:rsid w:val="00F829F6"/>
    <w:rsid w:val="00FB434B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B014"/>
  <w15:chartTrackingRefBased/>
  <w15:docId w15:val="{0802CF5D-A192-41AC-8452-BA40B13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4A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FB6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about-msd/legislation/notice-of-chan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Borne</dc:creator>
  <cp:keywords/>
  <dc:description/>
  <cp:lastModifiedBy>Gabrielle Borne</cp:lastModifiedBy>
  <cp:revision>2</cp:revision>
  <dcterms:created xsi:type="dcterms:W3CDTF">2023-05-31T21:44:00Z</dcterms:created>
  <dcterms:modified xsi:type="dcterms:W3CDTF">2023-05-31T21:44:00Z</dcterms:modified>
</cp:coreProperties>
</file>