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pPr w:leftFromText="180" w:rightFromText="180" w:vertAnchor="page" w:horzAnchor="page" w:tblpX="7381" w:tblpY="5116"/>
        <w:tblW w:w="15134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1"/>
        <w:gridCol w:w="1260"/>
        <w:gridCol w:w="1322"/>
        <w:gridCol w:w="1239"/>
        <w:gridCol w:w="1564"/>
        <w:gridCol w:w="1098"/>
      </w:tblGrid>
      <w:tr w:rsidR="006F39FD" w:rsidRPr="003B6FD2" w14:paraId="7F105E29" w14:textId="77777777" w:rsidTr="00C728AA">
        <w:trPr>
          <w:trHeight w:val="221"/>
        </w:trPr>
        <w:tc>
          <w:tcPr>
            <w:tcW w:w="9122" w:type="dxa"/>
            <w:shd w:val="clear" w:color="auto" w:fill="D9D9D9" w:themeFill="background1" w:themeFillShade="D9"/>
          </w:tcPr>
          <w:p w14:paraId="11D906F0" w14:textId="3CC3A51B" w:rsidR="00001DD9" w:rsidRPr="00001DD9" w:rsidRDefault="00001DD9" w:rsidP="00001DD9">
            <w:pPr>
              <w:tabs>
                <w:tab w:val="num" w:pos="360"/>
              </w:tabs>
              <w:spacing w:before="160" w:after="40"/>
              <w:rPr>
                <w:rFonts w:cstheme="minorHAnsi"/>
                <w:sz w:val="18"/>
                <w:szCs w:val="18"/>
              </w:rPr>
            </w:pPr>
            <w:r w:rsidRPr="00903C55">
              <w:rPr>
                <w:rFonts w:ascii="Zooja Light Pro" w:hAnsi="Zooja Light Pro"/>
                <w:b/>
                <w:bCs/>
                <w:color w:val="ED125F"/>
                <w:sz w:val="44"/>
                <w:szCs w:val="44"/>
              </w:rPr>
              <w:t>RECOMMENDATIONS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14:paraId="4DEBF2AA" w14:textId="4114FF81" w:rsidR="00001DD9" w:rsidRPr="00001DD9" w:rsidRDefault="00001DD9" w:rsidP="001B523A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b/>
                <w:bCs/>
                <w:color w:val="ED125F"/>
                <w:kern w:val="0"/>
                <w:sz w:val="18"/>
                <w:szCs w:val="18"/>
              </w:rPr>
            </w:pPr>
            <w:r w:rsidRPr="00001DD9">
              <w:rPr>
                <w:rFonts w:ascii="Arial" w:eastAsiaTheme="minorHAnsi" w:hAnsi="Arial" w:cs="Arial"/>
                <w:b/>
                <w:bCs/>
                <w:color w:val="ED125F"/>
                <w:kern w:val="0"/>
                <w:sz w:val="18"/>
                <w:szCs w:val="18"/>
              </w:rPr>
              <w:t>Governance</w:t>
            </w:r>
            <w:r w:rsidR="001B523A">
              <w:rPr>
                <w:rFonts w:ascii="Arial" w:eastAsiaTheme="minorHAnsi" w:hAnsi="Arial" w:cs="Arial"/>
                <w:b/>
                <w:bCs/>
                <w:color w:val="ED125F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14:paraId="6FC9420D" w14:textId="4535F363" w:rsidR="00001DD9" w:rsidRPr="00001DD9" w:rsidRDefault="00001DD9" w:rsidP="001B523A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b/>
                <w:bCs/>
                <w:color w:val="ED125F"/>
                <w:kern w:val="0"/>
                <w:sz w:val="18"/>
                <w:szCs w:val="18"/>
              </w:rPr>
            </w:pPr>
            <w:r>
              <w:rPr>
                <w:b/>
                <w:bCs/>
                <w:color w:val="ED125F"/>
                <w:sz w:val="20"/>
                <w:szCs w:val="20"/>
              </w:rPr>
              <w:t>C</w:t>
            </w:r>
            <w:r w:rsidRPr="00001DD9">
              <w:rPr>
                <w:b/>
                <w:bCs/>
                <w:color w:val="ED125F"/>
                <w:sz w:val="20"/>
                <w:szCs w:val="20"/>
              </w:rPr>
              <w:t>ollective ownership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16F7F099" w14:textId="0819B878" w:rsidR="00001DD9" w:rsidRPr="00001DD9" w:rsidRDefault="00001DD9" w:rsidP="001B523A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color w:val="ED125F"/>
                <w:kern w:val="0"/>
                <w:sz w:val="18"/>
                <w:szCs w:val="18"/>
              </w:rPr>
            </w:pPr>
            <w:r w:rsidRPr="001B523A">
              <w:rPr>
                <w:b/>
                <w:bCs/>
                <w:color w:val="ED125F"/>
                <w:sz w:val="20"/>
                <w:szCs w:val="20"/>
                <w:lang w:val="mi-NZ"/>
              </w:rPr>
              <w:t>Whānau-</w:t>
            </w:r>
            <w:r w:rsidRPr="00001DD9">
              <w:rPr>
                <w:b/>
                <w:bCs/>
                <w:color w:val="ED125F"/>
                <w:sz w:val="20"/>
                <w:szCs w:val="20"/>
              </w:rPr>
              <w:t>centred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40D5EB6F" w14:textId="25B6DE03" w:rsidR="00001DD9" w:rsidRPr="00001DD9" w:rsidRDefault="00001DD9" w:rsidP="001B523A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color w:val="ED125F"/>
                <w:kern w:val="0"/>
                <w:sz w:val="18"/>
                <w:szCs w:val="18"/>
              </w:rPr>
            </w:pPr>
            <w:r>
              <w:rPr>
                <w:b/>
                <w:bCs/>
                <w:color w:val="ED125F"/>
                <w:sz w:val="20"/>
                <w:szCs w:val="20"/>
              </w:rPr>
              <w:t>M</w:t>
            </w:r>
            <w:r w:rsidRPr="00001DD9">
              <w:rPr>
                <w:b/>
                <w:bCs/>
                <w:color w:val="ED125F"/>
                <w:sz w:val="20"/>
                <w:szCs w:val="20"/>
              </w:rPr>
              <w:t>easurement, monitoring and reporting</w:t>
            </w:r>
          </w:p>
        </w:tc>
        <w:tc>
          <w:tcPr>
            <w:tcW w:w="701" w:type="dxa"/>
            <w:shd w:val="clear" w:color="auto" w:fill="D9D9D9" w:themeFill="background1" w:themeFillShade="D9"/>
          </w:tcPr>
          <w:p w14:paraId="69B5D099" w14:textId="6FF2F0AC" w:rsidR="00001DD9" w:rsidRPr="00001DD9" w:rsidRDefault="00001DD9" w:rsidP="001B523A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color w:val="ED125F"/>
                <w:kern w:val="0"/>
                <w:sz w:val="18"/>
                <w:szCs w:val="18"/>
              </w:rPr>
            </w:pPr>
            <w:r w:rsidRPr="001B523A">
              <w:rPr>
                <w:b/>
                <w:bCs/>
                <w:color w:val="ED125F"/>
                <w:sz w:val="20"/>
                <w:szCs w:val="20"/>
                <w:lang w:val="mi-NZ"/>
              </w:rPr>
              <w:t xml:space="preserve">Te </w:t>
            </w:r>
            <w:r w:rsidR="001D1BED">
              <w:rPr>
                <w:b/>
                <w:bCs/>
                <w:color w:val="ED125F"/>
                <w:sz w:val="20"/>
                <w:szCs w:val="20"/>
                <w:lang w:val="mi-NZ"/>
              </w:rPr>
              <w:t>a</w:t>
            </w:r>
            <w:r w:rsidRPr="001B523A">
              <w:rPr>
                <w:b/>
                <w:bCs/>
                <w:color w:val="ED125F"/>
                <w:sz w:val="20"/>
                <w:szCs w:val="20"/>
                <w:lang w:val="mi-NZ"/>
              </w:rPr>
              <w:t>o</w:t>
            </w:r>
            <w:r w:rsidRPr="00001DD9">
              <w:rPr>
                <w:b/>
                <w:bCs/>
                <w:color w:val="ED125F"/>
                <w:sz w:val="20"/>
                <w:szCs w:val="20"/>
              </w:rPr>
              <w:t xml:space="preserve"> Māori</w:t>
            </w:r>
            <w:r>
              <w:rPr>
                <w:b/>
                <w:bCs/>
                <w:color w:val="ED125F"/>
                <w:sz w:val="20"/>
                <w:szCs w:val="20"/>
              </w:rPr>
              <w:t xml:space="preserve"> </w:t>
            </w:r>
            <w:r w:rsidRPr="00001DD9">
              <w:rPr>
                <w:b/>
                <w:bCs/>
                <w:color w:val="ED125F"/>
                <w:sz w:val="20"/>
                <w:szCs w:val="20"/>
              </w:rPr>
              <w:t>concept</w:t>
            </w:r>
            <w:r w:rsidR="001B523A">
              <w:rPr>
                <w:b/>
                <w:bCs/>
                <w:color w:val="ED125F"/>
                <w:sz w:val="20"/>
                <w:szCs w:val="20"/>
              </w:rPr>
              <w:t>s</w:t>
            </w:r>
          </w:p>
        </w:tc>
      </w:tr>
      <w:tr w:rsidR="006F39FD" w:rsidRPr="003B6FD2" w14:paraId="185E9A4C" w14:textId="77777777" w:rsidTr="00C728AA">
        <w:trPr>
          <w:trHeight w:val="354"/>
        </w:trPr>
        <w:tc>
          <w:tcPr>
            <w:tcW w:w="9122" w:type="dxa"/>
            <w:shd w:val="clear" w:color="auto" w:fill="F2F2F2" w:themeFill="background1" w:themeFillShade="F2"/>
          </w:tcPr>
          <w:p w14:paraId="5513469D" w14:textId="0DC59A45" w:rsidR="00D22B50" w:rsidRPr="00001DD9" w:rsidRDefault="00D22B50" w:rsidP="00C728AA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120" w:after="40" w:line="240" w:lineRule="auto"/>
              <w:ind w:left="357" w:right="-96" w:hanging="357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Social Wellbeing Board to identify Lead </w:t>
            </w:r>
            <w:r w:rsidR="00C728AA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Chief Executive/s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to be system convenor for </w:t>
            </w:r>
            <w:r w:rsidR="00C728AA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respective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priorit</w:t>
            </w:r>
            <w:r w:rsidR="00C728AA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ies </w:t>
            </w:r>
          </w:p>
        </w:tc>
        <w:tc>
          <w:tcPr>
            <w:tcW w:w="1164" w:type="dxa"/>
            <w:shd w:val="clear" w:color="auto" w:fill="FFFFFF" w:themeFill="background1"/>
          </w:tcPr>
          <w:p w14:paraId="5F88D158" w14:textId="5D9AC52E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b/>
                <w:bCs/>
                <w:color w:val="ED125F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330" w:type="dxa"/>
            <w:shd w:val="clear" w:color="auto" w:fill="FFFFFF" w:themeFill="background1"/>
          </w:tcPr>
          <w:p w14:paraId="1ED414C8" w14:textId="6C322ADD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492E0124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04EE9CAC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50FD16C0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27E010DD" w14:textId="77777777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1FF163D0" w14:textId="6DE7661A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Ensure that agencies hold the relationships and convene diverse stakeholders at whānau, local, regional and national levels to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be able to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understand and respond to priority challenges and opportunities (centrally enabled actions) </w:t>
            </w:r>
          </w:p>
        </w:tc>
        <w:tc>
          <w:tcPr>
            <w:tcW w:w="1164" w:type="dxa"/>
            <w:shd w:val="clear" w:color="auto" w:fill="FFFFFF" w:themeFill="background1"/>
          </w:tcPr>
          <w:p w14:paraId="0A8EE3FA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26CCB740" w14:textId="116278FC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169EEC64" w14:textId="09C8280D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564" w:type="dxa"/>
            <w:shd w:val="clear" w:color="auto" w:fill="FFFFFF" w:themeFill="background1"/>
          </w:tcPr>
          <w:p w14:paraId="69DF7F82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3E2B8D7F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5A7A362C" w14:textId="77777777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73C28AED" w14:textId="75661A81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Strengthen the infrastructure for whānau-centred, locally-led, centrally-enabled ways of working and learning through the Regional Public Service Commissioner Model </w:t>
            </w:r>
          </w:p>
        </w:tc>
        <w:tc>
          <w:tcPr>
            <w:tcW w:w="1164" w:type="dxa"/>
            <w:shd w:val="clear" w:color="auto" w:fill="FFFFFF" w:themeFill="background1"/>
          </w:tcPr>
          <w:p w14:paraId="0958AC4C" w14:textId="5EB53FA8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330" w:type="dxa"/>
            <w:shd w:val="clear" w:color="auto" w:fill="FFFFFF" w:themeFill="background1"/>
          </w:tcPr>
          <w:p w14:paraId="29D69F60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29ACEF75" w14:textId="6A57EE10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564" w:type="dxa"/>
            <w:shd w:val="clear" w:color="auto" w:fill="FFFFFF" w:themeFill="background1"/>
          </w:tcPr>
          <w:p w14:paraId="6A6B1D37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A4CAC49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62AD3631" w14:textId="77777777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279C67B1" w14:textId="64FE9BEF" w:rsidR="00D22B50" w:rsidRPr="00001DD9" w:rsidRDefault="00D22B50" w:rsidP="00694ACA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bookmarkStart w:id="0" w:name="_Hlk110415119"/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Use the Strategy to join up/weave together the various transformation efforts on the ground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,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eg, including bringing together policy and commissioning efforts and transformation work programmes at all levels, and taking a joined up approach in localities</w:t>
            </w:r>
            <w:bookmarkEnd w:id="0"/>
          </w:p>
        </w:tc>
        <w:tc>
          <w:tcPr>
            <w:tcW w:w="1164" w:type="dxa"/>
            <w:shd w:val="clear" w:color="auto" w:fill="FFFFFF" w:themeFill="background1"/>
          </w:tcPr>
          <w:p w14:paraId="3642AB39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36AF6CD8" w14:textId="4A54DA71" w:rsidR="00D22B50" w:rsidRPr="006F39FD" w:rsidRDefault="001B523A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02EF6AB9" w14:textId="693E1D3A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564" w:type="dxa"/>
            <w:shd w:val="clear" w:color="auto" w:fill="FFFFFF" w:themeFill="background1"/>
          </w:tcPr>
          <w:p w14:paraId="35DDDCED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1B713FE7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7D11AF56" w14:textId="77777777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4E48DAEB" w14:textId="7CAB163A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Refresh and amplify best-practice guidelines for engaging with children and young people, to be shared across government agencies </w:t>
            </w:r>
          </w:p>
        </w:tc>
        <w:tc>
          <w:tcPr>
            <w:tcW w:w="1164" w:type="dxa"/>
            <w:shd w:val="clear" w:color="auto" w:fill="FFFFFF" w:themeFill="background1"/>
          </w:tcPr>
          <w:p w14:paraId="5C035AF6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07C5774C" w14:textId="0EF437F4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3D7E4F9D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31C10BEF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55F397C1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74BDA601" w14:textId="77777777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236ADB58" w14:textId="4CE566AF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Explore ways of increasing promotion of existing civics education resources, and encourag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ing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their wider use within the school system </w:t>
            </w:r>
          </w:p>
        </w:tc>
        <w:tc>
          <w:tcPr>
            <w:tcW w:w="1164" w:type="dxa"/>
            <w:shd w:val="clear" w:color="auto" w:fill="FFFFFF" w:themeFill="background1"/>
          </w:tcPr>
          <w:p w14:paraId="556D7C7C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644D7FC1" w14:textId="4A13451C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0C2AFFBC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68A182FF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172B5737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3B6FD2" w14:paraId="0562F511" w14:textId="5F217D64" w:rsidTr="00C728AA">
        <w:trPr>
          <w:trHeight w:val="221"/>
        </w:trPr>
        <w:tc>
          <w:tcPr>
            <w:tcW w:w="9122" w:type="dxa"/>
            <w:shd w:val="clear" w:color="auto" w:fill="F2F2F2" w:themeFill="background1" w:themeFillShade="F2"/>
          </w:tcPr>
          <w:p w14:paraId="1B2213EC" w14:textId="35A68EA4" w:rsidR="008F267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Establish regular network and development opportunities for members of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Y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outh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A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dvisory/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L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eadership groups eg, annual w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ā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nanga with various decision makers </w:t>
            </w:r>
          </w:p>
        </w:tc>
        <w:tc>
          <w:tcPr>
            <w:tcW w:w="1164" w:type="dxa"/>
            <w:shd w:val="clear" w:color="auto" w:fill="FFFFFF" w:themeFill="background1"/>
          </w:tcPr>
          <w:p w14:paraId="131EF842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5024996F" w14:textId="604F2939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7B172E89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781BF54A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2D44144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left="3"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8F0767" w14:paraId="09940B14" w14:textId="43D8A2AC" w:rsidTr="00C728AA">
        <w:trPr>
          <w:trHeight w:val="432"/>
        </w:trPr>
        <w:tc>
          <w:tcPr>
            <w:tcW w:w="9122" w:type="dxa"/>
            <w:shd w:val="clear" w:color="auto" w:fill="F2F2F2" w:themeFill="background1" w:themeFillShade="F2"/>
          </w:tcPr>
          <w:p w14:paraId="283EBAE1" w14:textId="22C64A0F" w:rsidR="008F2670" w:rsidRPr="00001DD9" w:rsidRDefault="008F2670" w:rsidP="008F267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Develop an online platform to raise visibility of representation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and engagement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opportunities for children and young people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 as well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as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findings of engagements </w:t>
            </w:r>
          </w:p>
        </w:tc>
        <w:tc>
          <w:tcPr>
            <w:tcW w:w="1164" w:type="dxa"/>
            <w:shd w:val="clear" w:color="auto" w:fill="FFFFFF" w:themeFill="background1"/>
          </w:tcPr>
          <w:p w14:paraId="384AA29A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714C229D" w14:textId="57ED58AE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032EDB3F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4381D091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68E57992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8F0767" w14:paraId="495DF5DB" w14:textId="77777777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65AAFE45" w14:textId="6C978096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Utilise existing iwi/Māori governance and leadership structures that give effect to Te Tiriti in the short-medium term, and consider how new or strengthened governance structures could support implementation in the long term </w:t>
            </w:r>
          </w:p>
        </w:tc>
        <w:tc>
          <w:tcPr>
            <w:tcW w:w="1164" w:type="dxa"/>
            <w:shd w:val="clear" w:color="auto" w:fill="FFFFFF" w:themeFill="background1"/>
          </w:tcPr>
          <w:p w14:paraId="6BE99579" w14:textId="476FF768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330" w:type="dxa"/>
            <w:shd w:val="clear" w:color="auto" w:fill="FFFFFF" w:themeFill="background1"/>
          </w:tcPr>
          <w:p w14:paraId="7B183F2F" w14:textId="2D7335B6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6C3CF491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797F60AC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26ACAC62" w14:textId="681657E2" w:rsidR="00D22B50" w:rsidRPr="006F39FD" w:rsidRDefault="00E42C06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  <w:tr w:rsidR="006F39FD" w:rsidRPr="008F0767" w14:paraId="0B21849F" w14:textId="77777777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5053591D" w14:textId="4BA05287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Review and update the mechanisms for implementing the Strategy to enable a collective ‘learning by doing’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approach,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rather than a traditional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‘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arms-length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’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approach to implementation </w:t>
            </w:r>
          </w:p>
        </w:tc>
        <w:tc>
          <w:tcPr>
            <w:tcW w:w="1164" w:type="dxa"/>
            <w:shd w:val="clear" w:color="auto" w:fill="FFFFFF" w:themeFill="background1"/>
          </w:tcPr>
          <w:p w14:paraId="288E7C49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7D42D2AF" w14:textId="37E0544B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07997F6F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26BA828B" w14:textId="340E9E88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701" w:type="dxa"/>
            <w:shd w:val="clear" w:color="auto" w:fill="FFFFFF" w:themeFill="background1"/>
          </w:tcPr>
          <w:p w14:paraId="5C2ED155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8F0767" w14:paraId="6BE3ACB6" w14:textId="77777777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01463245" w14:textId="6694B5CB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bookmarkStart w:id="1" w:name="_Hlk110339820"/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Develop enduring mechanisms for  Māori, Pacific and non-government leaders, experts and whānau to be actively involved in shaping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the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Strategy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’s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implementation at all levels</w:t>
            </w:r>
            <w:bookmarkEnd w:id="1"/>
          </w:p>
        </w:tc>
        <w:tc>
          <w:tcPr>
            <w:tcW w:w="1164" w:type="dxa"/>
            <w:shd w:val="clear" w:color="auto" w:fill="FFFFFF" w:themeFill="background1"/>
          </w:tcPr>
          <w:p w14:paraId="7D033D01" w14:textId="2FE4A6B7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330" w:type="dxa"/>
            <w:shd w:val="clear" w:color="auto" w:fill="FFFFFF" w:themeFill="background1"/>
          </w:tcPr>
          <w:p w14:paraId="00485B8F" w14:textId="2F4D78C9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72ED3644" w14:textId="71DC961D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564" w:type="dxa"/>
            <w:shd w:val="clear" w:color="auto" w:fill="FFFFFF" w:themeFill="background1"/>
          </w:tcPr>
          <w:p w14:paraId="1147CD30" w14:textId="4A1F75CF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0A975D51" w14:textId="437D31E9" w:rsidR="00D22B50" w:rsidRPr="006F39FD" w:rsidRDefault="00FF0944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  <w:tr w:rsidR="006F39FD" w:rsidRPr="008F0767" w14:paraId="2BA77E64" w14:textId="77777777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371DBE69" w14:textId="494AEE53" w:rsidR="00D22B50" w:rsidRPr="00001DD9" w:rsidRDefault="00D22B50" w:rsidP="008F267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Create accountability for different ways of working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;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and report on the changes being made to national-level system settings in response to, and to inform, what is being learned on the ground about what works to create the conditions for child, youth and whānau wellbeing</w:t>
            </w:r>
          </w:p>
        </w:tc>
        <w:tc>
          <w:tcPr>
            <w:tcW w:w="1164" w:type="dxa"/>
            <w:shd w:val="clear" w:color="auto" w:fill="FFFFFF" w:themeFill="background1"/>
          </w:tcPr>
          <w:p w14:paraId="0B1EA654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31DF925F" w14:textId="33F76848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68FF26A4" w14:textId="35686314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564" w:type="dxa"/>
            <w:shd w:val="clear" w:color="auto" w:fill="FFFFFF" w:themeFill="background1"/>
          </w:tcPr>
          <w:p w14:paraId="1F7A6382" w14:textId="00ADD6B4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701" w:type="dxa"/>
            <w:shd w:val="clear" w:color="auto" w:fill="FFFFFF" w:themeFill="background1"/>
          </w:tcPr>
          <w:p w14:paraId="3548245B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</w:tr>
      <w:tr w:rsidR="006F39FD" w:rsidRPr="008F0767" w14:paraId="46EB0CD1" w14:textId="77777777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401C24EC" w14:textId="134B245B" w:rsidR="00D22B50" w:rsidRPr="00001DD9" w:rsidRDefault="00D22B50" w:rsidP="00D22B5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bookmarkStart w:id="2" w:name="_Hlk110415043"/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Work with agencies, iwi</w:t>
            </w:r>
            <w:r w:rsidR="00FF0944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/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Māori,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and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community partners representing the voices of children and young people</w:t>
            </w:r>
            <w:r w:rsidR="00FF0944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to develop a suite of monitoring, measurement, evaluation and reporting products, tailored to each priority area, to develop the holistic knowledge and evidence base needed to focus on what matters and what works </w:t>
            </w:r>
            <w:bookmarkEnd w:id="2"/>
          </w:p>
        </w:tc>
        <w:tc>
          <w:tcPr>
            <w:tcW w:w="1164" w:type="dxa"/>
            <w:shd w:val="clear" w:color="auto" w:fill="FFFFFF" w:themeFill="background1"/>
          </w:tcPr>
          <w:p w14:paraId="12C13C12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1A2A29DA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253" w:type="dxa"/>
            <w:shd w:val="clear" w:color="auto" w:fill="FFFFFF" w:themeFill="background1"/>
          </w:tcPr>
          <w:p w14:paraId="5E944338" w14:textId="77777777" w:rsidR="00D22B50" w:rsidRPr="006F39FD" w:rsidRDefault="00D22B5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78E3AFEE" w14:textId="2812621A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701" w:type="dxa"/>
            <w:shd w:val="clear" w:color="auto" w:fill="FFFFFF" w:themeFill="background1"/>
          </w:tcPr>
          <w:p w14:paraId="51E12F93" w14:textId="644A4773" w:rsidR="00D22B5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  <w:tr w:rsidR="006F39FD" w:rsidRPr="008F0767" w14:paraId="2C954F31" w14:textId="4675D51E" w:rsidTr="00C728AA">
        <w:trPr>
          <w:trHeight w:val="159"/>
        </w:trPr>
        <w:tc>
          <w:tcPr>
            <w:tcW w:w="9122" w:type="dxa"/>
            <w:shd w:val="clear" w:color="auto" w:fill="F2F2F2" w:themeFill="background1" w:themeFillShade="F2"/>
          </w:tcPr>
          <w:p w14:paraId="4D9A1E9D" w14:textId="5DFA731A" w:rsidR="008F2670" w:rsidRPr="00001DD9" w:rsidRDefault="00D22B50" w:rsidP="008F267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bookmarkStart w:id="3" w:name="_Hlk110339967"/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Include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i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wi/Māori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children and young people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and community organisations to help critically interpret the evidence and generate actionable insights</w:t>
            </w:r>
            <w:bookmarkEnd w:id="3"/>
          </w:p>
        </w:tc>
        <w:tc>
          <w:tcPr>
            <w:tcW w:w="1164" w:type="dxa"/>
            <w:shd w:val="clear" w:color="auto" w:fill="FFFFFF" w:themeFill="background1"/>
          </w:tcPr>
          <w:p w14:paraId="761501A3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676E9F22" w14:textId="10A4017A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35088A37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1F69D609" w14:textId="7ED95652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701" w:type="dxa"/>
            <w:shd w:val="clear" w:color="auto" w:fill="FFFFFF" w:themeFill="background1"/>
          </w:tcPr>
          <w:p w14:paraId="317DBC23" w14:textId="34F0A052" w:rsidR="008F2670" w:rsidRPr="006F39FD" w:rsidRDefault="00FF0944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  <w:tr w:rsidR="006F39FD" w:rsidRPr="008F0767" w14:paraId="005C4545" w14:textId="3FA75532" w:rsidTr="00C728AA">
        <w:trPr>
          <w:trHeight w:val="471"/>
        </w:trPr>
        <w:tc>
          <w:tcPr>
            <w:tcW w:w="9122" w:type="dxa"/>
            <w:shd w:val="clear" w:color="auto" w:fill="F2F2F2" w:themeFill="background1" w:themeFillShade="F2"/>
            <w:hideMark/>
          </w:tcPr>
          <w:p w14:paraId="343214FF" w14:textId="4F32B7EC" w:rsidR="008F2670" w:rsidRPr="00001DD9" w:rsidRDefault="00D22B50" w:rsidP="008F267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Work with iwi/Māori to embed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t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e 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a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o Māori concepts of wellbeing into the Strategy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by understanding how these concepts relate to, and inform, the implementation of the Strategy at all levels </w:t>
            </w:r>
          </w:p>
        </w:tc>
        <w:tc>
          <w:tcPr>
            <w:tcW w:w="1164" w:type="dxa"/>
            <w:shd w:val="clear" w:color="auto" w:fill="FFFFFF" w:themeFill="background1"/>
          </w:tcPr>
          <w:p w14:paraId="7CB6C145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21FB8E57" w14:textId="310D178A" w:rsidR="008F2670" w:rsidRPr="006F39FD" w:rsidRDefault="00FF0944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78AE17CA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7BF7B4FF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117C27C6" w14:textId="72D1800C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  <w:tr w:rsidR="006F39FD" w:rsidRPr="008F0767" w14:paraId="31841EF3" w14:textId="630E8AC7" w:rsidTr="00C728AA">
        <w:trPr>
          <w:trHeight w:val="759"/>
        </w:trPr>
        <w:tc>
          <w:tcPr>
            <w:tcW w:w="9122" w:type="dxa"/>
            <w:shd w:val="clear" w:color="auto" w:fill="F2F2F2" w:themeFill="background1" w:themeFillShade="F2"/>
            <w:hideMark/>
          </w:tcPr>
          <w:p w14:paraId="0E8F7B91" w14:textId="67C6CA8C" w:rsidR="008F2670" w:rsidRPr="00001DD9" w:rsidRDefault="00001DD9" w:rsidP="008F2670">
            <w:pPr>
              <w:pStyle w:val="ReportBody"/>
              <w:numPr>
                <w:ilvl w:val="0"/>
                <w:numId w:val="15"/>
              </w:numPr>
              <w:tabs>
                <w:tab w:val="left" w:pos="720"/>
              </w:tabs>
              <w:spacing w:before="40" w:after="40" w:line="240" w:lineRule="auto"/>
              <w:ind w:right="-96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Includ</w:t>
            </w:r>
            <w:r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e 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in the implementation approach</w:t>
            </w:r>
            <w:r w:rsidR="001D1BED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>,</w:t>
            </w:r>
            <w:r w:rsidRPr="00001DD9">
              <w:rPr>
                <w:rFonts w:asciiTheme="minorHAnsi" w:eastAsiaTheme="minorHAnsi" w:hAnsiTheme="minorHAnsi" w:cstheme="minorHAnsi"/>
                <w:kern w:val="0"/>
                <w:sz w:val="18"/>
                <w:szCs w:val="18"/>
              </w:rPr>
              <w:t xml:space="preserve"> a focus on understanding how system settings can be changed to better nurture and enable culturally-grounded child and youth wellbeing approaches and the application of mātauranga Māori as a knowledge system.</w:t>
            </w:r>
          </w:p>
        </w:tc>
        <w:tc>
          <w:tcPr>
            <w:tcW w:w="1164" w:type="dxa"/>
            <w:shd w:val="clear" w:color="auto" w:fill="FFFFFF" w:themeFill="background1"/>
          </w:tcPr>
          <w:p w14:paraId="40ACEA6E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330" w:type="dxa"/>
            <w:shd w:val="clear" w:color="auto" w:fill="FFFFFF" w:themeFill="background1"/>
          </w:tcPr>
          <w:p w14:paraId="1E06BBD9" w14:textId="73056553" w:rsidR="008F2670" w:rsidRPr="006F39FD" w:rsidRDefault="00FF0944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  <w:tc>
          <w:tcPr>
            <w:tcW w:w="1253" w:type="dxa"/>
            <w:shd w:val="clear" w:color="auto" w:fill="FFFFFF" w:themeFill="background1"/>
          </w:tcPr>
          <w:p w14:paraId="548B45D8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1564" w:type="dxa"/>
            <w:shd w:val="clear" w:color="auto" w:fill="FFFFFF" w:themeFill="background1"/>
          </w:tcPr>
          <w:p w14:paraId="15DEB671" w14:textId="77777777" w:rsidR="008F2670" w:rsidRPr="006F39FD" w:rsidRDefault="008F2670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</w:p>
        </w:tc>
        <w:tc>
          <w:tcPr>
            <w:tcW w:w="701" w:type="dxa"/>
            <w:shd w:val="clear" w:color="auto" w:fill="FFFFFF" w:themeFill="background1"/>
          </w:tcPr>
          <w:p w14:paraId="3FEEE8CF" w14:textId="6A2A3ABA" w:rsidR="008F2670" w:rsidRPr="006F39FD" w:rsidRDefault="006F39FD" w:rsidP="006F39FD">
            <w:pPr>
              <w:pStyle w:val="ReportBody"/>
              <w:tabs>
                <w:tab w:val="left" w:pos="720"/>
              </w:tabs>
              <w:spacing w:before="40" w:after="40" w:line="240" w:lineRule="auto"/>
              <w:ind w:right="-96"/>
              <w:jc w:val="center"/>
              <w:rPr>
                <w:rFonts w:ascii="Arial" w:eastAsiaTheme="minorHAnsi" w:hAnsi="Arial" w:cs="Arial"/>
                <w:kern w:val="0"/>
                <w:sz w:val="36"/>
                <w:szCs w:val="36"/>
              </w:rPr>
            </w:pPr>
            <w:r w:rsidRPr="006F39FD">
              <w:rPr>
                <w:rFonts w:ascii="Calibri" w:eastAsiaTheme="minorHAnsi" w:hAnsi="Calibri" w:cs="Calibri"/>
                <w:b/>
                <w:bCs/>
                <w:color w:val="ED125F"/>
                <w:kern w:val="0"/>
                <w:sz w:val="36"/>
                <w:szCs w:val="36"/>
              </w:rPr>
              <w:t>√</w:t>
            </w:r>
          </w:p>
        </w:tc>
      </w:tr>
    </w:tbl>
    <w:p w14:paraId="30C10BE8" w14:textId="7DE2BD46" w:rsidR="005A30FC" w:rsidRPr="0095587E" w:rsidRDefault="000B71CA">
      <w:pPr>
        <w:rPr>
          <w:rFonts w:ascii="Zooja Light Pro" w:hAnsi="Zooja Light Pro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5FA63F" wp14:editId="53D3C2BD">
                <wp:simplePos x="0" y="0"/>
                <wp:positionH relativeFrom="column">
                  <wp:posOffset>-47625</wp:posOffset>
                </wp:positionH>
                <wp:positionV relativeFrom="paragraph">
                  <wp:posOffset>57150</wp:posOffset>
                </wp:positionV>
                <wp:extent cx="3524250" cy="1952625"/>
                <wp:effectExtent l="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EFC9D" w14:textId="7772ECBC" w:rsidR="0095587E" w:rsidRPr="00444E9A" w:rsidRDefault="00E24D1A" w:rsidP="002F7790">
                            <w:pPr>
                              <w:spacing w:before="120" w:after="0" w:line="192" w:lineRule="auto"/>
                              <w:jc w:val="center"/>
                              <w:rPr>
                                <w:b/>
                                <w:bCs/>
                                <w:color w:val="ED125F"/>
                              </w:rPr>
                            </w:pPr>
                            <w:r w:rsidRPr="00E24D1A">
                              <w:rPr>
                                <w:rFonts w:ascii="Zooja Light Pro" w:hAnsi="Zooja Light Pro"/>
                                <w:color w:val="ED125F"/>
                                <w:sz w:val="92"/>
                                <w:szCs w:val="92"/>
                              </w:rPr>
                              <w:t>2022</w:t>
                            </w:r>
                            <w:r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95587E" w:rsidRPr="00444E9A"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72"/>
                                <w:szCs w:val="72"/>
                              </w:rPr>
                              <w:t>REVIEW OF THE CHILD AND YOUTH WELLBEING STRATEGY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FA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4.5pt;width:277.5pt;height:15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" filled="f" stroked="f">
                <v:textbox>
                  <w:txbxContent>
                    <w:p w14:paraId="739EFC9D" w14:textId="7772ECBC" w:rsidR="0095587E" w:rsidRPr="00444E9A" w:rsidRDefault="00E24D1A" w:rsidP="002F7790">
                      <w:pPr>
                        <w:spacing w:before="120" w:after="0" w:line="192" w:lineRule="auto"/>
                        <w:jc w:val="center"/>
                        <w:rPr>
                          <w:b/>
                          <w:bCs/>
                          <w:color w:val="ED125F"/>
                        </w:rPr>
                      </w:pPr>
                      <w:r w:rsidRPr="00E24D1A">
                        <w:rPr>
                          <w:rFonts w:ascii="Zooja Light Pro" w:hAnsi="Zooja Light Pro"/>
                          <w:color w:val="ED125F"/>
                          <w:sz w:val="92"/>
                          <w:szCs w:val="92"/>
                        </w:rPr>
                        <w:t>2022</w:t>
                      </w:r>
                      <w:r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72"/>
                          <w:szCs w:val="72"/>
                        </w:rPr>
                        <w:t xml:space="preserve"> </w:t>
                      </w:r>
                      <w:r w:rsidR="0095587E" w:rsidRPr="00444E9A"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72"/>
                          <w:szCs w:val="72"/>
                        </w:rPr>
                        <w:t>REVIEW OF THE CHILD AND YOUTH WELLBEING STRATEGY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F445C2" wp14:editId="76C3F59A">
                <wp:simplePos x="0" y="0"/>
                <wp:positionH relativeFrom="column">
                  <wp:posOffset>66675</wp:posOffset>
                </wp:positionH>
                <wp:positionV relativeFrom="paragraph">
                  <wp:posOffset>1914525</wp:posOffset>
                </wp:positionV>
                <wp:extent cx="3829050" cy="3053715"/>
                <wp:effectExtent l="9525" t="7620" r="9525" b="571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0537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29B783" w14:textId="5ABB5446" w:rsidR="00694C89" w:rsidRPr="00903C55" w:rsidRDefault="00694C89" w:rsidP="00694C89">
                            <w:pPr>
                              <w:tabs>
                                <w:tab w:val="num" w:pos="360"/>
                              </w:tabs>
                              <w:spacing w:before="40" w:after="40" w:line="240" w:lineRule="auto"/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</w:pPr>
                            <w:r w:rsidRPr="00903C55"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  <w:t>KEY ENABLERS</w:t>
                            </w:r>
                          </w:p>
                          <w:p w14:paraId="02CD2DDF" w14:textId="30760B89" w:rsidR="00BF2F93" w:rsidRPr="00BF2F93" w:rsidRDefault="00BF2F93" w:rsidP="00F0689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240"/>
                              </w:tabs>
                              <w:spacing w:before="40" w:after="40" w:line="240" w:lineRule="auto"/>
                              <w:ind w:left="360"/>
                            </w:pPr>
                            <w:r w:rsidRPr="00BF2F93">
                              <w:rPr>
                                <w:sz w:val="20"/>
                                <w:szCs w:val="20"/>
                              </w:rPr>
                              <w:t xml:space="preserve">Government agencies have collective ownership of, and responsibility for, </w:t>
                            </w:r>
                            <w:r w:rsidR="00147E77" w:rsidRPr="00147E77">
                              <w:rPr>
                                <w:sz w:val="20"/>
                                <w:szCs w:val="20"/>
                              </w:rPr>
                              <w:t xml:space="preserve">working alongside communities to implement </w:t>
                            </w:r>
                            <w:r w:rsidRPr="00BF2F93">
                              <w:rPr>
                                <w:sz w:val="20"/>
                                <w:szCs w:val="20"/>
                              </w:rPr>
                              <w:t>the Strategy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F2F93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396B8097" w14:textId="17005518" w:rsidR="008809F7" w:rsidRPr="00C429F9" w:rsidRDefault="008809F7" w:rsidP="00F0689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240"/>
                              </w:tabs>
                              <w:spacing w:before="40" w:after="4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Key enablers </w:t>
                            </w:r>
                            <w:r w:rsidR="00A647C4">
                              <w:rPr>
                                <w:sz w:val="20"/>
                                <w:szCs w:val="20"/>
                              </w:rPr>
                              <w:t xml:space="preserve">that will help drive and support the implementation of the Strategy are: </w:t>
                            </w:r>
                          </w:p>
                          <w:p w14:paraId="6C30E410" w14:textId="77777777" w:rsidR="008809F7" w:rsidRPr="008809F7" w:rsidRDefault="008809F7" w:rsidP="00105EFC">
                            <w:pPr>
                              <w:numPr>
                                <w:ilvl w:val="0"/>
                                <w:numId w:val="16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improving 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governance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 arrangements </w:t>
                            </w:r>
                          </w:p>
                          <w:p w14:paraId="2AAA3765" w14:textId="025EEFD0" w:rsidR="008809F7" w:rsidRPr="008809F7" w:rsidRDefault="008809F7" w:rsidP="00105EFC">
                            <w:pPr>
                              <w:numPr>
                                <w:ilvl w:val="0"/>
                                <w:numId w:val="16"/>
                              </w:numPr>
                              <w:spacing w:before="40" w:after="40" w:line="192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harnessing 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collective ownership</w:t>
                            </w:r>
                            <w:r w:rsidR="00A647C4">
                              <w:rPr>
                                <w:sz w:val="20"/>
                                <w:szCs w:val="20"/>
                              </w:rPr>
                              <w:t xml:space="preserve"> and involvement of children and young people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1BE1A6" w14:textId="77777777" w:rsidR="008809F7" w:rsidRPr="008809F7" w:rsidRDefault="008809F7" w:rsidP="00105EFC">
                            <w:pPr>
                              <w:numPr>
                                <w:ilvl w:val="0"/>
                                <w:numId w:val="16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enabling 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whānau-centred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>, community-led approaches</w:t>
                            </w:r>
                          </w:p>
                          <w:p w14:paraId="4BAC93D7" w14:textId="77777777" w:rsidR="008809F7" w:rsidRPr="008809F7" w:rsidRDefault="008809F7" w:rsidP="00105EFC">
                            <w:pPr>
                              <w:numPr>
                                <w:ilvl w:val="0"/>
                                <w:numId w:val="16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improving 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measurement, monitoring and reporting</w:t>
                            </w:r>
                          </w:p>
                          <w:p w14:paraId="36B08695" w14:textId="05B36B94" w:rsidR="008809F7" w:rsidRPr="00C429F9" w:rsidRDefault="008809F7" w:rsidP="00105EFC">
                            <w:pPr>
                              <w:numPr>
                                <w:ilvl w:val="0"/>
                                <w:numId w:val="16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embedding </w:t>
                            </w:r>
                            <w:r w:rsidR="001D1B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1D1BE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001DD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Māori concepts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 of wellbeing. </w:t>
                            </w:r>
                          </w:p>
                          <w:p w14:paraId="6CDED0CA" w14:textId="55883C35" w:rsidR="008809F7" w:rsidRPr="008809F7" w:rsidRDefault="00A80B12" w:rsidP="00F0689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num" w:pos="3240"/>
                              </w:tabs>
                              <w:spacing w:before="40" w:after="40" w:line="240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Sitting </w:t>
                            </w:r>
                            <w:r w:rsidR="00D41293">
                              <w:rPr>
                                <w:sz w:val="20"/>
                                <w:szCs w:val="20"/>
                              </w:rPr>
                              <w:t>within</w:t>
                            </w:r>
                            <w:r w:rsidR="00DE1A31">
                              <w:rPr>
                                <w:sz w:val="20"/>
                                <w:szCs w:val="20"/>
                              </w:rPr>
                              <w:t xml:space="preserve"> these</w:t>
                            </w:r>
                            <w:r w:rsidR="0083059E" w:rsidRPr="00C429F9">
                              <w:rPr>
                                <w:sz w:val="20"/>
                                <w:szCs w:val="20"/>
                              </w:rPr>
                              <w:t xml:space="preserve"> five enablers are </w:t>
                            </w:r>
                            <w:r w:rsidR="0055182B" w:rsidRPr="00C429F9">
                              <w:rPr>
                                <w:sz w:val="20"/>
                                <w:szCs w:val="20"/>
                              </w:rPr>
                              <w:t xml:space="preserve">16 recommendations that </w:t>
                            </w:r>
                            <w:r w:rsidR="0083059E" w:rsidRPr="00C429F9">
                              <w:rPr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="0095587E" w:rsidRPr="00C429F9">
                              <w:rPr>
                                <w:sz w:val="20"/>
                                <w:szCs w:val="20"/>
                              </w:rPr>
                              <w:t xml:space="preserve">help </w:t>
                            </w:r>
                            <w:r w:rsidR="00105EFC">
                              <w:rPr>
                                <w:sz w:val="20"/>
                                <w:szCs w:val="20"/>
                              </w:rPr>
                              <w:t>advance</w:t>
                            </w:r>
                            <w:r w:rsidR="00A647C4" w:rsidRPr="00C429F9">
                              <w:rPr>
                                <w:sz w:val="20"/>
                                <w:szCs w:val="20"/>
                              </w:rPr>
                              <w:t xml:space="preserve"> the wellbeing of children and young people</w:t>
                            </w:r>
                            <w:r w:rsidR="00C728AA">
                              <w:rPr>
                                <w:sz w:val="20"/>
                                <w:szCs w:val="20"/>
                              </w:rPr>
                              <w:t xml:space="preserve"> – see table</w:t>
                            </w:r>
                            <w:r w:rsidR="00A647C4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89F1A4" w14:textId="730F9014" w:rsidR="008809F7" w:rsidRPr="0083059E" w:rsidRDefault="008809F7" w:rsidP="0095587E">
                            <w:pPr>
                              <w:spacing w:before="40" w:after="40" w:line="240" w:lineRule="auto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F445C2" id="Text Box 6" o:spid="_x0000_s1027" type="#_x0000_t202" style="position:absolute;margin-left:5.25pt;margin-top:150.75pt;width:301.5pt;height:240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" filled="f" strokecolor="white [3212]" strokeweight=".25pt">
                <v:textbox style="mso-fit-shape-to-text:t">
                  <w:txbxContent>
                    <w:p w14:paraId="7F29B783" w14:textId="5ABB5446" w:rsidR="00694C89" w:rsidRPr="00903C55" w:rsidRDefault="00694C89" w:rsidP="00694C89">
                      <w:pPr>
                        <w:tabs>
                          <w:tab w:val="num" w:pos="360"/>
                        </w:tabs>
                        <w:spacing w:before="40" w:after="40" w:line="240" w:lineRule="auto"/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</w:pPr>
                      <w:r w:rsidRPr="00903C55"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  <w:t>KEY ENABLERS</w:t>
                      </w:r>
                    </w:p>
                    <w:p w14:paraId="02CD2DDF" w14:textId="30760B89" w:rsidR="00BF2F93" w:rsidRPr="00BF2F93" w:rsidRDefault="00BF2F93" w:rsidP="00F06894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240"/>
                        </w:tabs>
                        <w:spacing w:before="40" w:after="40" w:line="240" w:lineRule="auto"/>
                        <w:ind w:left="360"/>
                      </w:pPr>
                      <w:r w:rsidRPr="00BF2F93">
                        <w:rPr>
                          <w:sz w:val="20"/>
                          <w:szCs w:val="20"/>
                        </w:rPr>
                        <w:t xml:space="preserve">Government agencies have collective ownership of, and responsibility for, </w:t>
                      </w:r>
                      <w:r w:rsidR="00147E77" w:rsidRPr="00147E77">
                        <w:rPr>
                          <w:sz w:val="20"/>
                          <w:szCs w:val="20"/>
                        </w:rPr>
                        <w:t xml:space="preserve">working alongside communities to implement </w:t>
                      </w:r>
                      <w:r w:rsidRPr="00BF2F93">
                        <w:rPr>
                          <w:sz w:val="20"/>
                          <w:szCs w:val="20"/>
                        </w:rPr>
                        <w:t>the Strategy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BF2F93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396B8097" w14:textId="17005518" w:rsidR="008809F7" w:rsidRPr="00C429F9" w:rsidRDefault="008809F7" w:rsidP="00F06894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240"/>
                        </w:tabs>
                        <w:spacing w:before="40" w:after="4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Key enablers </w:t>
                      </w:r>
                      <w:r w:rsidR="00A647C4">
                        <w:rPr>
                          <w:sz w:val="20"/>
                          <w:szCs w:val="20"/>
                        </w:rPr>
                        <w:t xml:space="preserve">that will help drive and support the implementation of the Strategy are: </w:t>
                      </w:r>
                    </w:p>
                    <w:p w14:paraId="6C30E410" w14:textId="77777777" w:rsidR="008809F7" w:rsidRPr="008809F7" w:rsidRDefault="008809F7" w:rsidP="00105EFC">
                      <w:pPr>
                        <w:numPr>
                          <w:ilvl w:val="0"/>
                          <w:numId w:val="16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improving 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>governance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 arrangements </w:t>
                      </w:r>
                    </w:p>
                    <w:p w14:paraId="2AAA3765" w14:textId="025EEFD0" w:rsidR="008809F7" w:rsidRPr="008809F7" w:rsidRDefault="008809F7" w:rsidP="00105EFC">
                      <w:pPr>
                        <w:numPr>
                          <w:ilvl w:val="0"/>
                          <w:numId w:val="16"/>
                        </w:numPr>
                        <w:spacing w:before="40" w:after="40" w:line="192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harnessing 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>collective ownership</w:t>
                      </w:r>
                      <w:r w:rsidR="00A647C4">
                        <w:rPr>
                          <w:sz w:val="20"/>
                          <w:szCs w:val="20"/>
                        </w:rPr>
                        <w:t xml:space="preserve"> and involvement of children and young people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1BE1A6" w14:textId="77777777" w:rsidR="008809F7" w:rsidRPr="008809F7" w:rsidRDefault="008809F7" w:rsidP="00105EFC">
                      <w:pPr>
                        <w:numPr>
                          <w:ilvl w:val="0"/>
                          <w:numId w:val="16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enabling 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>whānau-centred</w:t>
                      </w:r>
                      <w:r w:rsidRPr="00C429F9">
                        <w:rPr>
                          <w:sz w:val="20"/>
                          <w:szCs w:val="20"/>
                        </w:rPr>
                        <w:t>, community-led approaches</w:t>
                      </w:r>
                    </w:p>
                    <w:p w14:paraId="4BAC93D7" w14:textId="77777777" w:rsidR="008809F7" w:rsidRPr="008809F7" w:rsidRDefault="008809F7" w:rsidP="00105EFC">
                      <w:pPr>
                        <w:numPr>
                          <w:ilvl w:val="0"/>
                          <w:numId w:val="16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improving 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>measurement, monitoring and reporting</w:t>
                      </w:r>
                    </w:p>
                    <w:p w14:paraId="36B08695" w14:textId="05B36B94" w:rsidR="008809F7" w:rsidRPr="00C429F9" w:rsidRDefault="008809F7" w:rsidP="00105EFC">
                      <w:pPr>
                        <w:numPr>
                          <w:ilvl w:val="0"/>
                          <w:numId w:val="16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embedding </w:t>
                      </w:r>
                      <w:r w:rsidR="001D1BED">
                        <w:rPr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 xml:space="preserve">e </w:t>
                      </w:r>
                      <w:r w:rsidR="001D1BED"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Pr="00001DD9">
                        <w:rPr>
                          <w:b/>
                          <w:bCs/>
                          <w:sz w:val="20"/>
                          <w:szCs w:val="20"/>
                        </w:rPr>
                        <w:t>o Māori concepts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 of wellbeing. </w:t>
                      </w:r>
                    </w:p>
                    <w:p w14:paraId="6CDED0CA" w14:textId="55883C35" w:rsidR="008809F7" w:rsidRPr="008809F7" w:rsidRDefault="00A80B12" w:rsidP="00F06894">
                      <w:pPr>
                        <w:numPr>
                          <w:ilvl w:val="0"/>
                          <w:numId w:val="10"/>
                        </w:numPr>
                        <w:tabs>
                          <w:tab w:val="num" w:pos="3240"/>
                        </w:tabs>
                        <w:spacing w:before="40" w:after="40" w:line="240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Sitting </w:t>
                      </w:r>
                      <w:r w:rsidR="00D41293">
                        <w:rPr>
                          <w:sz w:val="20"/>
                          <w:szCs w:val="20"/>
                        </w:rPr>
                        <w:t>within</w:t>
                      </w:r>
                      <w:r w:rsidR="00DE1A31">
                        <w:rPr>
                          <w:sz w:val="20"/>
                          <w:szCs w:val="20"/>
                        </w:rPr>
                        <w:t xml:space="preserve"> these</w:t>
                      </w:r>
                      <w:r w:rsidR="0083059E" w:rsidRPr="00C429F9">
                        <w:rPr>
                          <w:sz w:val="20"/>
                          <w:szCs w:val="20"/>
                        </w:rPr>
                        <w:t xml:space="preserve"> five enablers are </w:t>
                      </w:r>
                      <w:r w:rsidR="0055182B" w:rsidRPr="00C429F9">
                        <w:rPr>
                          <w:sz w:val="20"/>
                          <w:szCs w:val="20"/>
                        </w:rPr>
                        <w:t xml:space="preserve">16 recommendations that </w:t>
                      </w:r>
                      <w:r w:rsidR="0083059E" w:rsidRPr="00C429F9">
                        <w:rPr>
                          <w:sz w:val="20"/>
                          <w:szCs w:val="20"/>
                        </w:rPr>
                        <w:t xml:space="preserve">will </w:t>
                      </w:r>
                      <w:r w:rsidR="0095587E" w:rsidRPr="00C429F9">
                        <w:rPr>
                          <w:sz w:val="20"/>
                          <w:szCs w:val="20"/>
                        </w:rPr>
                        <w:t xml:space="preserve">help </w:t>
                      </w:r>
                      <w:r w:rsidR="00105EFC">
                        <w:rPr>
                          <w:sz w:val="20"/>
                          <w:szCs w:val="20"/>
                        </w:rPr>
                        <w:t>advance</w:t>
                      </w:r>
                      <w:r w:rsidR="00A647C4" w:rsidRPr="00C429F9">
                        <w:rPr>
                          <w:sz w:val="20"/>
                          <w:szCs w:val="20"/>
                        </w:rPr>
                        <w:t xml:space="preserve"> the wellbeing of children and young people</w:t>
                      </w:r>
                      <w:r w:rsidR="00C728AA">
                        <w:rPr>
                          <w:sz w:val="20"/>
                          <w:szCs w:val="20"/>
                        </w:rPr>
                        <w:t xml:space="preserve"> – see table</w:t>
                      </w:r>
                      <w:r w:rsidR="00A647C4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889F1A4" w14:textId="730F9014" w:rsidR="008809F7" w:rsidRPr="0083059E" w:rsidRDefault="008809F7" w:rsidP="0095587E">
                      <w:pPr>
                        <w:spacing w:before="40" w:after="40" w:line="240" w:lineRule="auto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37BF84" wp14:editId="62132852">
                <wp:simplePos x="0" y="0"/>
                <wp:positionH relativeFrom="column">
                  <wp:posOffset>66675</wp:posOffset>
                </wp:positionH>
                <wp:positionV relativeFrom="paragraph">
                  <wp:posOffset>4905375</wp:posOffset>
                </wp:positionV>
                <wp:extent cx="3667125" cy="3419475"/>
                <wp:effectExtent l="9525" t="7620" r="9525" b="1143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3419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FAD2C9" w14:textId="06AF0DEA" w:rsidR="004B72FE" w:rsidRPr="00903C55" w:rsidRDefault="00694C89" w:rsidP="00694C89">
                            <w:pPr>
                              <w:tabs>
                                <w:tab w:val="num" w:pos="360"/>
                              </w:tabs>
                              <w:spacing w:before="40" w:after="40" w:line="240" w:lineRule="auto"/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</w:pPr>
                            <w:r w:rsidRPr="00903C55"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  <w:t>PRIORITY AREAS</w:t>
                            </w:r>
                          </w:p>
                          <w:p w14:paraId="01E80FF9" w14:textId="59C51675" w:rsidR="004B72FE" w:rsidRPr="00C429F9" w:rsidRDefault="004B72FE" w:rsidP="00F068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These are the areas that have the most potential to make a positive difference towards achieving the Strategy’s outcomes</w:t>
                            </w:r>
                            <w:r w:rsidR="00C646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BAB35D" w14:textId="78FB5C5E" w:rsidR="004B72FE" w:rsidRDefault="004B72FE" w:rsidP="00F068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They each have a Lead Chief Executive/s, who will act as system convenor to help drive policy and investment decisions and support implementation.</w:t>
                            </w:r>
                          </w:p>
                          <w:p w14:paraId="5E13887E" w14:textId="30F23C17" w:rsidR="00C64670" w:rsidRPr="004B72FE" w:rsidRDefault="00C64670" w:rsidP="00F0689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key priority areas include:</w:t>
                            </w:r>
                          </w:p>
                          <w:p w14:paraId="077FC431" w14:textId="77777777" w:rsidR="004B72FE" w:rsidRPr="004B72FE" w:rsidRDefault="004B72FE" w:rsidP="00F06894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ind w:left="718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reducing child poverty and mitigating the impacts of socio-economic disadvantage (DPMC, with further work required to identify a joint Lead CE)</w:t>
                            </w:r>
                          </w:p>
                          <w:p w14:paraId="4B963144" w14:textId="1D664609" w:rsidR="004B72FE" w:rsidRPr="004B72FE" w:rsidRDefault="004B72FE" w:rsidP="00F06894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ind w:left="718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enhancing child and whānau wellbeing in the first 1000 days (DPMC, with further work required to identify a joint Lead CE )</w:t>
                            </w:r>
                          </w:p>
                          <w:p w14:paraId="5BECD0A6" w14:textId="77777777" w:rsidR="004B72FE" w:rsidRPr="004B72FE" w:rsidRDefault="004B72FE" w:rsidP="00F06894">
                            <w:pPr>
                              <w:numPr>
                                <w:ilvl w:val="1"/>
                                <w:numId w:val="11"/>
                              </w:numPr>
                              <w:tabs>
                                <w:tab w:val="num" w:pos="3600"/>
                              </w:tabs>
                              <w:spacing w:before="40" w:after="40" w:line="240" w:lineRule="auto"/>
                              <w:ind w:left="718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addressing racism, discrimination and stigma (Ministry of Justice and Ministry of Education)</w:t>
                            </w:r>
                          </w:p>
                          <w:p w14:paraId="5D54CFB0" w14:textId="07A285A5" w:rsidR="004B72FE" w:rsidRDefault="004B72FE" w:rsidP="00F06894">
                            <w:pPr>
                              <w:numPr>
                                <w:ilvl w:val="1"/>
                                <w:numId w:val="11"/>
                              </w:numPr>
                              <w:spacing w:before="40" w:after="40" w:line="240" w:lineRule="auto"/>
                              <w:ind w:left="718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enhancing the mental wellbeing of children and young people (Ministry of Health, with further work required to identify a joint Lead CE).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7BF84" id="Text Box 4" o:spid="_x0000_s1028" type="#_x0000_t202" style="position:absolute;margin-left:5.25pt;margin-top:386.25pt;width:288.75pt;height:26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" filled="f" strokecolor="white [3212]" strokeweight=".25pt">
                <v:textbox>
                  <w:txbxContent>
                    <w:p w14:paraId="60FAD2C9" w14:textId="06AF0DEA" w:rsidR="004B72FE" w:rsidRPr="00903C55" w:rsidRDefault="00694C89" w:rsidP="00694C89">
                      <w:pPr>
                        <w:tabs>
                          <w:tab w:val="num" w:pos="360"/>
                        </w:tabs>
                        <w:spacing w:before="40" w:after="40" w:line="240" w:lineRule="auto"/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</w:pPr>
                      <w:r w:rsidRPr="00903C55"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  <w:t>PRIORITY AREAS</w:t>
                      </w:r>
                    </w:p>
                    <w:p w14:paraId="01E80FF9" w14:textId="59C51675" w:rsidR="004B72FE" w:rsidRPr="00C429F9" w:rsidRDefault="004B72FE" w:rsidP="00F06894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These are the areas that have the most potential to make a positive difference towards achieving the Strategy’s outcomes</w:t>
                      </w:r>
                      <w:r w:rsidR="00C6467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ABAB35D" w14:textId="78FB5C5E" w:rsidR="004B72FE" w:rsidRDefault="004B72FE" w:rsidP="00F06894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They each have a Lead Chief Executive/s, who will act as system convenor to help drive policy and investment decisions and support implementation.</w:t>
                      </w:r>
                    </w:p>
                    <w:p w14:paraId="5E13887E" w14:textId="30F23C17" w:rsidR="00C64670" w:rsidRPr="004B72FE" w:rsidRDefault="00C64670" w:rsidP="00F06894">
                      <w:pPr>
                        <w:numPr>
                          <w:ilvl w:val="0"/>
                          <w:numId w:val="12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key priority areas include:</w:t>
                      </w:r>
                    </w:p>
                    <w:p w14:paraId="077FC431" w14:textId="77777777" w:rsidR="004B72FE" w:rsidRPr="004B72FE" w:rsidRDefault="004B72FE" w:rsidP="00F06894">
                      <w:pPr>
                        <w:numPr>
                          <w:ilvl w:val="1"/>
                          <w:numId w:val="11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ind w:left="718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reducing child poverty and mitigating the impacts of socio-economic disadvantage (DPMC, with further work required to identify a joint Lead CE)</w:t>
                      </w:r>
                    </w:p>
                    <w:p w14:paraId="4B963144" w14:textId="1D664609" w:rsidR="004B72FE" w:rsidRPr="004B72FE" w:rsidRDefault="004B72FE" w:rsidP="00F06894">
                      <w:pPr>
                        <w:numPr>
                          <w:ilvl w:val="1"/>
                          <w:numId w:val="11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ind w:left="718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enhancing child and whānau wellbeing in the first 1000 days (DPMC, with further work required to identify a joint Lead CE )</w:t>
                      </w:r>
                    </w:p>
                    <w:p w14:paraId="5BECD0A6" w14:textId="77777777" w:rsidR="004B72FE" w:rsidRPr="004B72FE" w:rsidRDefault="004B72FE" w:rsidP="00F06894">
                      <w:pPr>
                        <w:numPr>
                          <w:ilvl w:val="1"/>
                          <w:numId w:val="11"/>
                        </w:numPr>
                        <w:tabs>
                          <w:tab w:val="num" w:pos="3600"/>
                        </w:tabs>
                        <w:spacing w:before="40" w:after="40" w:line="240" w:lineRule="auto"/>
                        <w:ind w:left="718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addressing racism, discrimination and stigma (Ministry of Justice and Ministry of Education)</w:t>
                      </w:r>
                    </w:p>
                    <w:p w14:paraId="5D54CFB0" w14:textId="07A285A5" w:rsidR="004B72FE" w:rsidRDefault="004B72FE" w:rsidP="00F06894">
                      <w:pPr>
                        <w:numPr>
                          <w:ilvl w:val="1"/>
                          <w:numId w:val="11"/>
                        </w:numPr>
                        <w:spacing w:before="40" w:after="40" w:line="240" w:lineRule="auto"/>
                        <w:ind w:left="718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enhancing the mental wellbeing of children and young people (Ministry of Health, with further work required to identify a joint Lead CE).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362B46" wp14:editId="4C973E7C">
                <wp:simplePos x="0" y="0"/>
                <wp:positionH relativeFrom="column">
                  <wp:posOffset>4048125</wp:posOffset>
                </wp:positionH>
                <wp:positionV relativeFrom="paragraph">
                  <wp:posOffset>133350</wp:posOffset>
                </wp:positionV>
                <wp:extent cx="4695825" cy="2609850"/>
                <wp:effectExtent l="0" t="0" r="0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4C0B3" w14:textId="77777777" w:rsidR="0055182B" w:rsidRPr="00444E9A" w:rsidRDefault="0055182B" w:rsidP="0055182B">
                            <w:pPr>
                              <w:tabs>
                                <w:tab w:val="num" w:pos="360"/>
                              </w:tabs>
                              <w:spacing w:before="40" w:after="40" w:line="240" w:lineRule="auto"/>
                              <w:rPr>
                                <w:rFonts w:ascii="Zooja Light Pro" w:hAnsi="Zooja Light Pro"/>
                                <w:color w:val="ED125F"/>
                                <w:sz w:val="44"/>
                                <w:szCs w:val="44"/>
                              </w:rPr>
                            </w:pPr>
                            <w:r w:rsidRPr="00903C55"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  <w:t>OVERVIEW</w:t>
                            </w:r>
                            <w:r w:rsidRPr="00444E9A">
                              <w:rPr>
                                <w:rFonts w:ascii="Zooja Light Pro" w:hAnsi="Zooja Light Pro"/>
                                <w:color w:val="ED125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62518C7C" w14:textId="77777777" w:rsidR="0055182B" w:rsidRPr="00C429F9" w:rsidRDefault="0055182B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3B56">
                              <w:rPr>
                                <w:sz w:val="20"/>
                                <w:szCs w:val="20"/>
                              </w:rPr>
                              <w:t xml:space="preserve">The Legislation requires that the 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Child and youth Wellbeing </w:t>
                            </w:r>
                            <w:r w:rsidRPr="008D3B56">
                              <w:rPr>
                                <w:sz w:val="20"/>
                                <w:szCs w:val="20"/>
                              </w:rPr>
                              <w:t>Strategy is reviewed within three years of its adoption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8D3B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875BBE" w14:textId="77777777" w:rsidR="0055182B" w:rsidRPr="008D3B56" w:rsidRDefault="0055182B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3B56">
                              <w:rPr>
                                <w:sz w:val="20"/>
                                <w:szCs w:val="20"/>
                              </w:rPr>
                              <w:t>The first review of the Strategy was completed by the 18 August 2022 deadline.</w:t>
                            </w:r>
                          </w:p>
                          <w:p w14:paraId="7CD77B09" w14:textId="7174D813" w:rsidR="0055182B" w:rsidRPr="008D3B56" w:rsidRDefault="0055182B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3B56">
                              <w:rPr>
                                <w:sz w:val="20"/>
                                <w:szCs w:val="20"/>
                              </w:rPr>
                              <w:t>The review was informed by a broad range of sources, including recent reporting, a Process Evaluation, evaluations of specific work programmes, insights and themes from research reports and engagements released since the development of the Strategy.</w:t>
                            </w:r>
                          </w:p>
                          <w:p w14:paraId="71980193" w14:textId="77777777" w:rsidR="0055182B" w:rsidRPr="008D3B56" w:rsidRDefault="0055182B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8D3B56">
                              <w:rPr>
                                <w:sz w:val="20"/>
                                <w:szCs w:val="20"/>
                              </w:rPr>
                              <w:t>Targeted stakeholder engagement, including with children and young people, was also undertaken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 to inform the review.</w:t>
                            </w:r>
                          </w:p>
                          <w:p w14:paraId="6F816799" w14:textId="77777777" w:rsidR="0055182B" w:rsidRPr="00C429F9" w:rsidRDefault="0055182B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>The Review focused on the things that will help drive and prioritise government policy and harness collective action outside of government.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62B46" id="Text Box 7" o:spid="_x0000_s1029" type="#_x0000_t202" style="position:absolute;margin-left:318.75pt;margin-top:10.5pt;width:369.75pt;height:20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" filled="f" stroked="f" strokecolor="white" strokeweight=".25pt">
                <v:textbox>
                  <w:txbxContent>
                    <w:p w14:paraId="65B4C0B3" w14:textId="77777777" w:rsidR="0055182B" w:rsidRPr="00444E9A" w:rsidRDefault="0055182B" w:rsidP="0055182B">
                      <w:pPr>
                        <w:tabs>
                          <w:tab w:val="num" w:pos="360"/>
                        </w:tabs>
                        <w:spacing w:before="40" w:after="40" w:line="240" w:lineRule="auto"/>
                        <w:rPr>
                          <w:rFonts w:ascii="Zooja Light Pro" w:hAnsi="Zooja Light Pro"/>
                          <w:color w:val="ED125F"/>
                          <w:sz w:val="44"/>
                          <w:szCs w:val="44"/>
                        </w:rPr>
                      </w:pPr>
                      <w:r w:rsidRPr="00903C55"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  <w:t>OVERVIEW</w:t>
                      </w:r>
                      <w:r w:rsidRPr="00444E9A">
                        <w:rPr>
                          <w:rFonts w:ascii="Zooja Light Pro" w:hAnsi="Zooja Light Pro"/>
                          <w:color w:val="ED125F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62518C7C" w14:textId="77777777" w:rsidR="0055182B" w:rsidRPr="00C429F9" w:rsidRDefault="0055182B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8D3B56">
                        <w:rPr>
                          <w:sz w:val="20"/>
                          <w:szCs w:val="20"/>
                        </w:rPr>
                        <w:t xml:space="preserve">The Legislation requires that the 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Child and youth Wellbeing </w:t>
                      </w:r>
                      <w:r w:rsidRPr="008D3B56">
                        <w:rPr>
                          <w:sz w:val="20"/>
                          <w:szCs w:val="20"/>
                        </w:rPr>
                        <w:t>Strategy is reviewed within three years of its adoption</w:t>
                      </w:r>
                      <w:r w:rsidRPr="00C429F9">
                        <w:rPr>
                          <w:sz w:val="20"/>
                          <w:szCs w:val="20"/>
                        </w:rPr>
                        <w:t>.</w:t>
                      </w:r>
                      <w:r w:rsidRPr="008D3B5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875BBE" w14:textId="77777777" w:rsidR="0055182B" w:rsidRPr="008D3B56" w:rsidRDefault="0055182B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8D3B56">
                        <w:rPr>
                          <w:sz w:val="20"/>
                          <w:szCs w:val="20"/>
                        </w:rPr>
                        <w:t>The first review of the Strategy was completed by the 18 August 2022 deadline.</w:t>
                      </w:r>
                    </w:p>
                    <w:p w14:paraId="7CD77B09" w14:textId="7174D813" w:rsidR="0055182B" w:rsidRPr="008D3B56" w:rsidRDefault="0055182B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8D3B56">
                        <w:rPr>
                          <w:sz w:val="20"/>
                          <w:szCs w:val="20"/>
                        </w:rPr>
                        <w:t>The review was informed by a broad range of sources, including recent reporting, a Process Evaluation, evaluations of specific work programmes, insights and themes from research reports and engagements released since the development of the Strategy.</w:t>
                      </w:r>
                    </w:p>
                    <w:p w14:paraId="71980193" w14:textId="77777777" w:rsidR="0055182B" w:rsidRPr="008D3B56" w:rsidRDefault="0055182B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8D3B56">
                        <w:rPr>
                          <w:sz w:val="20"/>
                          <w:szCs w:val="20"/>
                        </w:rPr>
                        <w:t>Targeted stakeholder engagement, including with children and young people, was also undertaken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 to inform the review.</w:t>
                      </w:r>
                    </w:p>
                    <w:p w14:paraId="6F816799" w14:textId="77777777" w:rsidR="0055182B" w:rsidRPr="00C429F9" w:rsidRDefault="0055182B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>The Review focused on the things that will help drive and prioritise government policy and harness collective action outside of government.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 wp14:anchorId="7A5B491E" wp14:editId="31C04D49">
                <wp:simplePos x="0" y="0"/>
                <wp:positionH relativeFrom="column">
                  <wp:posOffset>9058275</wp:posOffset>
                </wp:positionH>
                <wp:positionV relativeFrom="paragraph">
                  <wp:posOffset>114300</wp:posOffset>
                </wp:positionV>
                <wp:extent cx="4962525" cy="2838450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83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E0013" w14:textId="3CF0D30E" w:rsidR="008809F7" w:rsidRPr="00903C55" w:rsidRDefault="00694C89" w:rsidP="008809F7">
                            <w:pPr>
                              <w:tabs>
                                <w:tab w:val="num" w:pos="360"/>
                              </w:tabs>
                              <w:spacing w:before="40" w:after="40" w:line="240" w:lineRule="auto"/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</w:pPr>
                            <w:r w:rsidRPr="00903C55">
                              <w:rPr>
                                <w:rFonts w:ascii="Zooja Light Pro" w:hAnsi="Zooja Light Pro"/>
                                <w:b/>
                                <w:bCs/>
                                <w:color w:val="ED125F"/>
                                <w:sz w:val="44"/>
                                <w:szCs w:val="44"/>
                              </w:rPr>
                              <w:t>KEY FINDINGS</w:t>
                            </w:r>
                          </w:p>
                          <w:p w14:paraId="07BB8DAB" w14:textId="0858E60B" w:rsidR="008809F7" w:rsidRPr="00C429F9" w:rsidRDefault="008809F7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Overall, there is strong and ongoing support for the </w:t>
                            </w:r>
                            <w:r w:rsidR="008D3B56" w:rsidRPr="00C429F9">
                              <w:rPr>
                                <w:sz w:val="20"/>
                                <w:szCs w:val="20"/>
                              </w:rPr>
                              <w:t>Strategy’s vision and outcomes, which remain relevant and provide a strong basis for collective action to improve the wellbeing of children and young people.</w:t>
                            </w:r>
                          </w:p>
                          <w:p w14:paraId="1BF675F8" w14:textId="0FDCED69" w:rsidR="008809F7" w:rsidRPr="008809F7" w:rsidRDefault="00E432F2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Review recommended that no changes were needed to the</w:t>
                            </w:r>
                            <w:r w:rsidR="008D3B56" w:rsidRPr="00C429F9">
                              <w:rPr>
                                <w:sz w:val="20"/>
                                <w:szCs w:val="20"/>
                              </w:rPr>
                              <w:t xml:space="preserve"> Strategy’s </w:t>
                            </w:r>
                            <w:r w:rsidR="008809F7" w:rsidRPr="00C429F9">
                              <w:rPr>
                                <w:sz w:val="20"/>
                                <w:szCs w:val="20"/>
                              </w:rPr>
                              <w:t>framework.</w:t>
                            </w:r>
                          </w:p>
                          <w:p w14:paraId="5918750C" w14:textId="3C6E8365" w:rsidR="008809F7" w:rsidRPr="008809F7" w:rsidRDefault="008809F7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However, </w:t>
                            </w:r>
                            <w:r w:rsidR="000F28B0">
                              <w:rPr>
                                <w:sz w:val="20"/>
                                <w:szCs w:val="20"/>
                              </w:rPr>
                              <w:t xml:space="preserve">the Review found 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>there is considerable scope to better support the implementation of the Strategy.</w:t>
                            </w:r>
                          </w:p>
                          <w:p w14:paraId="1A4F31EA" w14:textId="32C742B4" w:rsidR="008809F7" w:rsidRDefault="000203E8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It</w:t>
                            </w:r>
                            <w:r w:rsidR="008809F7" w:rsidRPr="00C429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32F2">
                              <w:rPr>
                                <w:sz w:val="20"/>
                                <w:szCs w:val="20"/>
                              </w:rPr>
                              <w:t>identified</w:t>
                            </w:r>
                            <w:r w:rsidR="008809F7" w:rsidRPr="00C429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32F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8809F7" w:rsidRPr="00C429F9">
                              <w:rPr>
                                <w:sz w:val="20"/>
                                <w:szCs w:val="20"/>
                              </w:rPr>
                              <w:t xml:space="preserve">key enablers </w:t>
                            </w:r>
                            <w:r w:rsidR="00E432F2">
                              <w:rPr>
                                <w:sz w:val="20"/>
                                <w:szCs w:val="20"/>
                              </w:rPr>
                              <w:t>that will</w:t>
                            </w:r>
                            <w:r w:rsidR="008809F7" w:rsidRPr="00C429F9">
                              <w:rPr>
                                <w:sz w:val="20"/>
                                <w:szCs w:val="20"/>
                              </w:rPr>
                              <w:t xml:space="preserve"> help the Strategy be a catalyst for, and driver of, system change.</w:t>
                            </w:r>
                          </w:p>
                          <w:p w14:paraId="79A22AE6" w14:textId="759A6FC3" w:rsidR="00BF2F93" w:rsidRPr="00BF2F93" w:rsidRDefault="00BF2F93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F2F93">
                              <w:rPr>
                                <w:sz w:val="20"/>
                                <w:szCs w:val="20"/>
                              </w:rPr>
                              <w:t xml:space="preserve">The Review also noted that central government needs to continue to evolve how it works with iwi/Māori and communities at different levels. </w:t>
                            </w:r>
                          </w:p>
                          <w:p w14:paraId="6B3AAEB4" w14:textId="45AF65E8" w:rsidR="008809F7" w:rsidRPr="008809F7" w:rsidRDefault="008809F7" w:rsidP="00E27109">
                            <w:pPr>
                              <w:numPr>
                                <w:ilvl w:val="0"/>
                                <w:numId w:val="9"/>
                              </w:numPr>
                              <w:spacing w:before="40" w:after="4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It also </w:t>
                            </w:r>
                            <w:r w:rsidR="00E432F2">
                              <w:rPr>
                                <w:sz w:val="20"/>
                                <w:szCs w:val="20"/>
                              </w:rPr>
                              <w:t>determined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9F7">
                              <w:rPr>
                                <w:sz w:val="20"/>
                                <w:szCs w:val="20"/>
                              </w:rPr>
                              <w:t>we should be focusing on fewer actions</w:t>
                            </w:r>
                            <w:r w:rsidR="008D3B56" w:rsidRPr="00C429F9">
                              <w:rPr>
                                <w:sz w:val="20"/>
                                <w:szCs w:val="20"/>
                              </w:rPr>
                              <w:t xml:space="preserve"> overall</w:t>
                            </w:r>
                            <w:r w:rsidRPr="00C429F9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8809F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D3B56" w:rsidRPr="00C429F9">
                              <w:rPr>
                                <w:sz w:val="20"/>
                                <w:szCs w:val="20"/>
                              </w:rPr>
                              <w:t xml:space="preserve">prioritising those that will </w:t>
                            </w:r>
                            <w:r w:rsidRPr="008809F7">
                              <w:rPr>
                                <w:sz w:val="20"/>
                                <w:szCs w:val="20"/>
                              </w:rPr>
                              <w:t>have the most significant impact.</w:t>
                            </w:r>
                          </w:p>
                          <w:p w14:paraId="12E05815" w14:textId="517BF86E" w:rsidR="008809F7" w:rsidRPr="00C429F9" w:rsidRDefault="008809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491E" id="_x0000_s1030" type="#_x0000_t202" style="position:absolute;margin-left:713.25pt;margin-top:9pt;width:390.75pt;height:223.5pt;z-index:251660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" filled="f" stroked="f" strokecolor="white [3212]" strokeweight=".25pt">
                <v:textbox>
                  <w:txbxContent>
                    <w:p w14:paraId="2E0E0013" w14:textId="3CF0D30E" w:rsidR="008809F7" w:rsidRPr="00903C55" w:rsidRDefault="00694C89" w:rsidP="008809F7">
                      <w:pPr>
                        <w:tabs>
                          <w:tab w:val="num" w:pos="360"/>
                        </w:tabs>
                        <w:spacing w:before="40" w:after="40" w:line="240" w:lineRule="auto"/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</w:pPr>
                      <w:r w:rsidRPr="00903C55">
                        <w:rPr>
                          <w:rFonts w:ascii="Zooja Light Pro" w:hAnsi="Zooja Light Pro"/>
                          <w:b/>
                          <w:bCs/>
                          <w:color w:val="ED125F"/>
                          <w:sz w:val="44"/>
                          <w:szCs w:val="44"/>
                        </w:rPr>
                        <w:t>KEY FINDINGS</w:t>
                      </w:r>
                    </w:p>
                    <w:p w14:paraId="07BB8DAB" w14:textId="0858E60B" w:rsidR="008809F7" w:rsidRPr="00C429F9" w:rsidRDefault="008809F7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Overall, there is strong and ongoing support for the </w:t>
                      </w:r>
                      <w:r w:rsidR="008D3B56" w:rsidRPr="00C429F9">
                        <w:rPr>
                          <w:sz w:val="20"/>
                          <w:szCs w:val="20"/>
                        </w:rPr>
                        <w:t>Strategy’s vision and outcomes, which remain relevant and provide a strong basis for collective action to improve the wellbeing of children and young people.</w:t>
                      </w:r>
                    </w:p>
                    <w:p w14:paraId="1BF675F8" w14:textId="0FDCED69" w:rsidR="008809F7" w:rsidRPr="008809F7" w:rsidRDefault="00E432F2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Review recommended that no changes were needed to the</w:t>
                      </w:r>
                      <w:r w:rsidR="008D3B56" w:rsidRPr="00C429F9">
                        <w:rPr>
                          <w:sz w:val="20"/>
                          <w:szCs w:val="20"/>
                        </w:rPr>
                        <w:t xml:space="preserve"> Strategy’s </w:t>
                      </w:r>
                      <w:r w:rsidR="008809F7" w:rsidRPr="00C429F9">
                        <w:rPr>
                          <w:sz w:val="20"/>
                          <w:szCs w:val="20"/>
                        </w:rPr>
                        <w:t>framework.</w:t>
                      </w:r>
                    </w:p>
                    <w:p w14:paraId="5918750C" w14:textId="3C6E8365" w:rsidR="008809F7" w:rsidRPr="008809F7" w:rsidRDefault="008809F7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However, </w:t>
                      </w:r>
                      <w:r w:rsidR="000F28B0">
                        <w:rPr>
                          <w:sz w:val="20"/>
                          <w:szCs w:val="20"/>
                        </w:rPr>
                        <w:t xml:space="preserve">the Review found </w:t>
                      </w:r>
                      <w:r w:rsidRPr="00C429F9">
                        <w:rPr>
                          <w:sz w:val="20"/>
                          <w:szCs w:val="20"/>
                        </w:rPr>
                        <w:t>there is considerable scope to better support the implementation of the Strategy.</w:t>
                      </w:r>
                    </w:p>
                    <w:p w14:paraId="1A4F31EA" w14:textId="32C742B4" w:rsidR="008809F7" w:rsidRDefault="000203E8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It</w:t>
                      </w:r>
                      <w:r w:rsidR="008809F7" w:rsidRPr="00C429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32F2">
                        <w:rPr>
                          <w:sz w:val="20"/>
                          <w:szCs w:val="20"/>
                        </w:rPr>
                        <w:t>identified</w:t>
                      </w:r>
                      <w:r w:rsidR="008809F7" w:rsidRPr="00C429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432F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8809F7" w:rsidRPr="00C429F9">
                        <w:rPr>
                          <w:sz w:val="20"/>
                          <w:szCs w:val="20"/>
                        </w:rPr>
                        <w:t xml:space="preserve">key enablers </w:t>
                      </w:r>
                      <w:r w:rsidR="00E432F2">
                        <w:rPr>
                          <w:sz w:val="20"/>
                          <w:szCs w:val="20"/>
                        </w:rPr>
                        <w:t>that will</w:t>
                      </w:r>
                      <w:r w:rsidR="008809F7" w:rsidRPr="00C429F9">
                        <w:rPr>
                          <w:sz w:val="20"/>
                          <w:szCs w:val="20"/>
                        </w:rPr>
                        <w:t xml:space="preserve"> help the Strategy be a catalyst for, and driver of, system change.</w:t>
                      </w:r>
                    </w:p>
                    <w:p w14:paraId="79A22AE6" w14:textId="759A6FC3" w:rsidR="00BF2F93" w:rsidRPr="00BF2F93" w:rsidRDefault="00BF2F93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BF2F93">
                        <w:rPr>
                          <w:sz w:val="20"/>
                          <w:szCs w:val="20"/>
                        </w:rPr>
                        <w:t xml:space="preserve">The Review also noted that central government needs to continue to evolve how it works with iwi/Māori and communities at different levels. </w:t>
                      </w:r>
                    </w:p>
                    <w:p w14:paraId="6B3AAEB4" w14:textId="45AF65E8" w:rsidR="008809F7" w:rsidRPr="008809F7" w:rsidRDefault="008809F7" w:rsidP="00E27109">
                      <w:pPr>
                        <w:numPr>
                          <w:ilvl w:val="0"/>
                          <w:numId w:val="9"/>
                        </w:numPr>
                        <w:spacing w:before="40" w:after="40" w:line="240" w:lineRule="auto"/>
                        <w:rPr>
                          <w:sz w:val="20"/>
                          <w:szCs w:val="20"/>
                        </w:rPr>
                      </w:pPr>
                      <w:r w:rsidRPr="00C429F9">
                        <w:rPr>
                          <w:sz w:val="20"/>
                          <w:szCs w:val="20"/>
                        </w:rPr>
                        <w:t xml:space="preserve">It also </w:t>
                      </w:r>
                      <w:r w:rsidR="00E432F2">
                        <w:rPr>
                          <w:sz w:val="20"/>
                          <w:szCs w:val="20"/>
                        </w:rPr>
                        <w:t>determined</w:t>
                      </w:r>
                      <w:r w:rsidRPr="00C429F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809F7">
                        <w:rPr>
                          <w:sz w:val="20"/>
                          <w:szCs w:val="20"/>
                        </w:rPr>
                        <w:t>we should be focusing on fewer actions</w:t>
                      </w:r>
                      <w:r w:rsidR="008D3B56" w:rsidRPr="00C429F9">
                        <w:rPr>
                          <w:sz w:val="20"/>
                          <w:szCs w:val="20"/>
                        </w:rPr>
                        <w:t xml:space="preserve"> overall</w:t>
                      </w:r>
                      <w:r w:rsidRPr="00C429F9">
                        <w:rPr>
                          <w:sz w:val="20"/>
                          <w:szCs w:val="20"/>
                        </w:rPr>
                        <w:t>,</w:t>
                      </w:r>
                      <w:r w:rsidRPr="008809F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D3B56" w:rsidRPr="00C429F9">
                        <w:rPr>
                          <w:sz w:val="20"/>
                          <w:szCs w:val="20"/>
                        </w:rPr>
                        <w:t xml:space="preserve">prioritising those that will </w:t>
                      </w:r>
                      <w:r w:rsidRPr="008809F7">
                        <w:rPr>
                          <w:sz w:val="20"/>
                          <w:szCs w:val="20"/>
                        </w:rPr>
                        <w:t>have the most significant impact.</w:t>
                      </w:r>
                    </w:p>
                    <w:p w14:paraId="12E05815" w14:textId="517BF86E" w:rsidR="008809F7" w:rsidRPr="00C429F9" w:rsidRDefault="008809F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3739CE74" wp14:editId="0E13DEBB">
                <wp:simplePos x="0" y="0"/>
                <wp:positionH relativeFrom="column">
                  <wp:posOffset>-704850</wp:posOffset>
                </wp:positionH>
                <wp:positionV relativeFrom="paragraph">
                  <wp:posOffset>-400050</wp:posOffset>
                </wp:positionV>
                <wp:extent cx="3324225" cy="10572750"/>
                <wp:effectExtent l="0" t="0" r="0" b="190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057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FCBB3" w14:textId="77777777" w:rsidR="00FE78AE" w:rsidRDefault="00FE78AE" w:rsidP="00251461"/>
                          <w:p w14:paraId="6B18325C" w14:textId="1DB853A6" w:rsidR="00FE78AE" w:rsidRDefault="00FE78AE" w:rsidP="00251461">
                            <w:r w:rsidRPr="00251461">
                              <w:rPr>
                                <w:noProof/>
                              </w:rPr>
                              <w:drawing>
                                <wp:inline distT="0" distB="0" distL="0" distR="0" wp14:anchorId="7198E85E" wp14:editId="5A16922A">
                                  <wp:extent cx="3781425" cy="1056703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>
                                            <a:off x="0" y="0"/>
                                            <a:ext cx="3781425" cy="10567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DEA70C" w14:textId="2CBAC7DE" w:rsidR="00FE78AE" w:rsidRDefault="00FE78AE" w:rsidP="00251461"/>
                          <w:p w14:paraId="50BC87FC" w14:textId="77777777" w:rsidR="00FE78AE" w:rsidRDefault="00FE78AE" w:rsidP="00251461"/>
                          <w:p w14:paraId="29AB66EC" w14:textId="1CBD35BB" w:rsidR="0046443D" w:rsidRDefault="0046443D" w:rsidP="002514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CE74" id="Text Box 9" o:spid="_x0000_s1031" type="#_x0000_t202" style="position:absolute;margin-left:-55.5pt;margin-top:-31.5pt;width:261.75pt;height:832.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" filled="f" stroked="f">
                <v:textbox>
                  <w:txbxContent>
                    <w:p w14:paraId="1A0FCBB3" w14:textId="77777777" w:rsidR="00FE78AE" w:rsidRDefault="00FE78AE" w:rsidP="00251461"/>
                    <w:p w14:paraId="6B18325C" w14:textId="1DB853A6" w:rsidR="00FE78AE" w:rsidRDefault="00FE78AE" w:rsidP="00251461">
                      <w:r w:rsidRPr="00251461">
                        <w:rPr>
                          <w:noProof/>
                        </w:rPr>
                        <w:drawing>
                          <wp:inline distT="0" distB="0" distL="0" distR="0" wp14:anchorId="7198E85E" wp14:editId="5A16922A">
                            <wp:extent cx="3781425" cy="1056703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>
                                      <a:off x="0" y="0"/>
                                      <a:ext cx="3781425" cy="10567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DEA70C" w14:textId="2CBAC7DE" w:rsidR="00FE78AE" w:rsidRDefault="00FE78AE" w:rsidP="00251461"/>
                    <w:p w14:paraId="50BC87FC" w14:textId="77777777" w:rsidR="00FE78AE" w:rsidRDefault="00FE78AE" w:rsidP="00251461"/>
                    <w:p w14:paraId="29AB66EC" w14:textId="1CBD35BB" w:rsidR="0046443D" w:rsidRDefault="0046443D" w:rsidP="0025146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55D51" wp14:editId="5B761E97">
                <wp:simplePos x="0" y="0"/>
                <wp:positionH relativeFrom="column">
                  <wp:posOffset>190500</wp:posOffset>
                </wp:positionH>
                <wp:positionV relativeFrom="paragraph">
                  <wp:posOffset>8372475</wp:posOffset>
                </wp:positionV>
                <wp:extent cx="3352800" cy="1419225"/>
                <wp:effectExtent l="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0E544" w14:textId="48BCA5B3" w:rsidR="00C64670" w:rsidRDefault="00C64670">
                            <w:r w:rsidRPr="00C64670">
                              <w:rPr>
                                <w:noProof/>
                              </w:rPr>
                              <w:drawing>
                                <wp:inline distT="0" distB="0" distL="0" distR="0" wp14:anchorId="082DA48A" wp14:editId="289BB116">
                                  <wp:extent cx="2998800" cy="10188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8800" cy="101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55D51" id="_x0000_s1032" type="#_x0000_t202" style="position:absolute;margin-left:15pt;margin-top:659.25pt;width:264pt;height:11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" filled="f" fillcolor="white [3201]" stroked="f" strokeweight=".5pt">
                <v:textbox>
                  <w:txbxContent>
                    <w:p w14:paraId="0500E544" w14:textId="48BCA5B3" w:rsidR="00C64670" w:rsidRDefault="00C64670">
                      <w:r w:rsidRPr="00C64670">
                        <w:rPr>
                          <w:noProof/>
                        </w:rPr>
                        <w:drawing>
                          <wp:inline distT="0" distB="0" distL="0" distR="0" wp14:anchorId="082DA48A" wp14:editId="289BB116">
                            <wp:extent cx="2998800" cy="10188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8800" cy="101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A30FC" w:rsidRPr="0095587E" w:rsidSect="00C64670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Zooja Light Pro"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EDC"/>
    <w:multiLevelType w:val="hybridMultilevel"/>
    <w:tmpl w:val="80501FE8"/>
    <w:lvl w:ilvl="0" w:tplc="89C854D4">
      <w:start w:val="1"/>
      <w:numFmt w:val="bullet"/>
      <w:lvlText w:val="»"/>
      <w:lvlJc w:val="left"/>
      <w:pPr>
        <w:tabs>
          <w:tab w:val="num" w:pos="1287"/>
        </w:tabs>
        <w:ind w:left="1287" w:hanging="360"/>
      </w:pPr>
      <w:rPr>
        <w:rFonts w:ascii="Sitka Heading" w:hAnsi="Sitka Heading" w:hint="default"/>
      </w:rPr>
    </w:lvl>
    <w:lvl w:ilvl="1" w:tplc="CF5A5DF0" w:tentative="1">
      <w:start w:val="1"/>
      <w:numFmt w:val="bullet"/>
      <w:lvlText w:val="»"/>
      <w:lvlJc w:val="left"/>
      <w:pPr>
        <w:tabs>
          <w:tab w:val="num" w:pos="2007"/>
        </w:tabs>
        <w:ind w:left="2007" w:hanging="360"/>
      </w:pPr>
      <w:rPr>
        <w:rFonts w:ascii="Sitka Heading" w:hAnsi="Sitka Heading" w:hint="default"/>
      </w:rPr>
    </w:lvl>
    <w:lvl w:ilvl="2" w:tplc="34AE6EC6" w:tentative="1">
      <w:start w:val="1"/>
      <w:numFmt w:val="bullet"/>
      <w:lvlText w:val="»"/>
      <w:lvlJc w:val="left"/>
      <w:pPr>
        <w:tabs>
          <w:tab w:val="num" w:pos="2727"/>
        </w:tabs>
        <w:ind w:left="2727" w:hanging="360"/>
      </w:pPr>
      <w:rPr>
        <w:rFonts w:ascii="Sitka Heading" w:hAnsi="Sitka Heading" w:hint="default"/>
      </w:rPr>
    </w:lvl>
    <w:lvl w:ilvl="3" w:tplc="2230EE04" w:tentative="1">
      <w:start w:val="1"/>
      <w:numFmt w:val="bullet"/>
      <w:lvlText w:val="»"/>
      <w:lvlJc w:val="left"/>
      <w:pPr>
        <w:tabs>
          <w:tab w:val="num" w:pos="3447"/>
        </w:tabs>
        <w:ind w:left="3447" w:hanging="360"/>
      </w:pPr>
      <w:rPr>
        <w:rFonts w:ascii="Sitka Heading" w:hAnsi="Sitka Heading" w:hint="default"/>
      </w:rPr>
    </w:lvl>
    <w:lvl w:ilvl="4" w:tplc="D2B020FE">
      <w:start w:val="1"/>
      <w:numFmt w:val="bullet"/>
      <w:lvlText w:val="»"/>
      <w:lvlJc w:val="left"/>
      <w:pPr>
        <w:tabs>
          <w:tab w:val="num" w:pos="4167"/>
        </w:tabs>
        <w:ind w:left="4167" w:hanging="360"/>
      </w:pPr>
      <w:rPr>
        <w:rFonts w:ascii="Sitka Heading" w:hAnsi="Sitka Heading" w:hint="default"/>
      </w:rPr>
    </w:lvl>
    <w:lvl w:ilvl="5" w:tplc="F38E2F6A" w:tentative="1">
      <w:start w:val="1"/>
      <w:numFmt w:val="bullet"/>
      <w:lvlText w:val="»"/>
      <w:lvlJc w:val="left"/>
      <w:pPr>
        <w:tabs>
          <w:tab w:val="num" w:pos="4887"/>
        </w:tabs>
        <w:ind w:left="4887" w:hanging="360"/>
      </w:pPr>
      <w:rPr>
        <w:rFonts w:ascii="Sitka Heading" w:hAnsi="Sitka Heading" w:hint="default"/>
      </w:rPr>
    </w:lvl>
    <w:lvl w:ilvl="6" w:tplc="7EAE42E4" w:tentative="1">
      <w:start w:val="1"/>
      <w:numFmt w:val="bullet"/>
      <w:lvlText w:val="»"/>
      <w:lvlJc w:val="left"/>
      <w:pPr>
        <w:tabs>
          <w:tab w:val="num" w:pos="5607"/>
        </w:tabs>
        <w:ind w:left="5607" w:hanging="360"/>
      </w:pPr>
      <w:rPr>
        <w:rFonts w:ascii="Sitka Heading" w:hAnsi="Sitka Heading" w:hint="default"/>
      </w:rPr>
    </w:lvl>
    <w:lvl w:ilvl="7" w:tplc="B68CBACC" w:tentative="1">
      <w:start w:val="1"/>
      <w:numFmt w:val="bullet"/>
      <w:lvlText w:val="»"/>
      <w:lvlJc w:val="left"/>
      <w:pPr>
        <w:tabs>
          <w:tab w:val="num" w:pos="6327"/>
        </w:tabs>
        <w:ind w:left="6327" w:hanging="360"/>
      </w:pPr>
      <w:rPr>
        <w:rFonts w:ascii="Sitka Heading" w:hAnsi="Sitka Heading" w:hint="default"/>
      </w:rPr>
    </w:lvl>
    <w:lvl w:ilvl="8" w:tplc="C8ACE4FE" w:tentative="1">
      <w:start w:val="1"/>
      <w:numFmt w:val="bullet"/>
      <w:lvlText w:val="»"/>
      <w:lvlJc w:val="left"/>
      <w:pPr>
        <w:tabs>
          <w:tab w:val="num" w:pos="7047"/>
        </w:tabs>
        <w:ind w:left="7047" w:hanging="360"/>
      </w:pPr>
      <w:rPr>
        <w:rFonts w:ascii="Sitka Heading" w:hAnsi="Sitka Heading" w:hint="default"/>
      </w:rPr>
    </w:lvl>
  </w:abstractNum>
  <w:abstractNum w:abstractNumId="1" w15:restartNumberingAfterBreak="0">
    <w:nsid w:val="13DE6BB8"/>
    <w:multiLevelType w:val="hybridMultilevel"/>
    <w:tmpl w:val="6D9A2D4A"/>
    <w:lvl w:ilvl="0" w:tplc="F7A4E5E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4229B"/>
    <w:multiLevelType w:val="hybridMultilevel"/>
    <w:tmpl w:val="9434254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352D"/>
    <w:multiLevelType w:val="hybridMultilevel"/>
    <w:tmpl w:val="1E305C04"/>
    <w:lvl w:ilvl="0" w:tplc="4882F102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Sitka Heading" w:hAnsi="Sitka Heading" w:hint="default"/>
        <w:color w:val="ED125F"/>
      </w:rPr>
    </w:lvl>
    <w:lvl w:ilvl="1" w:tplc="FFFFFFFF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Sitka Heading" w:hAnsi="Sitka Heading" w:hint="default"/>
      </w:rPr>
    </w:lvl>
    <w:lvl w:ilvl="2" w:tplc="FFFFFFFF">
      <w:start w:val="1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Sitka Heading" w:hAnsi="Sitka Heading" w:hint="default"/>
      </w:rPr>
    </w:lvl>
    <w:lvl w:ilvl="3" w:tplc="FFFFFFFF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Sitka Heading" w:hAnsi="Sitka Heading" w:hint="default"/>
      </w:rPr>
    </w:lvl>
    <w:lvl w:ilvl="4" w:tplc="FFFFFFFF">
      <w:start w:val="1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Sitka Heading" w:hAnsi="Sitka Heading" w:hint="default"/>
      </w:rPr>
    </w:lvl>
    <w:lvl w:ilvl="5" w:tplc="FFFFFFFF" w:tentative="1">
      <w:start w:val="1"/>
      <w:numFmt w:val="bullet"/>
      <w:lvlText w:val="»"/>
      <w:lvlJc w:val="left"/>
      <w:pPr>
        <w:tabs>
          <w:tab w:val="num" w:pos="3960"/>
        </w:tabs>
        <w:ind w:left="3960" w:hanging="360"/>
      </w:pPr>
      <w:rPr>
        <w:rFonts w:ascii="Sitka Heading" w:hAnsi="Sitka Heading" w:hint="default"/>
      </w:rPr>
    </w:lvl>
    <w:lvl w:ilvl="6" w:tplc="FFFFFFFF" w:tentative="1">
      <w:start w:val="1"/>
      <w:numFmt w:val="bullet"/>
      <w:lvlText w:val="»"/>
      <w:lvlJc w:val="left"/>
      <w:pPr>
        <w:tabs>
          <w:tab w:val="num" w:pos="4680"/>
        </w:tabs>
        <w:ind w:left="4680" w:hanging="360"/>
      </w:pPr>
      <w:rPr>
        <w:rFonts w:ascii="Sitka Heading" w:hAnsi="Sitka Heading" w:hint="default"/>
      </w:rPr>
    </w:lvl>
    <w:lvl w:ilvl="7" w:tplc="FFFFFFFF" w:tentative="1">
      <w:start w:val="1"/>
      <w:numFmt w:val="bullet"/>
      <w:lvlText w:val="»"/>
      <w:lvlJc w:val="left"/>
      <w:pPr>
        <w:tabs>
          <w:tab w:val="num" w:pos="5400"/>
        </w:tabs>
        <w:ind w:left="5400" w:hanging="360"/>
      </w:pPr>
      <w:rPr>
        <w:rFonts w:ascii="Sitka Heading" w:hAnsi="Sitka Heading" w:hint="default"/>
      </w:rPr>
    </w:lvl>
    <w:lvl w:ilvl="8" w:tplc="FFFFFFFF" w:tentative="1">
      <w:start w:val="1"/>
      <w:numFmt w:val="bullet"/>
      <w:lvlText w:val="»"/>
      <w:lvlJc w:val="left"/>
      <w:pPr>
        <w:tabs>
          <w:tab w:val="num" w:pos="6120"/>
        </w:tabs>
        <w:ind w:left="6120" w:hanging="360"/>
      </w:pPr>
      <w:rPr>
        <w:rFonts w:ascii="Sitka Heading" w:hAnsi="Sitka Heading" w:hint="default"/>
      </w:rPr>
    </w:lvl>
  </w:abstractNum>
  <w:abstractNum w:abstractNumId="4" w15:restartNumberingAfterBreak="0">
    <w:nsid w:val="240D4EF4"/>
    <w:multiLevelType w:val="hybridMultilevel"/>
    <w:tmpl w:val="E7E8613A"/>
    <w:lvl w:ilvl="0" w:tplc="1409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D6C0C"/>
    <w:multiLevelType w:val="hybridMultilevel"/>
    <w:tmpl w:val="47D2A710"/>
    <w:lvl w:ilvl="0" w:tplc="4882F102">
      <w:start w:val="1"/>
      <w:numFmt w:val="bullet"/>
      <w:lvlText w:val="»"/>
      <w:lvlJc w:val="left"/>
      <w:pPr>
        <w:ind w:left="720" w:hanging="360"/>
      </w:pPr>
      <w:rPr>
        <w:rFonts w:ascii="Sitka Heading" w:hAnsi="Sitka Heading" w:hint="default"/>
        <w:color w:val="ED125F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C5DA4"/>
    <w:multiLevelType w:val="hybridMultilevel"/>
    <w:tmpl w:val="511E82C0"/>
    <w:lvl w:ilvl="0" w:tplc="9EE072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8699F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0055A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998F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A4577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58FA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C21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E03A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2B24450"/>
    <w:multiLevelType w:val="hybridMultilevel"/>
    <w:tmpl w:val="EACC421E"/>
    <w:lvl w:ilvl="0" w:tplc="DEA289C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Sitka Heading" w:hAnsi="Sitka Heading" w:hint="default"/>
      </w:rPr>
    </w:lvl>
    <w:lvl w:ilvl="1" w:tplc="797E54DE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Sitka Heading" w:hAnsi="Sitka Heading" w:hint="default"/>
      </w:rPr>
    </w:lvl>
    <w:lvl w:ilvl="2" w:tplc="3DA8C7A6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Sitka Heading" w:hAnsi="Sitka Heading" w:hint="default"/>
      </w:rPr>
    </w:lvl>
    <w:lvl w:ilvl="3" w:tplc="C5E0AC8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Sitka Heading" w:hAnsi="Sitka Heading" w:hint="default"/>
      </w:rPr>
    </w:lvl>
    <w:lvl w:ilvl="4" w:tplc="741CF310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Sitka Heading" w:hAnsi="Sitka Heading" w:hint="default"/>
      </w:rPr>
    </w:lvl>
    <w:lvl w:ilvl="5" w:tplc="32289AD6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Sitka Heading" w:hAnsi="Sitka Heading" w:hint="default"/>
      </w:rPr>
    </w:lvl>
    <w:lvl w:ilvl="6" w:tplc="AC049A2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Sitka Heading" w:hAnsi="Sitka Heading" w:hint="default"/>
      </w:rPr>
    </w:lvl>
    <w:lvl w:ilvl="7" w:tplc="3BA82A6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Sitka Heading" w:hAnsi="Sitka Heading" w:hint="default"/>
      </w:rPr>
    </w:lvl>
    <w:lvl w:ilvl="8" w:tplc="35208B9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Sitka Heading" w:hAnsi="Sitka Heading" w:hint="default"/>
      </w:rPr>
    </w:lvl>
  </w:abstractNum>
  <w:abstractNum w:abstractNumId="8" w15:restartNumberingAfterBreak="0">
    <w:nsid w:val="56FC4FE4"/>
    <w:multiLevelType w:val="hybridMultilevel"/>
    <w:tmpl w:val="B7E696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ED125F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2453E"/>
    <w:multiLevelType w:val="hybridMultilevel"/>
    <w:tmpl w:val="25185A5C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Sitka Heading" w:hAnsi="Sitka Heading" w:hint="default"/>
        <w:color w:val="ED125F"/>
      </w:rPr>
    </w:lvl>
    <w:lvl w:ilvl="1" w:tplc="4882F102">
      <w:start w:val="1"/>
      <w:numFmt w:val="bullet"/>
      <w:lvlText w:val="»"/>
      <w:lvlJc w:val="left"/>
      <w:pPr>
        <w:ind w:left="1440" w:hanging="360"/>
      </w:pPr>
      <w:rPr>
        <w:rFonts w:ascii="Sitka Heading" w:hAnsi="Sitka Heading" w:hint="default"/>
        <w:color w:val="ED125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D3E1F"/>
    <w:multiLevelType w:val="hybridMultilevel"/>
    <w:tmpl w:val="44E44722"/>
    <w:lvl w:ilvl="0" w:tplc="FFFFFFFF">
      <w:start w:val="1"/>
      <w:numFmt w:val="bullet"/>
      <w:lvlText w:val="»"/>
      <w:lvlJc w:val="left"/>
      <w:pPr>
        <w:ind w:left="720" w:hanging="360"/>
      </w:pPr>
      <w:rPr>
        <w:rFonts w:ascii="Sitka Heading" w:hAnsi="Sitka Heading" w:hint="default"/>
        <w:color w:val="ED125F"/>
      </w:rPr>
    </w:lvl>
    <w:lvl w:ilvl="1" w:tplc="1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1011C"/>
    <w:multiLevelType w:val="hybridMultilevel"/>
    <w:tmpl w:val="8452AECE"/>
    <w:lvl w:ilvl="0" w:tplc="4882F102">
      <w:start w:val="1"/>
      <w:numFmt w:val="bullet"/>
      <w:lvlText w:val="»"/>
      <w:lvlJc w:val="left"/>
      <w:pPr>
        <w:ind w:left="360" w:hanging="360"/>
      </w:pPr>
      <w:rPr>
        <w:rFonts w:ascii="Sitka Heading" w:hAnsi="Sitka Heading" w:hint="default"/>
        <w:color w:val="ED125F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477C97"/>
    <w:multiLevelType w:val="hybridMultilevel"/>
    <w:tmpl w:val="FB441158"/>
    <w:lvl w:ilvl="0" w:tplc="DF5A3AC2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Sitka Heading" w:hAnsi="Sitka Heading" w:hint="default"/>
      </w:rPr>
    </w:lvl>
    <w:lvl w:ilvl="1" w:tplc="8134369E">
      <w:start w:val="1"/>
      <w:numFmt w:val="bullet"/>
      <w:lvlText w:val="»"/>
      <w:lvlJc w:val="left"/>
      <w:pPr>
        <w:tabs>
          <w:tab w:val="num" w:pos="1080"/>
        </w:tabs>
        <w:ind w:left="1080" w:hanging="360"/>
      </w:pPr>
      <w:rPr>
        <w:rFonts w:ascii="Sitka Heading" w:hAnsi="Sitka Heading" w:hint="default"/>
      </w:rPr>
    </w:lvl>
    <w:lvl w:ilvl="2" w:tplc="98626CE2">
      <w:start w:val="1"/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Sitka Heading" w:hAnsi="Sitka Heading" w:hint="default"/>
      </w:rPr>
    </w:lvl>
    <w:lvl w:ilvl="3" w:tplc="A7C24490">
      <w:start w:val="1"/>
      <w:numFmt w:val="bullet"/>
      <w:lvlText w:val="»"/>
      <w:lvlJc w:val="left"/>
      <w:pPr>
        <w:tabs>
          <w:tab w:val="num" w:pos="2520"/>
        </w:tabs>
        <w:ind w:left="2520" w:hanging="360"/>
      </w:pPr>
      <w:rPr>
        <w:rFonts w:ascii="Sitka Heading" w:hAnsi="Sitka Heading" w:hint="default"/>
      </w:rPr>
    </w:lvl>
    <w:lvl w:ilvl="4" w:tplc="CFD82696">
      <w:start w:val="1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Sitka Heading" w:hAnsi="Sitka Heading" w:hint="default"/>
      </w:rPr>
    </w:lvl>
    <w:lvl w:ilvl="5" w:tplc="B2781672" w:tentative="1">
      <w:start w:val="1"/>
      <w:numFmt w:val="bullet"/>
      <w:lvlText w:val="»"/>
      <w:lvlJc w:val="left"/>
      <w:pPr>
        <w:tabs>
          <w:tab w:val="num" w:pos="3960"/>
        </w:tabs>
        <w:ind w:left="3960" w:hanging="360"/>
      </w:pPr>
      <w:rPr>
        <w:rFonts w:ascii="Sitka Heading" w:hAnsi="Sitka Heading" w:hint="default"/>
      </w:rPr>
    </w:lvl>
    <w:lvl w:ilvl="6" w:tplc="7DDCC32C" w:tentative="1">
      <w:start w:val="1"/>
      <w:numFmt w:val="bullet"/>
      <w:lvlText w:val="»"/>
      <w:lvlJc w:val="left"/>
      <w:pPr>
        <w:tabs>
          <w:tab w:val="num" w:pos="4680"/>
        </w:tabs>
        <w:ind w:left="4680" w:hanging="360"/>
      </w:pPr>
      <w:rPr>
        <w:rFonts w:ascii="Sitka Heading" w:hAnsi="Sitka Heading" w:hint="default"/>
      </w:rPr>
    </w:lvl>
    <w:lvl w:ilvl="7" w:tplc="013A5C60" w:tentative="1">
      <w:start w:val="1"/>
      <w:numFmt w:val="bullet"/>
      <w:lvlText w:val="»"/>
      <w:lvlJc w:val="left"/>
      <w:pPr>
        <w:tabs>
          <w:tab w:val="num" w:pos="5400"/>
        </w:tabs>
        <w:ind w:left="5400" w:hanging="360"/>
      </w:pPr>
      <w:rPr>
        <w:rFonts w:ascii="Sitka Heading" w:hAnsi="Sitka Heading" w:hint="default"/>
      </w:rPr>
    </w:lvl>
    <w:lvl w:ilvl="8" w:tplc="5F78E050" w:tentative="1">
      <w:start w:val="1"/>
      <w:numFmt w:val="bullet"/>
      <w:lvlText w:val="»"/>
      <w:lvlJc w:val="left"/>
      <w:pPr>
        <w:tabs>
          <w:tab w:val="num" w:pos="6120"/>
        </w:tabs>
        <w:ind w:left="6120" w:hanging="360"/>
      </w:pPr>
      <w:rPr>
        <w:rFonts w:ascii="Sitka Heading" w:hAnsi="Sitka Heading" w:hint="default"/>
      </w:rPr>
    </w:lvl>
  </w:abstractNum>
  <w:abstractNum w:abstractNumId="13" w15:restartNumberingAfterBreak="0">
    <w:nsid w:val="7EE457C6"/>
    <w:multiLevelType w:val="hybridMultilevel"/>
    <w:tmpl w:val="16B814B6"/>
    <w:lvl w:ilvl="0" w:tplc="4882F102">
      <w:start w:val="1"/>
      <w:numFmt w:val="bullet"/>
      <w:lvlText w:val="»"/>
      <w:lvlJc w:val="left"/>
      <w:pPr>
        <w:ind w:left="720" w:hanging="360"/>
      </w:pPr>
      <w:rPr>
        <w:rFonts w:ascii="Sitka Heading" w:hAnsi="Sitka Heading" w:hint="default"/>
        <w:color w:val="ED125F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68626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3191916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1068526">
    <w:abstractNumId w:val="12"/>
  </w:num>
  <w:num w:numId="4" w16cid:durableId="1998142816">
    <w:abstractNumId w:val="7"/>
  </w:num>
  <w:num w:numId="5" w16cid:durableId="213859095">
    <w:abstractNumId w:val="0"/>
  </w:num>
  <w:num w:numId="6" w16cid:durableId="951013215">
    <w:abstractNumId w:val="6"/>
  </w:num>
  <w:num w:numId="7" w16cid:durableId="1828278262">
    <w:abstractNumId w:val="1"/>
  </w:num>
  <w:num w:numId="8" w16cid:durableId="1263681891">
    <w:abstractNumId w:val="2"/>
  </w:num>
  <w:num w:numId="9" w16cid:durableId="817041345">
    <w:abstractNumId w:val="3"/>
  </w:num>
  <w:num w:numId="10" w16cid:durableId="1144858636">
    <w:abstractNumId w:val="13"/>
  </w:num>
  <w:num w:numId="11" w16cid:durableId="225772830">
    <w:abstractNumId w:val="9"/>
  </w:num>
  <w:num w:numId="12" w16cid:durableId="664162852">
    <w:abstractNumId w:val="11"/>
  </w:num>
  <w:num w:numId="13" w16cid:durableId="1812357867">
    <w:abstractNumId w:val="10"/>
  </w:num>
  <w:num w:numId="14" w16cid:durableId="846215186">
    <w:abstractNumId w:val="8"/>
  </w:num>
  <w:num w:numId="15" w16cid:durableId="531117901">
    <w:abstractNumId w:val="4"/>
  </w:num>
  <w:num w:numId="16" w16cid:durableId="171627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F7"/>
    <w:rsid w:val="00001DD9"/>
    <w:rsid w:val="00001F1B"/>
    <w:rsid w:val="000203E8"/>
    <w:rsid w:val="00030EA2"/>
    <w:rsid w:val="0005584D"/>
    <w:rsid w:val="00062034"/>
    <w:rsid w:val="00074363"/>
    <w:rsid w:val="000906D1"/>
    <w:rsid w:val="00093208"/>
    <w:rsid w:val="000938DB"/>
    <w:rsid w:val="000B128A"/>
    <w:rsid w:val="000B71CA"/>
    <w:rsid w:val="000E7D5A"/>
    <w:rsid w:val="000F28B0"/>
    <w:rsid w:val="000F3427"/>
    <w:rsid w:val="00105EFC"/>
    <w:rsid w:val="00125444"/>
    <w:rsid w:val="00127153"/>
    <w:rsid w:val="00147E77"/>
    <w:rsid w:val="00154760"/>
    <w:rsid w:val="001638E5"/>
    <w:rsid w:val="00166022"/>
    <w:rsid w:val="00173023"/>
    <w:rsid w:val="00176476"/>
    <w:rsid w:val="00177427"/>
    <w:rsid w:val="00180371"/>
    <w:rsid w:val="00190081"/>
    <w:rsid w:val="001935D9"/>
    <w:rsid w:val="001B0026"/>
    <w:rsid w:val="001B523A"/>
    <w:rsid w:val="001C077C"/>
    <w:rsid w:val="001C5511"/>
    <w:rsid w:val="001C7805"/>
    <w:rsid w:val="001D1BED"/>
    <w:rsid w:val="001E7EA0"/>
    <w:rsid w:val="002130A3"/>
    <w:rsid w:val="00235E06"/>
    <w:rsid w:val="00251461"/>
    <w:rsid w:val="00254BBE"/>
    <w:rsid w:val="00271425"/>
    <w:rsid w:val="0027378E"/>
    <w:rsid w:val="002835E3"/>
    <w:rsid w:val="00287052"/>
    <w:rsid w:val="00297C29"/>
    <w:rsid w:val="002B10AE"/>
    <w:rsid w:val="002E54C9"/>
    <w:rsid w:val="002F7790"/>
    <w:rsid w:val="00303F46"/>
    <w:rsid w:val="00307B9E"/>
    <w:rsid w:val="00312481"/>
    <w:rsid w:val="003328EB"/>
    <w:rsid w:val="00336C7B"/>
    <w:rsid w:val="00345718"/>
    <w:rsid w:val="00367D97"/>
    <w:rsid w:val="003843D8"/>
    <w:rsid w:val="00387BF3"/>
    <w:rsid w:val="00394333"/>
    <w:rsid w:val="00396C33"/>
    <w:rsid w:val="003A4508"/>
    <w:rsid w:val="003B0DB3"/>
    <w:rsid w:val="0043467F"/>
    <w:rsid w:val="00436C11"/>
    <w:rsid w:val="00444E9A"/>
    <w:rsid w:val="00445617"/>
    <w:rsid w:val="0045026E"/>
    <w:rsid w:val="00451497"/>
    <w:rsid w:val="0046159B"/>
    <w:rsid w:val="00462EFC"/>
    <w:rsid w:val="0046443D"/>
    <w:rsid w:val="004849B9"/>
    <w:rsid w:val="00492EAA"/>
    <w:rsid w:val="004B245D"/>
    <w:rsid w:val="004B588F"/>
    <w:rsid w:val="004B72FE"/>
    <w:rsid w:val="004C0784"/>
    <w:rsid w:val="004C3E6A"/>
    <w:rsid w:val="004D1268"/>
    <w:rsid w:val="004D3E7A"/>
    <w:rsid w:val="004E7A5B"/>
    <w:rsid w:val="005162AF"/>
    <w:rsid w:val="00535C1D"/>
    <w:rsid w:val="005442CB"/>
    <w:rsid w:val="0055182B"/>
    <w:rsid w:val="00563818"/>
    <w:rsid w:val="00591D66"/>
    <w:rsid w:val="005A30FC"/>
    <w:rsid w:val="005B607C"/>
    <w:rsid w:val="005E0384"/>
    <w:rsid w:val="005E2A70"/>
    <w:rsid w:val="005E7981"/>
    <w:rsid w:val="0063189D"/>
    <w:rsid w:val="00646F14"/>
    <w:rsid w:val="0067438A"/>
    <w:rsid w:val="006809C3"/>
    <w:rsid w:val="006832D7"/>
    <w:rsid w:val="00683E08"/>
    <w:rsid w:val="00694ACA"/>
    <w:rsid w:val="00694C89"/>
    <w:rsid w:val="006A4585"/>
    <w:rsid w:val="006B3E17"/>
    <w:rsid w:val="006F39FD"/>
    <w:rsid w:val="006F4CC9"/>
    <w:rsid w:val="007238AF"/>
    <w:rsid w:val="00737312"/>
    <w:rsid w:val="00742100"/>
    <w:rsid w:val="00743271"/>
    <w:rsid w:val="0077249C"/>
    <w:rsid w:val="0079552B"/>
    <w:rsid w:val="007E53B9"/>
    <w:rsid w:val="00811128"/>
    <w:rsid w:val="00821A38"/>
    <w:rsid w:val="008230A4"/>
    <w:rsid w:val="0083059E"/>
    <w:rsid w:val="0086321F"/>
    <w:rsid w:val="00863288"/>
    <w:rsid w:val="008809F7"/>
    <w:rsid w:val="00881AED"/>
    <w:rsid w:val="00882817"/>
    <w:rsid w:val="008B47BA"/>
    <w:rsid w:val="008B7C89"/>
    <w:rsid w:val="008C3DD4"/>
    <w:rsid w:val="008D3B56"/>
    <w:rsid w:val="008F2670"/>
    <w:rsid w:val="00903C55"/>
    <w:rsid w:val="00911554"/>
    <w:rsid w:val="00912981"/>
    <w:rsid w:val="009269A9"/>
    <w:rsid w:val="00935786"/>
    <w:rsid w:val="00950359"/>
    <w:rsid w:val="009549DE"/>
    <w:rsid w:val="0095587E"/>
    <w:rsid w:val="0096316D"/>
    <w:rsid w:val="009773F2"/>
    <w:rsid w:val="009827D4"/>
    <w:rsid w:val="00987B52"/>
    <w:rsid w:val="00991468"/>
    <w:rsid w:val="009A0728"/>
    <w:rsid w:val="009B6721"/>
    <w:rsid w:val="009B7139"/>
    <w:rsid w:val="009E6597"/>
    <w:rsid w:val="009F03CF"/>
    <w:rsid w:val="009F78F1"/>
    <w:rsid w:val="00A129AA"/>
    <w:rsid w:val="00A150F7"/>
    <w:rsid w:val="00A34E6E"/>
    <w:rsid w:val="00A36C2A"/>
    <w:rsid w:val="00A44E35"/>
    <w:rsid w:val="00A46AF6"/>
    <w:rsid w:val="00A52469"/>
    <w:rsid w:val="00A53CB5"/>
    <w:rsid w:val="00A55CDB"/>
    <w:rsid w:val="00A614EB"/>
    <w:rsid w:val="00A647C4"/>
    <w:rsid w:val="00A80B12"/>
    <w:rsid w:val="00AB1423"/>
    <w:rsid w:val="00AB3FAB"/>
    <w:rsid w:val="00AB7FF3"/>
    <w:rsid w:val="00AC1413"/>
    <w:rsid w:val="00AC3286"/>
    <w:rsid w:val="00AE1D58"/>
    <w:rsid w:val="00B22AB3"/>
    <w:rsid w:val="00B37E5D"/>
    <w:rsid w:val="00B40B6E"/>
    <w:rsid w:val="00B52EA9"/>
    <w:rsid w:val="00B56A7E"/>
    <w:rsid w:val="00B71F6D"/>
    <w:rsid w:val="00B81ED1"/>
    <w:rsid w:val="00B91FE7"/>
    <w:rsid w:val="00B93D2B"/>
    <w:rsid w:val="00BB3FA4"/>
    <w:rsid w:val="00BD3854"/>
    <w:rsid w:val="00BE000A"/>
    <w:rsid w:val="00BE0CBB"/>
    <w:rsid w:val="00BE25E9"/>
    <w:rsid w:val="00BF2F93"/>
    <w:rsid w:val="00BF7ECA"/>
    <w:rsid w:val="00C1162A"/>
    <w:rsid w:val="00C37295"/>
    <w:rsid w:val="00C429F9"/>
    <w:rsid w:val="00C563A2"/>
    <w:rsid w:val="00C6048E"/>
    <w:rsid w:val="00C64670"/>
    <w:rsid w:val="00C65E1D"/>
    <w:rsid w:val="00C728AA"/>
    <w:rsid w:val="00C77331"/>
    <w:rsid w:val="00C80C89"/>
    <w:rsid w:val="00C824C8"/>
    <w:rsid w:val="00C87CD1"/>
    <w:rsid w:val="00C90191"/>
    <w:rsid w:val="00CA0D1F"/>
    <w:rsid w:val="00CB4BB5"/>
    <w:rsid w:val="00CC1900"/>
    <w:rsid w:val="00CC6B22"/>
    <w:rsid w:val="00CD6548"/>
    <w:rsid w:val="00D227A4"/>
    <w:rsid w:val="00D22B50"/>
    <w:rsid w:val="00D2352B"/>
    <w:rsid w:val="00D338C5"/>
    <w:rsid w:val="00D41293"/>
    <w:rsid w:val="00D4294D"/>
    <w:rsid w:val="00D7533B"/>
    <w:rsid w:val="00DA07EC"/>
    <w:rsid w:val="00DC68CA"/>
    <w:rsid w:val="00DD19FB"/>
    <w:rsid w:val="00DE1A31"/>
    <w:rsid w:val="00DE27CF"/>
    <w:rsid w:val="00E022EE"/>
    <w:rsid w:val="00E11DE2"/>
    <w:rsid w:val="00E23A40"/>
    <w:rsid w:val="00E24D1A"/>
    <w:rsid w:val="00E24F9A"/>
    <w:rsid w:val="00E259A6"/>
    <w:rsid w:val="00E263B9"/>
    <w:rsid w:val="00E27109"/>
    <w:rsid w:val="00E36024"/>
    <w:rsid w:val="00E42C06"/>
    <w:rsid w:val="00E432F2"/>
    <w:rsid w:val="00E60CBE"/>
    <w:rsid w:val="00E6218D"/>
    <w:rsid w:val="00E8032F"/>
    <w:rsid w:val="00E83B4A"/>
    <w:rsid w:val="00E85BC9"/>
    <w:rsid w:val="00EB25E0"/>
    <w:rsid w:val="00EC0C71"/>
    <w:rsid w:val="00F06894"/>
    <w:rsid w:val="00F15F22"/>
    <w:rsid w:val="00F24B5D"/>
    <w:rsid w:val="00F43754"/>
    <w:rsid w:val="00F4573C"/>
    <w:rsid w:val="00F54DC0"/>
    <w:rsid w:val="00F563D3"/>
    <w:rsid w:val="00F80360"/>
    <w:rsid w:val="00F82404"/>
    <w:rsid w:val="00F94BE7"/>
    <w:rsid w:val="00FA6B9E"/>
    <w:rsid w:val="00FB0B06"/>
    <w:rsid w:val="00FC018A"/>
    <w:rsid w:val="00FD3E1C"/>
    <w:rsid w:val="00FE31E1"/>
    <w:rsid w:val="00FE78AE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F7C94AF"/>
  <w15:docId w15:val="{11EE7C32-D3AE-481F-A901-CD2BB1B4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">
    <w:name w:val="Report Body"/>
    <w:basedOn w:val="Normal"/>
    <w:link w:val="ReportBodyChar"/>
    <w:qFormat/>
    <w:rsid w:val="008809F7"/>
    <w:pPr>
      <w:spacing w:before="240" w:after="0" w:line="260" w:lineRule="exact"/>
      <w:jc w:val="both"/>
    </w:pPr>
    <w:rPr>
      <w:rFonts w:ascii="Arial Mäori" w:eastAsia="Times New Roman" w:hAnsi="Arial Mäori" w:cs="Times New Roman"/>
      <w:kern w:val="22"/>
    </w:rPr>
  </w:style>
  <w:style w:type="table" w:customStyle="1" w:styleId="TableGrid1">
    <w:name w:val="Table Grid1"/>
    <w:basedOn w:val="TableNormal"/>
    <w:next w:val="TableGrid"/>
    <w:rsid w:val="008809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portBodyChar">
    <w:name w:val="Report Body Char"/>
    <w:basedOn w:val="DefaultParagraphFont"/>
    <w:link w:val="ReportBody"/>
    <w:locked/>
    <w:rsid w:val="008809F7"/>
    <w:rPr>
      <w:rFonts w:ascii="Arial Mäori" w:eastAsia="Times New Roman" w:hAnsi="Arial Mäori" w:cs="Times New Roman"/>
      <w:kern w:val="22"/>
    </w:rPr>
  </w:style>
  <w:style w:type="table" w:styleId="TableGrid">
    <w:name w:val="Table Grid"/>
    <w:basedOn w:val="TableNormal"/>
    <w:uiPriority w:val="39"/>
    <w:rsid w:val="0088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8809F7"/>
    <w:pPr>
      <w:ind w:left="720"/>
      <w:contextualSpacing/>
    </w:pPr>
  </w:style>
  <w:style w:type="character" w:customStyle="1" w:styleId="normaltextrun">
    <w:name w:val="normaltextrun"/>
    <w:basedOn w:val="DefaultParagraphFont"/>
    <w:rsid w:val="00BF2F93"/>
  </w:style>
  <w:style w:type="character" w:customStyle="1" w:styleId="eop">
    <w:name w:val="eop"/>
    <w:basedOn w:val="DefaultParagraphFont"/>
    <w:rsid w:val="00BF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41282">
          <w:marLeft w:val="547"/>
          <w:marRight w:val="374"/>
          <w:marTop w:val="7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645">
          <w:marLeft w:val="547"/>
          <w:marRight w:val="374"/>
          <w:marTop w:val="7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529">
          <w:marLeft w:val="547"/>
          <w:marRight w:val="374"/>
          <w:marTop w:val="7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7590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30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089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738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9787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81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553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72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9447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043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766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7378">
          <w:marLeft w:val="907"/>
          <w:marRight w:val="0"/>
          <w:marTop w:val="27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Tully [DPMC]</dc:creator>
  <cp:keywords/>
  <dc:description/>
  <cp:lastModifiedBy>Gabrielle Tully [DPMC]</cp:lastModifiedBy>
  <cp:revision>2</cp:revision>
  <dcterms:created xsi:type="dcterms:W3CDTF">2023-05-02T22:04:00Z</dcterms:created>
  <dcterms:modified xsi:type="dcterms:W3CDTF">2023-05-02T22:04:00Z</dcterms:modified>
</cp:coreProperties>
</file>