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35" w:rsidRDefault="00C64135"/>
    <w:tbl>
      <w:tblPr>
        <w:tblW w:w="8953" w:type="dxa"/>
        <w:tblLayout w:type="fixed"/>
        <w:tblCellMar>
          <w:left w:w="0" w:type="dxa"/>
          <w:right w:w="0" w:type="dxa"/>
        </w:tblCellMar>
        <w:tblLook w:val="01E0"/>
      </w:tblPr>
      <w:tblGrid>
        <w:gridCol w:w="1550"/>
        <w:gridCol w:w="3989"/>
        <w:gridCol w:w="3414"/>
      </w:tblGrid>
      <w:tr w:rsidR="00815D01" w:rsidRPr="00AD2202" w:rsidTr="0021688B">
        <w:trPr>
          <w:trHeight w:val="1803"/>
        </w:trPr>
        <w:tc>
          <w:tcPr>
            <w:tcW w:w="5539" w:type="dxa"/>
            <w:gridSpan w:val="2"/>
            <w:shd w:val="clear" w:color="auto" w:fill="auto"/>
            <w:noWrap/>
            <w:vAlign w:val="bottom"/>
          </w:tcPr>
          <w:p w:rsidR="00815D01" w:rsidRPr="008156D1" w:rsidRDefault="00815D01" w:rsidP="0021688B">
            <w:pPr>
              <w:pStyle w:val="TemplateTitle"/>
              <w:tabs>
                <w:tab w:val="clear" w:pos="1620"/>
                <w:tab w:val="clear" w:pos="5940"/>
              </w:tabs>
            </w:pPr>
          </w:p>
        </w:tc>
        <w:tc>
          <w:tcPr>
            <w:tcW w:w="3414" w:type="dxa"/>
            <w:shd w:val="clear" w:color="auto" w:fill="auto"/>
          </w:tcPr>
          <w:p w:rsidR="00815D01" w:rsidRPr="00B17CB4" w:rsidRDefault="00815D01" w:rsidP="0021688B">
            <w:pPr>
              <w:pStyle w:val="LogoStyle"/>
            </w:pPr>
            <w:bookmarkStart w:id="0" w:name="bkmBrandingLogo"/>
            <w:r>
              <w:rPr>
                <w:noProof/>
                <w:lang w:val="en-NZ"/>
              </w:rPr>
              <w:drawing>
                <wp:inline distT="0" distB="0" distL="0" distR="0">
                  <wp:extent cx="1941195" cy="991870"/>
                  <wp:effectExtent l="0" t="0" r="1905" b="0"/>
                  <wp:docPr id="1" name="Picture 1" descr="MSD_Black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1195" cy="991870"/>
                          </a:xfrm>
                          <a:prstGeom prst="rect">
                            <a:avLst/>
                          </a:prstGeom>
                          <a:noFill/>
                          <a:ln>
                            <a:noFill/>
                          </a:ln>
                        </pic:spPr>
                      </pic:pic>
                    </a:graphicData>
                  </a:graphic>
                </wp:inline>
              </w:drawing>
            </w:r>
            <w:bookmarkEnd w:id="0"/>
          </w:p>
        </w:tc>
      </w:tr>
      <w:tr w:rsidR="00815D01" w:rsidRPr="00AD2202" w:rsidTr="0021688B">
        <w:trPr>
          <w:trHeight w:hRule="exact" w:val="113"/>
        </w:trPr>
        <w:tc>
          <w:tcPr>
            <w:tcW w:w="1550" w:type="dxa"/>
            <w:shd w:val="clear" w:color="auto" w:fill="auto"/>
          </w:tcPr>
          <w:p w:rsidR="00815D01" w:rsidRPr="00B77327" w:rsidRDefault="00815D01" w:rsidP="0021688B"/>
        </w:tc>
        <w:tc>
          <w:tcPr>
            <w:tcW w:w="7403" w:type="dxa"/>
            <w:gridSpan w:val="2"/>
            <w:shd w:val="clear" w:color="auto" w:fill="auto"/>
          </w:tcPr>
          <w:p w:rsidR="00815D01" w:rsidRPr="00B77327" w:rsidRDefault="00815D01" w:rsidP="0021688B"/>
        </w:tc>
      </w:tr>
      <w:tr w:rsidR="00815D01" w:rsidRPr="008C5718" w:rsidTr="0021688B">
        <w:trPr>
          <w:trHeight w:val="372"/>
        </w:trPr>
        <w:tc>
          <w:tcPr>
            <w:tcW w:w="8953" w:type="dxa"/>
            <w:gridSpan w:val="3"/>
            <w:shd w:val="clear" w:color="auto" w:fill="auto"/>
          </w:tcPr>
          <w:p w:rsidR="00815D01" w:rsidRPr="00815D01" w:rsidRDefault="00815D01" w:rsidP="00815D01">
            <w:pPr>
              <w:pStyle w:val="TemplateTitle"/>
              <w:tabs>
                <w:tab w:val="clear" w:pos="1620"/>
                <w:tab w:val="clear" w:pos="5940"/>
              </w:tabs>
            </w:pPr>
            <w:r>
              <w:t>MSD</w:t>
            </w:r>
            <w:r w:rsidRPr="00815D01">
              <w:t xml:space="preserve"> </w:t>
            </w:r>
            <w:r w:rsidR="003A199F">
              <w:t xml:space="preserve">- </w:t>
            </w:r>
            <w:r w:rsidRPr="00815D01">
              <w:t>Employment O</w:t>
            </w:r>
            <w:r w:rsidR="00FA0488">
              <w:t>utcomes Investment Strategy 2017/18</w:t>
            </w:r>
            <w:r w:rsidRPr="00815D01">
              <w:t xml:space="preserve"> </w:t>
            </w:r>
          </w:p>
          <w:p w:rsidR="00815D01" w:rsidRPr="007310FC" w:rsidRDefault="00815D01" w:rsidP="00815D01">
            <w:pPr>
              <w:pStyle w:val="TemplateTitle"/>
              <w:tabs>
                <w:tab w:val="clear" w:pos="1620"/>
                <w:tab w:val="clear" w:pos="5940"/>
              </w:tabs>
            </w:pPr>
          </w:p>
        </w:tc>
      </w:tr>
    </w:tbl>
    <w:p w:rsidR="00815D01" w:rsidRDefault="00815D01" w:rsidP="00815D01">
      <w:pPr>
        <w:pStyle w:val="Heading1"/>
        <w:numPr>
          <w:ilvl w:val="0"/>
          <w:numId w:val="0"/>
        </w:numPr>
        <w:ind w:left="567"/>
      </w:pPr>
    </w:p>
    <w:p w:rsidR="00815D01" w:rsidRDefault="00815D01" w:rsidP="00815D01">
      <w:pPr>
        <w:pStyle w:val="Heading1"/>
        <w:numPr>
          <w:ilvl w:val="0"/>
          <w:numId w:val="0"/>
        </w:numPr>
        <w:ind w:left="567"/>
      </w:pPr>
    </w:p>
    <w:p w:rsidR="00815D01" w:rsidRDefault="00815D01" w:rsidP="00815D01">
      <w:pPr>
        <w:pStyle w:val="Heading1"/>
        <w:numPr>
          <w:ilvl w:val="0"/>
          <w:numId w:val="0"/>
        </w:numPr>
        <w:ind w:left="567"/>
      </w:pPr>
    </w:p>
    <w:p w:rsidR="00815D01" w:rsidRDefault="00815D01" w:rsidP="00815D01">
      <w:pPr>
        <w:rPr>
          <w:lang w:val="en-GB" w:eastAsia="en-GB"/>
        </w:rPr>
      </w:pPr>
    </w:p>
    <w:tbl>
      <w:tblPr>
        <w:tblStyle w:val="TableGrid"/>
        <w:tblpPr w:leftFromText="180" w:rightFromText="180" w:vertAnchor="text" w:horzAnchor="margin" w:tblpY="119"/>
        <w:tblW w:w="0" w:type="auto"/>
        <w:tblLook w:val="04A0"/>
      </w:tblPr>
      <w:tblGrid>
        <w:gridCol w:w="1804"/>
        <w:gridCol w:w="4027"/>
      </w:tblGrid>
      <w:tr w:rsidR="00815D01" w:rsidRPr="00815D01" w:rsidTr="00DE60BA">
        <w:tc>
          <w:tcPr>
            <w:tcW w:w="0" w:type="auto"/>
            <w:shd w:val="clear" w:color="auto" w:fill="8DB3E2" w:themeFill="text2" w:themeFillTint="66"/>
          </w:tcPr>
          <w:p w:rsidR="00815D01" w:rsidRPr="00DE60BA" w:rsidRDefault="00815D01" w:rsidP="00815D01">
            <w:pPr>
              <w:rPr>
                <w:rFonts w:asciiTheme="minorHAnsi" w:hAnsiTheme="minorHAnsi" w:cstheme="minorHAnsi"/>
                <w:b/>
                <w:sz w:val="28"/>
                <w:szCs w:val="28"/>
                <w:lang w:val="en-GB" w:eastAsia="en-GB"/>
              </w:rPr>
            </w:pPr>
            <w:r w:rsidRPr="00DE60BA">
              <w:rPr>
                <w:rFonts w:asciiTheme="minorHAnsi" w:hAnsiTheme="minorHAnsi" w:cstheme="minorHAnsi"/>
                <w:b/>
                <w:sz w:val="28"/>
                <w:szCs w:val="28"/>
              </w:rPr>
              <w:t>Prepared By:</w:t>
            </w:r>
          </w:p>
        </w:tc>
        <w:tc>
          <w:tcPr>
            <w:tcW w:w="0" w:type="auto"/>
          </w:tcPr>
          <w:p w:rsidR="00815D01" w:rsidRPr="00815D01" w:rsidRDefault="00815D01" w:rsidP="00815D01">
            <w:pPr>
              <w:rPr>
                <w:rFonts w:asciiTheme="minorHAnsi" w:hAnsiTheme="minorHAnsi" w:cstheme="minorHAnsi"/>
                <w:sz w:val="28"/>
                <w:szCs w:val="28"/>
                <w:lang w:val="en-GB" w:eastAsia="en-GB"/>
              </w:rPr>
            </w:pPr>
            <w:r w:rsidRPr="00815D01">
              <w:rPr>
                <w:rFonts w:asciiTheme="minorHAnsi" w:hAnsiTheme="minorHAnsi" w:cstheme="minorHAnsi"/>
                <w:sz w:val="28"/>
                <w:szCs w:val="28"/>
                <w:lang w:val="en-GB" w:eastAsia="en-GB"/>
              </w:rPr>
              <w:t>Freddy Ernst</w:t>
            </w:r>
          </w:p>
        </w:tc>
      </w:tr>
      <w:tr w:rsidR="00815D01" w:rsidRPr="00815D01" w:rsidTr="00DE60BA">
        <w:tc>
          <w:tcPr>
            <w:tcW w:w="0" w:type="auto"/>
            <w:shd w:val="clear" w:color="auto" w:fill="8DB3E2" w:themeFill="text2" w:themeFillTint="66"/>
          </w:tcPr>
          <w:p w:rsidR="00815D01" w:rsidRPr="00DE60BA" w:rsidRDefault="00815D01" w:rsidP="00815D01">
            <w:pPr>
              <w:rPr>
                <w:rFonts w:asciiTheme="minorHAnsi" w:hAnsiTheme="minorHAnsi" w:cstheme="minorHAnsi"/>
                <w:b/>
                <w:sz w:val="28"/>
                <w:szCs w:val="28"/>
                <w:lang w:val="en-GB" w:eastAsia="en-GB"/>
              </w:rPr>
            </w:pPr>
            <w:r w:rsidRPr="00DE60BA">
              <w:rPr>
                <w:rFonts w:asciiTheme="minorHAnsi" w:hAnsiTheme="minorHAnsi" w:cstheme="minorHAnsi"/>
                <w:b/>
                <w:sz w:val="28"/>
                <w:szCs w:val="28"/>
              </w:rPr>
              <w:t>Prepared For:</w:t>
            </w:r>
          </w:p>
        </w:tc>
        <w:tc>
          <w:tcPr>
            <w:tcW w:w="0" w:type="auto"/>
          </w:tcPr>
          <w:p w:rsidR="00815D01" w:rsidRPr="00815D01" w:rsidRDefault="00815D01" w:rsidP="00815D01">
            <w:pPr>
              <w:rPr>
                <w:rFonts w:asciiTheme="minorHAnsi" w:hAnsiTheme="minorHAnsi" w:cstheme="minorHAnsi"/>
                <w:sz w:val="28"/>
                <w:szCs w:val="28"/>
                <w:lang w:val="en-GB" w:eastAsia="en-GB"/>
              </w:rPr>
            </w:pPr>
            <w:r>
              <w:rPr>
                <w:rFonts w:asciiTheme="minorHAnsi" w:hAnsiTheme="minorHAnsi" w:cstheme="minorHAnsi"/>
                <w:sz w:val="28"/>
                <w:szCs w:val="28"/>
                <w:lang w:val="en-GB" w:eastAsia="en-GB"/>
              </w:rPr>
              <w:t>Service Delivery Leadership Team</w:t>
            </w:r>
          </w:p>
        </w:tc>
      </w:tr>
      <w:tr w:rsidR="00815D01" w:rsidRPr="00815D01" w:rsidTr="00DE60BA">
        <w:tc>
          <w:tcPr>
            <w:tcW w:w="0" w:type="auto"/>
            <w:shd w:val="clear" w:color="auto" w:fill="8DB3E2" w:themeFill="text2" w:themeFillTint="66"/>
          </w:tcPr>
          <w:p w:rsidR="00815D01" w:rsidRPr="00DE60BA" w:rsidRDefault="00815D01" w:rsidP="00815D01">
            <w:pPr>
              <w:rPr>
                <w:rFonts w:asciiTheme="minorHAnsi" w:hAnsiTheme="minorHAnsi" w:cstheme="minorHAnsi"/>
                <w:b/>
                <w:sz w:val="28"/>
                <w:szCs w:val="28"/>
                <w:lang w:val="en-GB" w:eastAsia="en-GB"/>
              </w:rPr>
            </w:pPr>
            <w:r w:rsidRPr="00DE60BA">
              <w:rPr>
                <w:rFonts w:asciiTheme="minorHAnsi" w:hAnsiTheme="minorHAnsi" w:cstheme="minorHAnsi"/>
                <w:b/>
                <w:sz w:val="28"/>
                <w:szCs w:val="28"/>
              </w:rPr>
              <w:t>Date:</w:t>
            </w:r>
          </w:p>
        </w:tc>
        <w:tc>
          <w:tcPr>
            <w:tcW w:w="0" w:type="auto"/>
          </w:tcPr>
          <w:p w:rsidR="00815D01" w:rsidRPr="00815D01" w:rsidRDefault="00A20A65" w:rsidP="00815D01">
            <w:pPr>
              <w:rPr>
                <w:rFonts w:asciiTheme="minorHAnsi" w:hAnsiTheme="minorHAnsi" w:cstheme="minorHAnsi"/>
                <w:sz w:val="28"/>
                <w:szCs w:val="28"/>
                <w:lang w:val="en-GB" w:eastAsia="en-GB"/>
              </w:rPr>
            </w:pPr>
            <w:r>
              <w:rPr>
                <w:rFonts w:asciiTheme="minorHAnsi" w:hAnsiTheme="minorHAnsi" w:cstheme="minorHAnsi"/>
                <w:sz w:val="28"/>
                <w:szCs w:val="28"/>
                <w:lang w:val="en-GB" w:eastAsia="en-GB"/>
              </w:rPr>
              <w:t>May</w:t>
            </w:r>
            <w:r w:rsidR="00FA0488">
              <w:rPr>
                <w:rFonts w:asciiTheme="minorHAnsi" w:hAnsiTheme="minorHAnsi" w:cstheme="minorHAnsi"/>
                <w:sz w:val="28"/>
                <w:szCs w:val="28"/>
                <w:lang w:val="en-GB" w:eastAsia="en-GB"/>
              </w:rPr>
              <w:t xml:space="preserve"> 2017</w:t>
            </w:r>
          </w:p>
        </w:tc>
      </w:tr>
      <w:tr w:rsidR="00815D01" w:rsidRPr="00815D01" w:rsidTr="00DE60BA">
        <w:tc>
          <w:tcPr>
            <w:tcW w:w="0" w:type="auto"/>
            <w:shd w:val="clear" w:color="auto" w:fill="8DB3E2" w:themeFill="text2" w:themeFillTint="66"/>
          </w:tcPr>
          <w:p w:rsidR="00815D01" w:rsidRPr="00DE60BA" w:rsidRDefault="00815D01" w:rsidP="00815D01">
            <w:pPr>
              <w:rPr>
                <w:rFonts w:asciiTheme="minorHAnsi" w:hAnsiTheme="minorHAnsi" w:cstheme="minorHAnsi"/>
                <w:b/>
                <w:sz w:val="28"/>
                <w:szCs w:val="28"/>
                <w:lang w:val="en-GB" w:eastAsia="en-GB"/>
              </w:rPr>
            </w:pPr>
            <w:r w:rsidRPr="00DE60BA">
              <w:rPr>
                <w:rFonts w:asciiTheme="minorHAnsi" w:hAnsiTheme="minorHAnsi" w:cstheme="minorHAnsi"/>
                <w:b/>
                <w:sz w:val="28"/>
                <w:szCs w:val="28"/>
                <w:lang w:val="en-GB" w:eastAsia="en-GB"/>
              </w:rPr>
              <w:t>Version:</w:t>
            </w:r>
          </w:p>
        </w:tc>
        <w:tc>
          <w:tcPr>
            <w:tcW w:w="0" w:type="auto"/>
          </w:tcPr>
          <w:p w:rsidR="00815D01" w:rsidRPr="00815D01" w:rsidRDefault="00A20A65" w:rsidP="00815D01">
            <w:pPr>
              <w:rPr>
                <w:rFonts w:asciiTheme="minorHAnsi" w:hAnsiTheme="minorHAnsi" w:cstheme="minorHAnsi"/>
                <w:sz w:val="28"/>
                <w:szCs w:val="28"/>
                <w:lang w:val="en-GB" w:eastAsia="en-GB"/>
              </w:rPr>
            </w:pPr>
            <w:r>
              <w:rPr>
                <w:rFonts w:asciiTheme="minorHAnsi" w:hAnsiTheme="minorHAnsi" w:cstheme="minorHAnsi"/>
                <w:sz w:val="28"/>
                <w:szCs w:val="28"/>
                <w:lang w:val="en-GB" w:eastAsia="en-GB"/>
              </w:rPr>
              <w:t>1.0</w:t>
            </w:r>
          </w:p>
        </w:tc>
      </w:tr>
      <w:tr w:rsidR="00815D01" w:rsidRPr="00815D01" w:rsidTr="00DE60BA">
        <w:tc>
          <w:tcPr>
            <w:tcW w:w="0" w:type="auto"/>
            <w:shd w:val="clear" w:color="auto" w:fill="8DB3E2" w:themeFill="text2" w:themeFillTint="66"/>
          </w:tcPr>
          <w:p w:rsidR="00815D01" w:rsidRPr="00DE60BA" w:rsidRDefault="00815D01" w:rsidP="00815D01">
            <w:pPr>
              <w:rPr>
                <w:rFonts w:asciiTheme="minorHAnsi" w:hAnsiTheme="minorHAnsi" w:cstheme="minorHAnsi"/>
                <w:b/>
                <w:sz w:val="28"/>
                <w:szCs w:val="28"/>
                <w:lang w:val="en-GB" w:eastAsia="en-GB"/>
              </w:rPr>
            </w:pPr>
            <w:r w:rsidRPr="00DE60BA">
              <w:rPr>
                <w:rFonts w:asciiTheme="minorHAnsi" w:hAnsiTheme="minorHAnsi" w:cstheme="minorHAnsi"/>
                <w:b/>
                <w:sz w:val="28"/>
                <w:szCs w:val="28"/>
                <w:lang w:val="en-GB" w:eastAsia="en-GB"/>
              </w:rPr>
              <w:t>Status</w:t>
            </w:r>
          </w:p>
        </w:tc>
        <w:tc>
          <w:tcPr>
            <w:tcW w:w="0" w:type="auto"/>
          </w:tcPr>
          <w:p w:rsidR="00815D01" w:rsidRPr="00815D01" w:rsidRDefault="00A20A65" w:rsidP="00815D01">
            <w:pPr>
              <w:rPr>
                <w:rFonts w:asciiTheme="minorHAnsi" w:hAnsiTheme="minorHAnsi" w:cstheme="minorHAnsi"/>
                <w:sz w:val="28"/>
                <w:szCs w:val="28"/>
                <w:lang w:val="en-GB" w:eastAsia="en-GB"/>
              </w:rPr>
            </w:pPr>
            <w:r>
              <w:rPr>
                <w:rFonts w:asciiTheme="minorHAnsi" w:hAnsiTheme="minorHAnsi" w:cstheme="minorHAnsi"/>
                <w:sz w:val="28"/>
                <w:szCs w:val="28"/>
                <w:lang w:val="en-GB" w:eastAsia="en-GB"/>
              </w:rPr>
              <w:t>Final</w:t>
            </w:r>
          </w:p>
        </w:tc>
      </w:tr>
    </w:tbl>
    <w:p w:rsidR="00815D01" w:rsidRPr="00815D01" w:rsidRDefault="00815D01" w:rsidP="00815D01">
      <w:pPr>
        <w:pStyle w:val="Heading1"/>
        <w:numPr>
          <w:ilvl w:val="0"/>
          <w:numId w:val="0"/>
        </w:numPr>
        <w:ind w:left="567"/>
        <w:rPr>
          <w:lang w:val="en-GB"/>
        </w:rPr>
      </w:pPr>
    </w:p>
    <w:p w:rsidR="00815D01" w:rsidRDefault="00815D01" w:rsidP="00815D01">
      <w:pPr>
        <w:jc w:val="center"/>
        <w:rPr>
          <w:b/>
          <w:sz w:val="24"/>
        </w:rPr>
      </w:pPr>
      <w:r>
        <w:rPr>
          <w:rFonts w:cstheme="minorHAnsi"/>
        </w:rPr>
        <w:br w:type="page"/>
      </w:r>
    </w:p>
    <w:p w:rsidR="006F0438" w:rsidRPr="00651C35" w:rsidRDefault="007E3117" w:rsidP="005B1C5A">
      <w:pPr>
        <w:jc w:val="center"/>
        <w:rPr>
          <w:b/>
          <w:sz w:val="24"/>
        </w:rPr>
      </w:pPr>
      <w:r w:rsidRPr="00FA0488">
        <w:rPr>
          <w:b/>
        </w:rPr>
        <w:lastRenderedPageBreak/>
        <w:t>M</w:t>
      </w:r>
      <w:r w:rsidR="00FA0488" w:rsidRPr="00FA0488">
        <w:rPr>
          <w:b/>
        </w:rPr>
        <w:t xml:space="preserve">INISTRY OF </w:t>
      </w:r>
      <w:r w:rsidRPr="00FA0488">
        <w:rPr>
          <w:b/>
        </w:rPr>
        <w:t>S</w:t>
      </w:r>
      <w:r w:rsidR="00FA0488" w:rsidRPr="00FA0488">
        <w:rPr>
          <w:b/>
        </w:rPr>
        <w:t xml:space="preserve">OCIAL </w:t>
      </w:r>
      <w:r w:rsidRPr="00FA0488">
        <w:rPr>
          <w:b/>
        </w:rPr>
        <w:t>D</w:t>
      </w:r>
      <w:r w:rsidR="00FA0488" w:rsidRPr="00FA0488">
        <w:rPr>
          <w:b/>
        </w:rPr>
        <w:t xml:space="preserve">EVELOMENT - </w:t>
      </w:r>
      <w:r w:rsidRPr="00FA0488">
        <w:rPr>
          <w:b/>
        </w:rPr>
        <w:t>EMPLOYMENT OUTCOMES</w:t>
      </w:r>
      <w:r w:rsidR="00FA0488" w:rsidRPr="00FA0488">
        <w:rPr>
          <w:b/>
        </w:rPr>
        <w:t xml:space="preserve"> INVESTMENT STRATEGY</w:t>
      </w:r>
      <w:r w:rsidR="00FA0488">
        <w:rPr>
          <w:b/>
          <w:sz w:val="24"/>
        </w:rPr>
        <w:t xml:space="preserve"> 2017/18</w:t>
      </w:r>
      <w:r w:rsidR="00765C49" w:rsidRPr="00651C35">
        <w:rPr>
          <w:b/>
          <w:sz w:val="24"/>
        </w:rPr>
        <w:t xml:space="preserve"> </w:t>
      </w:r>
    </w:p>
    <w:p w:rsidR="005B1C5A" w:rsidRDefault="005B1C5A" w:rsidP="005B1C5A">
      <w:pPr>
        <w:rPr>
          <w:b/>
        </w:rPr>
      </w:pPr>
      <w:r>
        <w:rPr>
          <w:b/>
        </w:rPr>
        <w:t>Purpose</w:t>
      </w:r>
    </w:p>
    <w:p w:rsidR="00914CCA" w:rsidRDefault="005B1C5A" w:rsidP="00F75DD5">
      <w:pPr>
        <w:pStyle w:val="BodyText1"/>
        <w:autoSpaceDE/>
        <w:autoSpaceDN/>
        <w:rPr>
          <w:rFonts w:asciiTheme="minorHAnsi" w:hAnsiTheme="minorHAnsi" w:cstheme="minorBidi"/>
          <w:sz w:val="22"/>
          <w:szCs w:val="22"/>
          <w:lang w:eastAsia="en-US"/>
        </w:rPr>
      </w:pPr>
      <w:r w:rsidRPr="00651C35">
        <w:rPr>
          <w:rFonts w:asciiTheme="minorHAnsi" w:hAnsiTheme="minorHAnsi" w:cstheme="minorBidi"/>
          <w:sz w:val="22"/>
          <w:szCs w:val="22"/>
          <w:lang w:eastAsia="en-US"/>
        </w:rPr>
        <w:t xml:space="preserve">The Investment Strategy (the Strategy) sets out the </w:t>
      </w:r>
      <w:r w:rsidR="009B0ED8">
        <w:rPr>
          <w:rFonts w:asciiTheme="minorHAnsi" w:hAnsiTheme="minorHAnsi" w:cstheme="minorBidi"/>
          <w:sz w:val="22"/>
          <w:szCs w:val="22"/>
          <w:lang w:eastAsia="en-US"/>
        </w:rPr>
        <w:t>fo</w:t>
      </w:r>
      <w:r w:rsidR="007E3117">
        <w:rPr>
          <w:rFonts w:asciiTheme="minorHAnsi" w:hAnsiTheme="minorHAnsi" w:cstheme="minorBidi"/>
          <w:sz w:val="22"/>
          <w:szCs w:val="22"/>
          <w:lang w:eastAsia="en-US"/>
        </w:rPr>
        <w:t>cus</w:t>
      </w:r>
      <w:r w:rsidR="005C0C83">
        <w:rPr>
          <w:rFonts w:asciiTheme="minorHAnsi" w:hAnsiTheme="minorHAnsi" w:cstheme="minorBidi"/>
          <w:sz w:val="22"/>
          <w:szCs w:val="22"/>
          <w:lang w:eastAsia="en-US"/>
        </w:rPr>
        <w:t xml:space="preserve"> areas which underpin spending allocations</w:t>
      </w:r>
      <w:r w:rsidR="007E3117">
        <w:rPr>
          <w:rFonts w:asciiTheme="minorHAnsi" w:hAnsiTheme="minorHAnsi" w:cstheme="minorBidi"/>
          <w:sz w:val="22"/>
          <w:szCs w:val="22"/>
          <w:lang w:eastAsia="en-US"/>
        </w:rPr>
        <w:t xml:space="preserve"> for M</w:t>
      </w:r>
      <w:r w:rsidR="00FA0488">
        <w:rPr>
          <w:rFonts w:asciiTheme="minorHAnsi" w:hAnsiTheme="minorHAnsi" w:cstheme="minorBidi"/>
          <w:sz w:val="22"/>
          <w:szCs w:val="22"/>
          <w:lang w:eastAsia="en-US"/>
        </w:rPr>
        <w:t xml:space="preserve">inistry of </w:t>
      </w:r>
      <w:r w:rsidR="007E3117">
        <w:rPr>
          <w:rFonts w:asciiTheme="minorHAnsi" w:hAnsiTheme="minorHAnsi" w:cstheme="minorBidi"/>
          <w:sz w:val="22"/>
          <w:szCs w:val="22"/>
          <w:lang w:eastAsia="en-US"/>
        </w:rPr>
        <w:t>S</w:t>
      </w:r>
      <w:r w:rsidR="00FA0488">
        <w:rPr>
          <w:rFonts w:asciiTheme="minorHAnsi" w:hAnsiTheme="minorHAnsi" w:cstheme="minorBidi"/>
          <w:sz w:val="22"/>
          <w:szCs w:val="22"/>
          <w:lang w:eastAsia="en-US"/>
        </w:rPr>
        <w:t>ocial Development’s (MSD) Multi-Category Appropriation</w:t>
      </w:r>
      <w:r w:rsidR="007E3117">
        <w:rPr>
          <w:rFonts w:asciiTheme="minorHAnsi" w:hAnsiTheme="minorHAnsi" w:cstheme="minorBidi"/>
          <w:sz w:val="22"/>
          <w:szCs w:val="22"/>
          <w:lang w:eastAsia="en-US"/>
        </w:rPr>
        <w:t xml:space="preserve"> </w:t>
      </w:r>
      <w:r w:rsidR="00FA0488">
        <w:rPr>
          <w:rFonts w:asciiTheme="minorHAnsi" w:hAnsiTheme="minorHAnsi" w:cstheme="minorBidi"/>
          <w:sz w:val="22"/>
          <w:szCs w:val="22"/>
          <w:lang w:eastAsia="en-US"/>
        </w:rPr>
        <w:t>(</w:t>
      </w:r>
      <w:r w:rsidR="009B0ED8">
        <w:rPr>
          <w:rFonts w:asciiTheme="minorHAnsi" w:hAnsiTheme="minorHAnsi" w:cstheme="minorBidi"/>
          <w:sz w:val="22"/>
          <w:szCs w:val="22"/>
          <w:lang w:eastAsia="en-US"/>
        </w:rPr>
        <w:t>MCA</w:t>
      </w:r>
      <w:r w:rsidR="00FA0488">
        <w:rPr>
          <w:rFonts w:asciiTheme="minorHAnsi" w:hAnsiTheme="minorHAnsi" w:cstheme="minorBidi"/>
          <w:sz w:val="22"/>
          <w:szCs w:val="22"/>
          <w:lang w:eastAsia="en-US"/>
        </w:rPr>
        <w:t>)</w:t>
      </w:r>
      <w:r w:rsidR="009B0ED8">
        <w:rPr>
          <w:rFonts w:asciiTheme="minorHAnsi" w:hAnsiTheme="minorHAnsi" w:cstheme="minorBidi"/>
          <w:sz w:val="22"/>
          <w:szCs w:val="22"/>
          <w:lang w:eastAsia="en-US"/>
        </w:rPr>
        <w:t xml:space="preserve"> funding for employment outcomes. </w:t>
      </w:r>
    </w:p>
    <w:p w:rsidR="00914CCA" w:rsidRDefault="009B0ED8" w:rsidP="00F75DD5">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Specifically</w:t>
      </w:r>
      <w:r w:rsidR="007E3117">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w:t>
      </w:r>
      <w:r w:rsidR="00914CCA">
        <w:rPr>
          <w:rFonts w:asciiTheme="minorHAnsi" w:hAnsiTheme="minorHAnsi" w:cstheme="minorBidi"/>
          <w:sz w:val="22"/>
          <w:szCs w:val="22"/>
          <w:lang w:eastAsia="en-US"/>
        </w:rPr>
        <w:t xml:space="preserve">at a high-level </w:t>
      </w:r>
      <w:r w:rsidR="00D1359C">
        <w:rPr>
          <w:rFonts w:asciiTheme="minorHAnsi" w:hAnsiTheme="minorHAnsi" w:cstheme="minorBidi"/>
          <w:sz w:val="22"/>
          <w:szCs w:val="22"/>
          <w:lang w:eastAsia="en-US"/>
        </w:rPr>
        <w:t>the Strategy</w:t>
      </w:r>
      <w:r>
        <w:rPr>
          <w:rFonts w:asciiTheme="minorHAnsi" w:hAnsiTheme="minorHAnsi" w:cstheme="minorBidi"/>
          <w:sz w:val="22"/>
          <w:szCs w:val="22"/>
          <w:lang w:eastAsia="en-US"/>
        </w:rPr>
        <w:t xml:space="preserve"> highlights </w:t>
      </w:r>
      <w:r w:rsidR="007E3117">
        <w:rPr>
          <w:rFonts w:asciiTheme="minorHAnsi" w:hAnsiTheme="minorHAnsi" w:cstheme="minorBidi"/>
          <w:sz w:val="22"/>
          <w:szCs w:val="22"/>
          <w:lang w:eastAsia="en-US"/>
        </w:rPr>
        <w:t xml:space="preserve">which groups of </w:t>
      </w:r>
      <w:proofErr w:type="gramStart"/>
      <w:r w:rsidR="007E3117">
        <w:rPr>
          <w:rFonts w:asciiTheme="minorHAnsi" w:hAnsiTheme="minorHAnsi" w:cstheme="minorBidi"/>
          <w:sz w:val="22"/>
          <w:szCs w:val="22"/>
          <w:lang w:eastAsia="en-US"/>
        </w:rPr>
        <w:t>clients</w:t>
      </w:r>
      <w:proofErr w:type="gramEnd"/>
      <w:r w:rsidR="007E3117">
        <w:rPr>
          <w:rFonts w:asciiTheme="minorHAnsi" w:hAnsiTheme="minorHAnsi" w:cstheme="minorBidi"/>
          <w:sz w:val="22"/>
          <w:szCs w:val="22"/>
          <w:lang w:eastAsia="en-US"/>
        </w:rPr>
        <w:t xml:space="preserve"> </w:t>
      </w:r>
      <w:r w:rsidR="005C0C83">
        <w:rPr>
          <w:rFonts w:asciiTheme="minorHAnsi" w:hAnsiTheme="minorHAnsi" w:cstheme="minorBidi"/>
          <w:sz w:val="22"/>
          <w:szCs w:val="22"/>
          <w:lang w:eastAsia="en-US"/>
        </w:rPr>
        <w:t xml:space="preserve">employment and work readiness spending </w:t>
      </w:r>
      <w:r w:rsidR="005B1C5A" w:rsidRPr="00651C35">
        <w:rPr>
          <w:rFonts w:asciiTheme="minorHAnsi" w:hAnsiTheme="minorHAnsi" w:cstheme="minorBidi"/>
          <w:sz w:val="22"/>
          <w:szCs w:val="22"/>
          <w:lang w:eastAsia="en-US"/>
        </w:rPr>
        <w:t xml:space="preserve">will be targeted </w:t>
      </w:r>
      <w:r w:rsidR="005C0C83">
        <w:rPr>
          <w:rFonts w:asciiTheme="minorHAnsi" w:hAnsiTheme="minorHAnsi" w:cstheme="minorBidi"/>
          <w:sz w:val="22"/>
          <w:szCs w:val="22"/>
          <w:lang w:eastAsia="en-US"/>
        </w:rPr>
        <w:t xml:space="preserve">towards, </w:t>
      </w:r>
      <w:r w:rsidR="007E3117">
        <w:rPr>
          <w:rFonts w:asciiTheme="minorHAnsi" w:hAnsiTheme="minorHAnsi" w:cstheme="minorBidi"/>
          <w:sz w:val="22"/>
          <w:szCs w:val="22"/>
          <w:lang w:eastAsia="en-US"/>
        </w:rPr>
        <w:t xml:space="preserve">as an investment priority </w:t>
      </w:r>
      <w:r w:rsidR="00914CCA">
        <w:rPr>
          <w:rFonts w:asciiTheme="minorHAnsi" w:hAnsiTheme="minorHAnsi" w:cstheme="minorBidi"/>
          <w:sz w:val="22"/>
          <w:szCs w:val="22"/>
          <w:lang w:eastAsia="en-US"/>
        </w:rPr>
        <w:t>based on various data sources, such as the annual actuarial valuation, the Benefits System Performance Report</w:t>
      </w:r>
      <w:r w:rsidR="00033EEA">
        <w:rPr>
          <w:rFonts w:asciiTheme="minorHAnsi" w:hAnsiTheme="minorHAnsi" w:cstheme="minorBidi"/>
          <w:sz w:val="22"/>
          <w:szCs w:val="22"/>
          <w:lang w:eastAsia="en-US"/>
        </w:rPr>
        <w:t xml:space="preserve"> (BSPR)</w:t>
      </w:r>
      <w:r w:rsidR="00914CCA">
        <w:rPr>
          <w:rFonts w:asciiTheme="minorHAnsi" w:hAnsiTheme="minorHAnsi" w:cstheme="minorBidi"/>
          <w:sz w:val="22"/>
          <w:szCs w:val="22"/>
          <w:lang w:eastAsia="en-US"/>
        </w:rPr>
        <w:t>, the Quarterly Drivers of Performance</w:t>
      </w:r>
      <w:r w:rsidR="00F75DD5">
        <w:rPr>
          <w:rFonts w:asciiTheme="minorHAnsi" w:hAnsiTheme="minorHAnsi" w:cstheme="minorBidi"/>
          <w:sz w:val="22"/>
          <w:szCs w:val="22"/>
          <w:lang w:eastAsia="en-US"/>
        </w:rPr>
        <w:t xml:space="preserve"> Reports (the Report)</w:t>
      </w:r>
      <w:r w:rsidR="00914CCA">
        <w:rPr>
          <w:rFonts w:asciiTheme="minorHAnsi" w:hAnsiTheme="minorHAnsi" w:cstheme="minorBidi"/>
          <w:sz w:val="22"/>
          <w:szCs w:val="22"/>
          <w:lang w:eastAsia="en-US"/>
        </w:rPr>
        <w:t xml:space="preserve">, the External Monitor Reports and consultation with various stakeholders. </w:t>
      </w:r>
    </w:p>
    <w:p w:rsidR="005B1C5A" w:rsidRPr="00651C35" w:rsidRDefault="00D1359C" w:rsidP="00F75DD5">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Underpinning the</w:t>
      </w:r>
      <w:r w:rsidR="002E3E8B" w:rsidRPr="002E3E8B">
        <w:rPr>
          <w:rFonts w:asciiTheme="minorHAnsi" w:hAnsiTheme="minorHAnsi" w:cstheme="minorBidi"/>
          <w:sz w:val="22"/>
          <w:szCs w:val="22"/>
          <w:lang w:eastAsia="en-US"/>
        </w:rPr>
        <w:t xml:space="preserve"> Strategy is </w:t>
      </w:r>
      <w:r w:rsidR="00B51A01">
        <w:rPr>
          <w:rFonts w:asciiTheme="minorHAnsi" w:hAnsiTheme="minorHAnsi" w:cstheme="minorBidi"/>
          <w:sz w:val="22"/>
          <w:szCs w:val="22"/>
          <w:lang w:eastAsia="en-US"/>
        </w:rPr>
        <w:t>a</w:t>
      </w:r>
      <w:r w:rsidR="002E3E8B" w:rsidRPr="002E3E8B">
        <w:rPr>
          <w:rFonts w:asciiTheme="minorHAnsi" w:hAnsiTheme="minorHAnsi" w:cstheme="minorBidi"/>
          <w:sz w:val="22"/>
          <w:szCs w:val="22"/>
          <w:lang w:eastAsia="en-US"/>
        </w:rPr>
        <w:t xml:space="preserve"> Wor</w:t>
      </w:r>
      <w:r w:rsidR="002E3E8B">
        <w:rPr>
          <w:rFonts w:asciiTheme="minorHAnsi" w:hAnsiTheme="minorHAnsi" w:cstheme="minorBidi"/>
          <w:sz w:val="22"/>
          <w:szCs w:val="22"/>
          <w:lang w:eastAsia="en-US"/>
        </w:rPr>
        <w:t xml:space="preserve">k Programme </w:t>
      </w:r>
      <w:r w:rsidR="00B51A01">
        <w:rPr>
          <w:rFonts w:asciiTheme="minorHAnsi" w:hAnsiTheme="minorHAnsi" w:cstheme="minorBidi"/>
          <w:sz w:val="22"/>
          <w:szCs w:val="22"/>
          <w:lang w:eastAsia="en-US"/>
        </w:rPr>
        <w:t>that</w:t>
      </w:r>
      <w:r w:rsidR="002E3E8B" w:rsidRPr="002E3E8B">
        <w:rPr>
          <w:rFonts w:asciiTheme="minorHAnsi" w:hAnsiTheme="minorHAnsi" w:cstheme="minorBidi"/>
          <w:sz w:val="22"/>
          <w:szCs w:val="22"/>
          <w:lang w:eastAsia="en-US"/>
        </w:rPr>
        <w:t xml:space="preserve"> outlines in more detail the specific programmes and interventions, funded through the MCA, that will help achieve the outcomes identified in the Investment Plan.</w:t>
      </w:r>
      <w:r w:rsidR="002E3E8B">
        <w:rPr>
          <w:rFonts w:eastAsia="Times New Roman"/>
        </w:rPr>
        <w:t xml:space="preserve"> </w:t>
      </w:r>
    </w:p>
    <w:p w:rsidR="00651C35" w:rsidRDefault="00651C35" w:rsidP="00F75DD5">
      <w:pPr>
        <w:pStyle w:val="NoSpacing"/>
      </w:pPr>
    </w:p>
    <w:p w:rsidR="005B1C5A" w:rsidRDefault="00604034" w:rsidP="00F75DD5">
      <w:r>
        <w:t>This Strategy is set out in three</w:t>
      </w:r>
      <w:r w:rsidR="00CF0D11">
        <w:t xml:space="preserve"> parts</w:t>
      </w:r>
      <w:r w:rsidR="005B1C5A">
        <w:t>:</w:t>
      </w:r>
    </w:p>
    <w:p w:rsidR="005B1C5A" w:rsidRDefault="005B1C5A" w:rsidP="005B1C5A">
      <w:pPr>
        <w:pStyle w:val="ListParagraph"/>
        <w:numPr>
          <w:ilvl w:val="0"/>
          <w:numId w:val="1"/>
        </w:numPr>
      </w:pPr>
      <w:r>
        <w:t xml:space="preserve">Part 1: </w:t>
      </w:r>
      <w:r w:rsidR="007E0D38">
        <w:t>Background and current operating environment</w:t>
      </w:r>
    </w:p>
    <w:p w:rsidR="005B1C5A" w:rsidRDefault="005B1C5A" w:rsidP="005B1C5A">
      <w:pPr>
        <w:pStyle w:val="ListParagraph"/>
        <w:numPr>
          <w:ilvl w:val="0"/>
          <w:numId w:val="1"/>
        </w:numPr>
      </w:pPr>
      <w:r>
        <w:t xml:space="preserve">Part 2: </w:t>
      </w:r>
      <w:r w:rsidR="002E3E8B">
        <w:t>Performance and investment decisions</w:t>
      </w:r>
      <w:r w:rsidR="00147352">
        <w:t xml:space="preserve"> </w:t>
      </w:r>
    </w:p>
    <w:p w:rsidR="0090492A" w:rsidRDefault="005B1C5A" w:rsidP="0090492A">
      <w:pPr>
        <w:pStyle w:val="ListParagraph"/>
        <w:numPr>
          <w:ilvl w:val="0"/>
          <w:numId w:val="1"/>
        </w:numPr>
      </w:pPr>
      <w:r>
        <w:t xml:space="preserve">Part 3: </w:t>
      </w:r>
      <w:r w:rsidR="00D377FD">
        <w:t>Investment plan 2017/18</w:t>
      </w:r>
    </w:p>
    <w:p w:rsidR="005B1C5A" w:rsidRDefault="0090492A" w:rsidP="0090492A">
      <w:pPr>
        <w:pStyle w:val="ListParagraph"/>
      </w:pPr>
      <w:r>
        <w:t xml:space="preserve">             </w:t>
      </w:r>
      <w:r w:rsidR="002E3E8B">
        <w:t>(a</w:t>
      </w:r>
      <w:r>
        <w:t xml:space="preserve">) </w:t>
      </w:r>
      <w:r w:rsidR="002E3E8B">
        <w:t>Key focus for 2017/18</w:t>
      </w:r>
    </w:p>
    <w:p w:rsidR="002E3E8B" w:rsidRDefault="002E3E8B" w:rsidP="0090492A">
      <w:pPr>
        <w:pStyle w:val="ListParagraph"/>
      </w:pPr>
      <w:r>
        <w:t xml:space="preserve">             (b) Performance of the System</w:t>
      </w:r>
    </w:p>
    <w:p w:rsidR="002E3E8B" w:rsidRDefault="002E3E8B" w:rsidP="0090492A">
      <w:pPr>
        <w:pStyle w:val="ListParagraph"/>
      </w:pPr>
      <w:r>
        <w:t xml:space="preserve">             (c) Investment mix for 2017/18</w:t>
      </w:r>
    </w:p>
    <w:p w:rsidR="002E3E8B" w:rsidRDefault="00087DAA" w:rsidP="00D1359C">
      <w:pPr>
        <w:pStyle w:val="BodyText1"/>
        <w:autoSpaceDE/>
        <w:autoSpaceDN/>
        <w:rPr>
          <w:rFonts w:asciiTheme="minorHAnsi" w:hAnsiTheme="minorHAnsi" w:cstheme="minorBidi"/>
          <w:sz w:val="22"/>
          <w:szCs w:val="22"/>
          <w:lang w:eastAsia="en-US"/>
        </w:rPr>
      </w:pPr>
      <w:r w:rsidRPr="005B1A5E">
        <w:rPr>
          <w:rFonts w:asciiTheme="minorHAnsi" w:hAnsiTheme="minorHAnsi" w:cstheme="minorBidi"/>
          <w:sz w:val="22"/>
          <w:szCs w:val="22"/>
          <w:lang w:eastAsia="en-US"/>
        </w:rPr>
        <w:t>As agreed with the previous Minister of Finance and the Treasury, a version of this Strategy will be published on the MSD website once Ministers hav</w:t>
      </w:r>
      <w:r w:rsidR="00F75DD5" w:rsidRPr="005B1A5E">
        <w:rPr>
          <w:rFonts w:asciiTheme="minorHAnsi" w:hAnsiTheme="minorHAnsi" w:cstheme="minorBidi"/>
          <w:sz w:val="22"/>
          <w:szCs w:val="22"/>
          <w:lang w:eastAsia="en-US"/>
        </w:rPr>
        <w:t>e been consulted on the content</w:t>
      </w:r>
      <w:r w:rsidR="005C0C83">
        <w:rPr>
          <w:rFonts w:asciiTheme="minorHAnsi" w:hAnsiTheme="minorHAnsi" w:cstheme="minorBidi"/>
          <w:sz w:val="22"/>
          <w:szCs w:val="22"/>
          <w:lang w:eastAsia="en-US"/>
        </w:rPr>
        <w:t>. In addition to transparency</w:t>
      </w:r>
      <w:r w:rsidR="00D1359C" w:rsidRPr="00D1359C">
        <w:rPr>
          <w:rFonts w:asciiTheme="minorHAnsi" w:hAnsiTheme="minorHAnsi" w:cstheme="minorBidi"/>
          <w:sz w:val="22"/>
          <w:szCs w:val="22"/>
          <w:lang w:eastAsia="en-US"/>
        </w:rPr>
        <w:t xml:space="preserve"> </w:t>
      </w:r>
      <w:r w:rsidR="00D1359C">
        <w:rPr>
          <w:rFonts w:asciiTheme="minorHAnsi" w:hAnsiTheme="minorHAnsi" w:cstheme="minorBidi"/>
          <w:sz w:val="22"/>
          <w:szCs w:val="22"/>
          <w:lang w:eastAsia="en-US"/>
        </w:rPr>
        <w:t>(e.g. showing how the MCA funding is intended to be used in each year)</w:t>
      </w:r>
      <w:r w:rsidR="005C0C83">
        <w:rPr>
          <w:rFonts w:asciiTheme="minorHAnsi" w:hAnsiTheme="minorHAnsi" w:cstheme="minorBidi"/>
          <w:sz w:val="22"/>
          <w:szCs w:val="22"/>
          <w:lang w:eastAsia="en-US"/>
        </w:rPr>
        <w:t>, t</w:t>
      </w:r>
      <w:r w:rsidRPr="005B1A5E">
        <w:rPr>
          <w:rFonts w:asciiTheme="minorHAnsi" w:hAnsiTheme="minorHAnsi" w:cstheme="minorBidi"/>
          <w:sz w:val="22"/>
          <w:szCs w:val="22"/>
          <w:lang w:eastAsia="en-US"/>
        </w:rPr>
        <w:t>he purpose of making the Strategy public is to attract interest from external organisations to w</w:t>
      </w:r>
      <w:r w:rsidR="00D1359C">
        <w:rPr>
          <w:rFonts w:asciiTheme="minorHAnsi" w:hAnsiTheme="minorHAnsi" w:cstheme="minorBidi"/>
          <w:sz w:val="22"/>
          <w:szCs w:val="22"/>
          <w:lang w:eastAsia="en-US"/>
        </w:rPr>
        <w:t xml:space="preserve">ork collaboratively with MSD. This will </w:t>
      </w:r>
      <w:r w:rsidRPr="005B1A5E">
        <w:rPr>
          <w:rFonts w:asciiTheme="minorHAnsi" w:hAnsiTheme="minorHAnsi" w:cstheme="minorBidi"/>
          <w:sz w:val="22"/>
          <w:szCs w:val="22"/>
          <w:lang w:eastAsia="en-US"/>
        </w:rPr>
        <w:t>he</w:t>
      </w:r>
      <w:r w:rsidR="00D1359C">
        <w:rPr>
          <w:rFonts w:asciiTheme="minorHAnsi" w:hAnsiTheme="minorHAnsi" w:cstheme="minorBidi"/>
          <w:sz w:val="22"/>
          <w:szCs w:val="22"/>
          <w:lang w:eastAsia="en-US"/>
        </w:rPr>
        <w:t xml:space="preserve">lp us better understand the complexities faced by some of our </w:t>
      </w:r>
      <w:r w:rsidRPr="005B1A5E">
        <w:rPr>
          <w:rFonts w:asciiTheme="minorHAnsi" w:hAnsiTheme="minorHAnsi" w:cstheme="minorBidi"/>
          <w:sz w:val="22"/>
          <w:szCs w:val="22"/>
          <w:lang w:eastAsia="en-US"/>
        </w:rPr>
        <w:t xml:space="preserve">clients and </w:t>
      </w:r>
      <w:r w:rsidR="005C0C83">
        <w:rPr>
          <w:rFonts w:asciiTheme="minorHAnsi" w:hAnsiTheme="minorHAnsi" w:cstheme="minorBidi"/>
          <w:sz w:val="22"/>
          <w:szCs w:val="22"/>
          <w:lang w:eastAsia="en-US"/>
        </w:rPr>
        <w:t>contribute to</w:t>
      </w:r>
      <w:r w:rsidR="00D1359C">
        <w:rPr>
          <w:rFonts w:asciiTheme="minorHAnsi" w:hAnsiTheme="minorHAnsi" w:cstheme="minorBidi"/>
          <w:sz w:val="22"/>
          <w:szCs w:val="22"/>
          <w:lang w:eastAsia="en-US"/>
        </w:rPr>
        <w:t>wards developing new service</w:t>
      </w:r>
      <w:r w:rsidR="005C0C83">
        <w:rPr>
          <w:rFonts w:asciiTheme="minorHAnsi" w:hAnsiTheme="minorHAnsi" w:cstheme="minorBidi"/>
          <w:sz w:val="22"/>
          <w:szCs w:val="22"/>
          <w:lang w:eastAsia="en-US"/>
        </w:rPr>
        <w:t xml:space="preserve">s </w:t>
      </w:r>
      <w:r w:rsidR="00D1359C">
        <w:rPr>
          <w:rFonts w:asciiTheme="minorHAnsi" w:hAnsiTheme="minorHAnsi" w:cstheme="minorBidi"/>
          <w:sz w:val="22"/>
          <w:szCs w:val="22"/>
          <w:lang w:eastAsia="en-US"/>
        </w:rPr>
        <w:t>aimed at improving client outcomes.</w:t>
      </w:r>
      <w:r w:rsidR="00584C2D">
        <w:rPr>
          <w:rFonts w:asciiTheme="minorHAnsi" w:hAnsiTheme="minorHAnsi" w:cstheme="minorBidi"/>
          <w:sz w:val="22"/>
          <w:szCs w:val="22"/>
          <w:lang w:eastAsia="en-US"/>
        </w:rPr>
        <w:t xml:space="preserve"> </w:t>
      </w:r>
    </w:p>
    <w:p w:rsidR="00D1359C" w:rsidRPr="00D1359C" w:rsidRDefault="00D1359C" w:rsidP="00D1359C">
      <w:pPr>
        <w:pStyle w:val="BodyText1"/>
        <w:autoSpaceDE/>
        <w:autoSpaceDN/>
        <w:rPr>
          <w:rFonts w:asciiTheme="minorHAnsi" w:hAnsiTheme="minorHAnsi" w:cstheme="minorBidi"/>
          <w:sz w:val="22"/>
          <w:szCs w:val="22"/>
          <w:lang w:eastAsia="en-US"/>
        </w:rPr>
      </w:pPr>
    </w:p>
    <w:p w:rsidR="00C3629C" w:rsidRDefault="005B1C5A" w:rsidP="005B1C5A">
      <w:pPr>
        <w:rPr>
          <w:b/>
        </w:rPr>
      </w:pPr>
      <w:r w:rsidRPr="00F75DD5">
        <w:rPr>
          <w:b/>
          <w:sz w:val="28"/>
          <w:szCs w:val="28"/>
        </w:rPr>
        <w:t xml:space="preserve">Part </w:t>
      </w:r>
      <w:r w:rsidRPr="005B1A5E">
        <w:rPr>
          <w:b/>
          <w:sz w:val="28"/>
          <w:szCs w:val="28"/>
        </w:rPr>
        <w:t>1</w:t>
      </w:r>
      <w:r w:rsidR="00C3629C" w:rsidRPr="005B1A5E">
        <w:rPr>
          <w:b/>
          <w:sz w:val="28"/>
          <w:szCs w:val="28"/>
        </w:rPr>
        <w:t xml:space="preserve"> </w:t>
      </w:r>
      <w:r w:rsidR="007E0D38" w:rsidRPr="005B1A5E">
        <w:rPr>
          <w:b/>
          <w:sz w:val="28"/>
          <w:szCs w:val="28"/>
        </w:rPr>
        <w:t>Background</w:t>
      </w:r>
      <w:r w:rsidR="00C3629C" w:rsidRPr="005B1A5E">
        <w:rPr>
          <w:b/>
          <w:sz w:val="28"/>
          <w:szCs w:val="28"/>
        </w:rPr>
        <w:t xml:space="preserve"> and current operating environment</w:t>
      </w:r>
    </w:p>
    <w:p w:rsidR="005B1C5A" w:rsidRPr="005B1C5A" w:rsidRDefault="00C3629C" w:rsidP="005B1C5A">
      <w:pPr>
        <w:rPr>
          <w:b/>
        </w:rPr>
      </w:pPr>
      <w:r>
        <w:rPr>
          <w:b/>
        </w:rPr>
        <w:t>Background</w:t>
      </w:r>
    </w:p>
    <w:p w:rsidR="007E0D38" w:rsidRPr="005F03D5" w:rsidRDefault="007E0D38" w:rsidP="00951FA5">
      <w:pPr>
        <w:suppressAutoHyphens/>
        <w:autoSpaceDE w:val="0"/>
        <w:autoSpaceDN w:val="0"/>
        <w:adjustRightInd w:val="0"/>
        <w:spacing w:before="120" w:after="0" w:line="240" w:lineRule="auto"/>
        <w:textAlignment w:val="center"/>
        <w:rPr>
          <w:rFonts w:eastAsia="Times New Roman"/>
          <w:lang w:eastAsia="en-NZ"/>
        </w:rPr>
      </w:pPr>
      <w:r w:rsidRPr="005F03D5">
        <w:rPr>
          <w:rFonts w:eastAsia="Times New Roman"/>
          <w:lang w:eastAsia="en-NZ"/>
        </w:rPr>
        <w:t xml:space="preserve">On 1 December 2014, the Government </w:t>
      </w:r>
      <w:r w:rsidR="00951FA5">
        <w:rPr>
          <w:rFonts w:eastAsia="Times New Roman"/>
          <w:lang w:eastAsia="en-NZ"/>
        </w:rPr>
        <w:t>set</w:t>
      </w:r>
      <w:r w:rsidRPr="005F03D5">
        <w:rPr>
          <w:rFonts w:eastAsia="Times New Roman"/>
          <w:lang w:eastAsia="en-NZ"/>
        </w:rPr>
        <w:t xml:space="preserve"> a revised and expanded BPS Result Area 1 target </w:t>
      </w:r>
      <w:r w:rsidR="00F75DD5">
        <w:rPr>
          <w:rFonts w:eastAsia="Times New Roman"/>
          <w:lang w:eastAsia="en-NZ"/>
        </w:rPr>
        <w:t>to</w:t>
      </w:r>
    </w:p>
    <w:p w:rsidR="007E0D38" w:rsidRPr="005F03D5" w:rsidRDefault="007E0D38" w:rsidP="007E0D38">
      <w:pPr>
        <w:pStyle w:val="ReportBody"/>
        <w:tabs>
          <w:tab w:val="clear" w:pos="397"/>
        </w:tabs>
        <w:ind w:firstLine="0"/>
        <w:rPr>
          <w:rFonts w:asciiTheme="minorHAnsi" w:hAnsiTheme="minorHAnsi" w:cstheme="minorHAnsi"/>
          <w:i/>
        </w:rPr>
      </w:pPr>
      <w:r>
        <w:rPr>
          <w:i/>
        </w:rPr>
        <w:tab/>
      </w:r>
      <w:r w:rsidRPr="005F03D5">
        <w:rPr>
          <w:rFonts w:asciiTheme="minorHAnsi" w:hAnsiTheme="minorHAnsi" w:cstheme="minorHAnsi"/>
          <w:i/>
        </w:rPr>
        <w:t>“</w:t>
      </w:r>
      <w:proofErr w:type="gramStart"/>
      <w:r w:rsidRPr="005F03D5">
        <w:rPr>
          <w:rFonts w:asciiTheme="minorHAnsi" w:hAnsiTheme="minorHAnsi" w:cstheme="minorHAnsi"/>
          <w:i/>
        </w:rPr>
        <w:t>reduce</w:t>
      </w:r>
      <w:proofErr w:type="gramEnd"/>
      <w:r w:rsidRPr="005F03D5">
        <w:rPr>
          <w:rFonts w:asciiTheme="minorHAnsi" w:hAnsiTheme="minorHAnsi" w:cstheme="minorHAnsi"/>
          <w:i/>
        </w:rPr>
        <w:t xml:space="preserve"> the total number of people receiving benefit by 25 per cent, from 295,000 in </w:t>
      </w:r>
      <w:r w:rsidRPr="005F03D5">
        <w:rPr>
          <w:rFonts w:asciiTheme="minorHAnsi" w:hAnsiTheme="minorHAnsi" w:cstheme="minorHAnsi"/>
          <w:i/>
        </w:rPr>
        <w:tab/>
        <w:t xml:space="preserve">June 2014 to 220,000 by June 2018, and reduce the long-term cost of benefit dependency </w:t>
      </w:r>
      <w:r>
        <w:rPr>
          <w:rFonts w:asciiTheme="minorHAnsi" w:hAnsiTheme="minorHAnsi" w:cstheme="minorHAnsi"/>
          <w:i/>
        </w:rPr>
        <w:tab/>
      </w:r>
      <w:r w:rsidRPr="005F03D5">
        <w:rPr>
          <w:rFonts w:asciiTheme="minorHAnsi" w:hAnsiTheme="minorHAnsi" w:cstheme="minorHAnsi"/>
          <w:i/>
        </w:rPr>
        <w:t>by $13 billion as measured by an accumulated Actuarial Release</w:t>
      </w:r>
      <w:r w:rsidRPr="005F03D5">
        <w:rPr>
          <w:rStyle w:val="FootnoteReference"/>
          <w:rFonts w:asciiTheme="minorHAnsi" w:hAnsiTheme="minorHAnsi" w:cstheme="minorHAnsi"/>
          <w:i/>
        </w:rPr>
        <w:footnoteReference w:id="1"/>
      </w:r>
      <w:r w:rsidRPr="005F03D5">
        <w:rPr>
          <w:rFonts w:asciiTheme="minorHAnsi" w:hAnsiTheme="minorHAnsi" w:cstheme="minorHAnsi"/>
          <w:i/>
        </w:rPr>
        <w:t>, by June 2018</w:t>
      </w:r>
      <w:r w:rsidR="00F75DD5">
        <w:rPr>
          <w:rFonts w:asciiTheme="minorHAnsi" w:hAnsiTheme="minorHAnsi" w:cstheme="minorHAnsi"/>
          <w:i/>
        </w:rPr>
        <w:t>.</w:t>
      </w:r>
      <w:r w:rsidRPr="005F03D5">
        <w:rPr>
          <w:rFonts w:asciiTheme="minorHAnsi" w:hAnsiTheme="minorHAnsi" w:cstheme="minorHAnsi"/>
          <w:i/>
        </w:rPr>
        <w:t>”</w:t>
      </w:r>
    </w:p>
    <w:p w:rsidR="00147352" w:rsidRDefault="00951FA5" w:rsidP="00F75DD5">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Achieving t</w:t>
      </w:r>
      <w:r w:rsidR="007E0D38" w:rsidRPr="005F03D5">
        <w:rPr>
          <w:rFonts w:eastAsia="Times New Roman"/>
          <w:lang w:eastAsia="en-NZ"/>
        </w:rPr>
        <w:t xml:space="preserve">his revised target means </w:t>
      </w:r>
      <w:r w:rsidR="007E0D38">
        <w:rPr>
          <w:rFonts w:eastAsia="Times New Roman"/>
          <w:lang w:eastAsia="en-NZ"/>
        </w:rPr>
        <w:t>MSD</w:t>
      </w:r>
      <w:r w:rsidR="007E0D38" w:rsidRPr="005F03D5">
        <w:rPr>
          <w:rFonts w:eastAsia="Times New Roman"/>
          <w:lang w:eastAsia="en-NZ"/>
        </w:rPr>
        <w:t xml:space="preserve"> </w:t>
      </w:r>
      <w:r>
        <w:rPr>
          <w:rFonts w:eastAsia="Times New Roman"/>
          <w:lang w:eastAsia="en-NZ"/>
        </w:rPr>
        <w:t>need</w:t>
      </w:r>
      <w:r w:rsidR="007E3117">
        <w:rPr>
          <w:rFonts w:eastAsia="Times New Roman"/>
          <w:lang w:eastAsia="en-NZ"/>
        </w:rPr>
        <w:t>s</w:t>
      </w:r>
      <w:r>
        <w:rPr>
          <w:rFonts w:eastAsia="Times New Roman"/>
          <w:lang w:eastAsia="en-NZ"/>
        </w:rPr>
        <w:t xml:space="preserve"> to</w:t>
      </w:r>
      <w:r w:rsidR="007E0D38" w:rsidRPr="005F03D5">
        <w:rPr>
          <w:rFonts w:eastAsia="Times New Roman"/>
          <w:lang w:eastAsia="en-NZ"/>
        </w:rPr>
        <w:t xml:space="preserve"> </w:t>
      </w:r>
      <w:r w:rsidR="007E3117">
        <w:rPr>
          <w:rFonts w:eastAsia="Times New Roman"/>
          <w:lang w:eastAsia="en-NZ"/>
        </w:rPr>
        <w:t>continue to increase</w:t>
      </w:r>
      <w:r>
        <w:rPr>
          <w:rFonts w:eastAsia="Times New Roman"/>
          <w:lang w:eastAsia="en-NZ"/>
        </w:rPr>
        <w:t xml:space="preserve"> i</w:t>
      </w:r>
      <w:r w:rsidR="007E3117">
        <w:rPr>
          <w:rFonts w:eastAsia="Times New Roman"/>
          <w:lang w:eastAsia="en-NZ"/>
        </w:rPr>
        <w:t>t</w:t>
      </w:r>
      <w:r>
        <w:rPr>
          <w:rFonts w:eastAsia="Times New Roman"/>
          <w:lang w:eastAsia="en-NZ"/>
        </w:rPr>
        <w:t>s focus on developing effective service interventions for</w:t>
      </w:r>
      <w:r w:rsidR="007E0D38" w:rsidRPr="005F03D5">
        <w:rPr>
          <w:rFonts w:eastAsia="Times New Roman"/>
          <w:lang w:eastAsia="en-NZ"/>
        </w:rPr>
        <w:t xml:space="preserve"> </w:t>
      </w:r>
      <w:r>
        <w:rPr>
          <w:rFonts w:eastAsia="Times New Roman"/>
          <w:lang w:eastAsia="en-NZ"/>
        </w:rPr>
        <w:t>clients with more complex personal situati</w:t>
      </w:r>
      <w:r w:rsidR="00F75DD5">
        <w:rPr>
          <w:rFonts w:eastAsia="Times New Roman"/>
          <w:lang w:eastAsia="en-NZ"/>
        </w:rPr>
        <w:t xml:space="preserve">ons and higher barriers </w:t>
      </w:r>
      <w:r w:rsidR="00F75DD5">
        <w:rPr>
          <w:rFonts w:eastAsia="Times New Roman"/>
          <w:lang w:eastAsia="en-NZ"/>
        </w:rPr>
        <w:lastRenderedPageBreak/>
        <w:t>to enter</w:t>
      </w:r>
      <w:r>
        <w:rPr>
          <w:rFonts w:eastAsia="Times New Roman"/>
          <w:lang w:eastAsia="en-NZ"/>
        </w:rPr>
        <w:t xml:space="preserve"> into the workforce</w:t>
      </w:r>
      <w:r w:rsidR="005C0C83">
        <w:rPr>
          <w:rFonts w:eastAsia="Times New Roman"/>
          <w:lang w:eastAsia="en-NZ"/>
        </w:rPr>
        <w:t>, as these clients have a predicated high level of future liability for the benefit system</w:t>
      </w:r>
      <w:r>
        <w:rPr>
          <w:rFonts w:eastAsia="Times New Roman"/>
          <w:lang w:eastAsia="en-NZ"/>
        </w:rPr>
        <w:t xml:space="preserve">. </w:t>
      </w:r>
    </w:p>
    <w:p w:rsidR="00147352" w:rsidRPr="00651C35" w:rsidRDefault="00147352" w:rsidP="00F75DD5">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 xml:space="preserve">After </w:t>
      </w:r>
      <w:r w:rsidR="004944A4">
        <w:rPr>
          <w:rFonts w:asciiTheme="minorHAnsi" w:hAnsiTheme="minorHAnsi" w:cstheme="minorBidi"/>
          <w:sz w:val="22"/>
          <w:szCs w:val="22"/>
          <w:lang w:eastAsia="en-US"/>
        </w:rPr>
        <w:t>six</w:t>
      </w:r>
      <w:r>
        <w:rPr>
          <w:rFonts w:asciiTheme="minorHAnsi" w:hAnsiTheme="minorHAnsi" w:cstheme="minorBidi"/>
          <w:sz w:val="22"/>
          <w:szCs w:val="22"/>
          <w:lang w:eastAsia="en-US"/>
        </w:rPr>
        <w:t xml:space="preserve"> years </w:t>
      </w:r>
      <w:r w:rsidRPr="00651C35">
        <w:rPr>
          <w:rFonts w:asciiTheme="minorHAnsi" w:hAnsiTheme="minorHAnsi" w:cstheme="minorBidi"/>
          <w:sz w:val="22"/>
          <w:szCs w:val="22"/>
          <w:lang w:eastAsia="en-US"/>
        </w:rPr>
        <w:t xml:space="preserve">of </w:t>
      </w:r>
      <w:r>
        <w:rPr>
          <w:rFonts w:asciiTheme="minorHAnsi" w:hAnsiTheme="minorHAnsi" w:cstheme="minorBidi"/>
          <w:sz w:val="22"/>
          <w:szCs w:val="22"/>
          <w:lang w:eastAsia="en-US"/>
        </w:rPr>
        <w:t>developing and using an investment approach to inform prioritisation of resources</w:t>
      </w:r>
      <w:r w:rsidR="006F42CD">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w:t>
      </w:r>
      <w:r w:rsidRPr="00651C35">
        <w:rPr>
          <w:rFonts w:asciiTheme="minorHAnsi" w:hAnsiTheme="minorHAnsi" w:cstheme="minorBidi"/>
          <w:sz w:val="22"/>
          <w:szCs w:val="22"/>
          <w:lang w:eastAsia="en-US"/>
        </w:rPr>
        <w:t>MSD</w:t>
      </w:r>
      <w:r>
        <w:rPr>
          <w:rFonts w:asciiTheme="minorHAnsi" w:hAnsiTheme="minorHAnsi" w:cstheme="minorBidi"/>
          <w:sz w:val="22"/>
          <w:szCs w:val="22"/>
          <w:lang w:eastAsia="en-US"/>
        </w:rPr>
        <w:t xml:space="preserve"> is achieving </w:t>
      </w:r>
      <w:r w:rsidRPr="00651C35">
        <w:rPr>
          <w:rFonts w:asciiTheme="minorHAnsi" w:hAnsiTheme="minorHAnsi" w:cstheme="minorBidi"/>
          <w:sz w:val="22"/>
          <w:szCs w:val="22"/>
          <w:lang w:eastAsia="en-US"/>
        </w:rPr>
        <w:t xml:space="preserve">positive results in </w:t>
      </w:r>
      <w:r w:rsidR="00CF0D11">
        <w:rPr>
          <w:rFonts w:asciiTheme="minorHAnsi" w:hAnsiTheme="minorHAnsi" w:cstheme="minorBidi"/>
          <w:sz w:val="22"/>
          <w:szCs w:val="22"/>
          <w:lang w:eastAsia="en-US"/>
        </w:rPr>
        <w:t xml:space="preserve">terms of </w:t>
      </w:r>
      <w:r w:rsidRPr="00651C35">
        <w:rPr>
          <w:rFonts w:asciiTheme="minorHAnsi" w:hAnsiTheme="minorHAnsi" w:cstheme="minorBidi"/>
          <w:sz w:val="22"/>
          <w:szCs w:val="22"/>
          <w:lang w:eastAsia="en-US"/>
        </w:rPr>
        <w:t>the reduction in numbers of people on benefit</w:t>
      </w:r>
      <w:r w:rsidR="001F1890">
        <w:rPr>
          <w:rFonts w:asciiTheme="minorHAnsi" w:hAnsiTheme="minorHAnsi" w:cstheme="minorBidi"/>
          <w:sz w:val="22"/>
          <w:szCs w:val="22"/>
          <w:lang w:eastAsia="en-US"/>
        </w:rPr>
        <w:t xml:space="preserve">, with benefit numbers lower between the 2015 and 2016 </w:t>
      </w:r>
      <w:r w:rsidR="00F75DD5">
        <w:rPr>
          <w:rFonts w:asciiTheme="minorHAnsi" w:hAnsiTheme="minorHAnsi" w:cstheme="minorBidi"/>
          <w:sz w:val="22"/>
          <w:szCs w:val="22"/>
          <w:lang w:eastAsia="en-US"/>
        </w:rPr>
        <w:t xml:space="preserve">annual actuarial </w:t>
      </w:r>
      <w:r w:rsidR="001F1890">
        <w:rPr>
          <w:rFonts w:asciiTheme="minorHAnsi" w:hAnsiTheme="minorHAnsi" w:cstheme="minorBidi"/>
          <w:sz w:val="22"/>
          <w:szCs w:val="22"/>
          <w:lang w:eastAsia="en-US"/>
        </w:rPr>
        <w:t>valuations</w:t>
      </w:r>
      <w:r w:rsidR="005C0C83">
        <w:rPr>
          <w:rFonts w:asciiTheme="minorHAnsi" w:hAnsiTheme="minorHAnsi" w:cstheme="minorBidi"/>
          <w:sz w:val="22"/>
          <w:szCs w:val="22"/>
          <w:lang w:eastAsia="en-US"/>
        </w:rPr>
        <w:t xml:space="preserve"> and </w:t>
      </w:r>
      <w:r w:rsidR="00D1359C">
        <w:rPr>
          <w:rFonts w:asciiTheme="minorHAnsi" w:hAnsiTheme="minorHAnsi" w:cstheme="minorBidi"/>
          <w:sz w:val="22"/>
          <w:szCs w:val="22"/>
          <w:lang w:eastAsia="en-US"/>
        </w:rPr>
        <w:t xml:space="preserve">a </w:t>
      </w:r>
      <w:r w:rsidR="005C0C83">
        <w:rPr>
          <w:rFonts w:asciiTheme="minorHAnsi" w:hAnsiTheme="minorHAnsi" w:cstheme="minorBidi"/>
          <w:sz w:val="22"/>
          <w:szCs w:val="22"/>
          <w:lang w:eastAsia="en-US"/>
        </w:rPr>
        <w:t>reduction in predicted future liability</w:t>
      </w:r>
      <w:r w:rsidRPr="00651C35">
        <w:rPr>
          <w:rFonts w:asciiTheme="minorHAnsi" w:hAnsiTheme="minorHAnsi" w:cstheme="minorBidi"/>
          <w:sz w:val="22"/>
          <w:szCs w:val="22"/>
          <w:lang w:eastAsia="en-US"/>
        </w:rPr>
        <w:t>.</w:t>
      </w:r>
    </w:p>
    <w:p w:rsidR="000F2068" w:rsidRDefault="00147352" w:rsidP="00F75DD5">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 xml:space="preserve">The tools MSD uses to measure </w:t>
      </w:r>
      <w:r w:rsidR="00CF0D11">
        <w:rPr>
          <w:rFonts w:asciiTheme="minorHAnsi" w:hAnsiTheme="minorHAnsi" w:cstheme="minorBidi"/>
          <w:sz w:val="22"/>
          <w:szCs w:val="22"/>
          <w:lang w:eastAsia="en-US"/>
        </w:rPr>
        <w:t xml:space="preserve">the </w:t>
      </w:r>
      <w:r>
        <w:rPr>
          <w:rFonts w:asciiTheme="minorHAnsi" w:hAnsiTheme="minorHAnsi" w:cstheme="minorBidi"/>
          <w:sz w:val="22"/>
          <w:szCs w:val="22"/>
          <w:lang w:eastAsia="en-US"/>
        </w:rPr>
        <w:t xml:space="preserve">performance of our investment decisions are the annual actuarial </w:t>
      </w:r>
      <w:r w:rsidRPr="00651C35">
        <w:rPr>
          <w:rFonts w:asciiTheme="minorHAnsi" w:hAnsiTheme="minorHAnsi" w:cstheme="minorBidi"/>
          <w:sz w:val="22"/>
          <w:szCs w:val="22"/>
          <w:lang w:eastAsia="en-US"/>
        </w:rPr>
        <w:t>valuation</w:t>
      </w:r>
      <w:r>
        <w:rPr>
          <w:rFonts w:asciiTheme="minorHAnsi" w:hAnsiTheme="minorHAnsi" w:cstheme="minorBidi"/>
          <w:sz w:val="22"/>
          <w:szCs w:val="22"/>
          <w:lang w:eastAsia="en-US"/>
        </w:rPr>
        <w:t xml:space="preserve">, which </w:t>
      </w:r>
      <w:r w:rsidRPr="00651C35">
        <w:rPr>
          <w:rFonts w:asciiTheme="minorHAnsi" w:hAnsiTheme="minorHAnsi" w:cstheme="minorBidi"/>
          <w:sz w:val="22"/>
          <w:szCs w:val="22"/>
          <w:lang w:eastAsia="en-US"/>
        </w:rPr>
        <w:t>allows us to measure our year to year performance in managing the benefit system</w:t>
      </w:r>
      <w:r w:rsidR="00F75DD5">
        <w:rPr>
          <w:rFonts w:asciiTheme="minorHAnsi" w:hAnsiTheme="minorHAnsi" w:cstheme="minorBidi"/>
          <w:sz w:val="22"/>
          <w:szCs w:val="22"/>
          <w:lang w:eastAsia="en-US"/>
        </w:rPr>
        <w:t>, and the Report</w:t>
      </w:r>
      <w:r>
        <w:rPr>
          <w:rFonts w:asciiTheme="minorHAnsi" w:hAnsiTheme="minorHAnsi" w:cstheme="minorBidi"/>
          <w:sz w:val="22"/>
          <w:szCs w:val="22"/>
          <w:lang w:eastAsia="en-US"/>
        </w:rPr>
        <w:t>, which provides a quarterly update on MSD’s performance in reducing benefit numbers and the liability</w:t>
      </w:r>
      <w:r w:rsidRPr="00651C35">
        <w:rPr>
          <w:rFonts w:asciiTheme="minorHAnsi" w:hAnsiTheme="minorHAnsi" w:cstheme="minorBidi"/>
          <w:sz w:val="22"/>
          <w:szCs w:val="22"/>
          <w:lang w:eastAsia="en-US"/>
        </w:rPr>
        <w:t xml:space="preserve">. </w:t>
      </w:r>
    </w:p>
    <w:p w:rsidR="000F2068" w:rsidRPr="000F2068" w:rsidRDefault="000A592F" w:rsidP="000F2068">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 xml:space="preserve">Compared to the 2015 valuation, the average future number of years on main benefit has decreased for all segments except </w:t>
      </w:r>
      <w:r w:rsidR="00D1359C">
        <w:rPr>
          <w:rFonts w:asciiTheme="minorHAnsi" w:hAnsiTheme="minorHAnsi" w:cstheme="minorBidi"/>
          <w:sz w:val="22"/>
          <w:szCs w:val="22"/>
          <w:lang w:eastAsia="en-US"/>
        </w:rPr>
        <w:t>Jobseeker Work Ready (</w:t>
      </w:r>
      <w:r>
        <w:rPr>
          <w:rFonts w:asciiTheme="minorHAnsi" w:hAnsiTheme="minorHAnsi" w:cstheme="minorBidi"/>
          <w:sz w:val="22"/>
          <w:szCs w:val="22"/>
          <w:lang w:eastAsia="en-US"/>
        </w:rPr>
        <w:t>J</w:t>
      </w:r>
      <w:r w:rsidR="00D1359C">
        <w:rPr>
          <w:rFonts w:asciiTheme="minorHAnsi" w:hAnsiTheme="minorHAnsi" w:cstheme="minorBidi"/>
          <w:sz w:val="22"/>
          <w:szCs w:val="22"/>
          <w:lang w:eastAsia="en-US"/>
        </w:rPr>
        <w:t>S-</w:t>
      </w:r>
      <w:r w:rsidR="000D0C1F">
        <w:rPr>
          <w:rFonts w:asciiTheme="minorHAnsi" w:hAnsiTheme="minorHAnsi" w:cstheme="minorBidi"/>
          <w:sz w:val="22"/>
          <w:szCs w:val="22"/>
          <w:lang w:eastAsia="en-US"/>
        </w:rPr>
        <w:t>WR</w:t>
      </w:r>
      <w:r w:rsidR="00D1359C">
        <w:rPr>
          <w:rFonts w:asciiTheme="minorHAnsi" w:hAnsiTheme="minorHAnsi" w:cstheme="minorBidi"/>
          <w:sz w:val="22"/>
          <w:szCs w:val="22"/>
          <w:lang w:eastAsia="en-US"/>
        </w:rPr>
        <w:t>)</w:t>
      </w:r>
      <w:r w:rsidR="000D0C1F">
        <w:rPr>
          <w:rFonts w:asciiTheme="minorHAnsi" w:hAnsiTheme="minorHAnsi" w:cstheme="minorBidi"/>
          <w:sz w:val="22"/>
          <w:szCs w:val="22"/>
          <w:lang w:eastAsia="en-US"/>
        </w:rPr>
        <w:t xml:space="preserve"> and </w:t>
      </w:r>
      <w:r w:rsidR="00D1359C">
        <w:rPr>
          <w:rFonts w:asciiTheme="minorHAnsi" w:hAnsiTheme="minorHAnsi" w:cstheme="minorBidi"/>
          <w:sz w:val="22"/>
          <w:szCs w:val="22"/>
          <w:lang w:eastAsia="en-US"/>
        </w:rPr>
        <w:t>Supported Living Payment (</w:t>
      </w:r>
      <w:r w:rsidR="000D0C1F">
        <w:rPr>
          <w:rFonts w:asciiTheme="minorHAnsi" w:hAnsiTheme="minorHAnsi" w:cstheme="minorBidi"/>
          <w:sz w:val="22"/>
          <w:szCs w:val="22"/>
          <w:lang w:eastAsia="en-US"/>
        </w:rPr>
        <w:t>SLP</w:t>
      </w:r>
      <w:r w:rsidR="00D1359C">
        <w:rPr>
          <w:rFonts w:asciiTheme="minorHAnsi" w:hAnsiTheme="minorHAnsi" w:cstheme="minorBidi"/>
          <w:sz w:val="22"/>
          <w:szCs w:val="22"/>
          <w:lang w:eastAsia="en-US"/>
        </w:rPr>
        <w:t>)</w:t>
      </w:r>
      <w:r w:rsidR="000D0C1F">
        <w:rPr>
          <w:rFonts w:asciiTheme="minorHAnsi" w:hAnsiTheme="minorHAnsi" w:cstheme="minorBidi"/>
          <w:sz w:val="22"/>
          <w:szCs w:val="22"/>
          <w:lang w:eastAsia="en-US"/>
        </w:rPr>
        <w:t>. Sole parents are n</w:t>
      </w:r>
      <w:r>
        <w:rPr>
          <w:rFonts w:asciiTheme="minorHAnsi" w:hAnsiTheme="minorHAnsi" w:cstheme="minorBidi"/>
          <w:sz w:val="22"/>
          <w:szCs w:val="22"/>
          <w:lang w:eastAsia="en-US"/>
        </w:rPr>
        <w:t xml:space="preserve">ow expected to average one less future year on main benefits. </w:t>
      </w:r>
      <w:r w:rsidR="000F2068" w:rsidRPr="000F2068">
        <w:rPr>
          <w:rFonts w:asciiTheme="minorHAnsi" w:hAnsiTheme="minorHAnsi" w:cstheme="minorBidi"/>
          <w:sz w:val="22"/>
          <w:szCs w:val="22"/>
          <w:lang w:eastAsia="en-US"/>
        </w:rPr>
        <w:t xml:space="preserve">Most segments have seen a significant decrease in the number of future years on main benefits.  An exception is the JS-WR &gt;1 year segment, which has </w:t>
      </w:r>
      <w:r w:rsidR="000F2068">
        <w:rPr>
          <w:rFonts w:asciiTheme="minorHAnsi" w:hAnsiTheme="minorHAnsi" w:cstheme="minorBidi"/>
          <w:sz w:val="22"/>
          <w:szCs w:val="22"/>
          <w:lang w:eastAsia="en-US"/>
        </w:rPr>
        <w:t xml:space="preserve">seen </w:t>
      </w:r>
      <w:r w:rsidR="000F2068" w:rsidRPr="000F2068">
        <w:rPr>
          <w:rFonts w:asciiTheme="minorHAnsi" w:hAnsiTheme="minorHAnsi" w:cstheme="minorBidi"/>
          <w:sz w:val="22"/>
          <w:szCs w:val="22"/>
          <w:lang w:eastAsia="en-US"/>
        </w:rPr>
        <w:t xml:space="preserve">a slight increase in average future years on benefit. This reflects the reduced level of exits observed recently. The SLP segments have also seen slight increases. </w:t>
      </w:r>
    </w:p>
    <w:p w:rsidR="00147352" w:rsidRDefault="000F2068" w:rsidP="000F2068">
      <w:pPr>
        <w:pStyle w:val="BodyText1"/>
        <w:autoSpaceDE/>
        <w:autoSpaceDN/>
        <w:rPr>
          <w:rFonts w:asciiTheme="minorHAnsi" w:hAnsiTheme="minorHAnsi" w:cstheme="minorBidi"/>
          <w:sz w:val="22"/>
          <w:szCs w:val="22"/>
          <w:lang w:eastAsia="en-US"/>
        </w:rPr>
      </w:pPr>
      <w:r w:rsidRPr="000F2068">
        <w:rPr>
          <w:rFonts w:asciiTheme="minorHAnsi" w:hAnsiTheme="minorHAnsi" w:cstheme="minorBidi"/>
          <w:sz w:val="22"/>
          <w:szCs w:val="22"/>
          <w:lang w:eastAsia="en-US"/>
        </w:rPr>
        <w:t xml:space="preserve">This result can be further understood by splitting the liability into its two components: beneficiary numbers and average individual future lifetime cost, this is shown </w:t>
      </w:r>
      <w:r w:rsidR="000A592F">
        <w:rPr>
          <w:rFonts w:asciiTheme="minorHAnsi" w:hAnsiTheme="minorHAnsi" w:cstheme="minorBidi"/>
          <w:sz w:val="22"/>
          <w:szCs w:val="22"/>
          <w:lang w:eastAsia="en-US"/>
        </w:rPr>
        <w:t>Figure 1 below.</w:t>
      </w:r>
    </w:p>
    <w:p w:rsidR="00E54D8B" w:rsidRPr="00E54D8B" w:rsidRDefault="00E54D8B" w:rsidP="00E54D8B">
      <w:pPr>
        <w:pStyle w:val="ReportBody"/>
        <w:ind w:left="493" w:hanging="493"/>
        <w:rPr>
          <w:rFonts w:asciiTheme="minorHAnsi" w:hAnsiTheme="minorHAnsi" w:cstheme="minorHAnsi"/>
        </w:rPr>
      </w:pPr>
      <w:r w:rsidRPr="00A23AC0">
        <w:rPr>
          <w:rFonts w:asciiTheme="minorHAnsi" w:hAnsiTheme="minorHAnsi" w:cstheme="minorHAnsi"/>
          <w:b/>
          <w:sz w:val="18"/>
          <w:szCs w:val="18"/>
        </w:rPr>
        <w:t>Figure 1: Numbers and average liabi</w:t>
      </w:r>
      <w:r>
        <w:rPr>
          <w:rFonts w:asciiTheme="minorHAnsi" w:hAnsiTheme="minorHAnsi" w:cstheme="minorHAnsi"/>
          <w:b/>
          <w:sz w:val="18"/>
          <w:szCs w:val="18"/>
        </w:rPr>
        <w:t>lities by segment (30 June 2016)</w:t>
      </w:r>
    </w:p>
    <w:p w:rsidR="006F42CD" w:rsidRDefault="00E54D8B" w:rsidP="00147352">
      <w:pPr>
        <w:pStyle w:val="ReportBody"/>
        <w:ind w:left="493" w:hanging="493"/>
        <w:rPr>
          <w:rFonts w:asciiTheme="minorHAnsi" w:hAnsiTheme="minorHAnsi" w:cstheme="minorHAnsi"/>
          <w:b/>
          <w:sz w:val="18"/>
          <w:szCs w:val="18"/>
        </w:rPr>
      </w:pPr>
      <w:r w:rsidRPr="00E54D8B">
        <w:rPr>
          <w:noProof/>
          <w:lang w:eastAsia="en-NZ"/>
        </w:rPr>
        <w:drawing>
          <wp:inline distT="0" distB="0" distL="0" distR="0">
            <wp:extent cx="5989319" cy="3162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891" cy="3160490"/>
                    </a:xfrm>
                    <a:prstGeom prst="rect">
                      <a:avLst/>
                    </a:prstGeom>
                    <a:noFill/>
                    <a:ln>
                      <a:noFill/>
                    </a:ln>
                  </pic:spPr>
                </pic:pic>
              </a:graphicData>
            </a:graphic>
          </wp:inline>
        </w:drawing>
      </w:r>
    </w:p>
    <w:p w:rsidR="00147352" w:rsidRDefault="00147352" w:rsidP="00F75DD5">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 xml:space="preserve">Although MSD has achieved reductions in the number of people receiving benefit and in the </w:t>
      </w:r>
      <w:r w:rsidRPr="00651C35">
        <w:rPr>
          <w:rFonts w:asciiTheme="minorHAnsi" w:hAnsiTheme="minorHAnsi" w:cstheme="minorBidi"/>
          <w:sz w:val="22"/>
          <w:szCs w:val="22"/>
          <w:lang w:eastAsia="en-US"/>
        </w:rPr>
        <w:t>accumulated actuarial release</w:t>
      </w:r>
      <w:r w:rsidR="00851F18">
        <w:rPr>
          <w:rFonts w:asciiTheme="minorHAnsi" w:hAnsiTheme="minorHAnsi" w:cstheme="minorBidi"/>
          <w:sz w:val="22"/>
          <w:szCs w:val="22"/>
          <w:lang w:eastAsia="en-US"/>
        </w:rPr>
        <w:t>,</w:t>
      </w:r>
      <w:r w:rsidRPr="00651C35">
        <w:rPr>
          <w:rFonts w:asciiTheme="minorHAnsi" w:hAnsiTheme="minorHAnsi" w:cstheme="minorBidi"/>
          <w:sz w:val="22"/>
          <w:szCs w:val="22"/>
          <w:lang w:eastAsia="en-US"/>
        </w:rPr>
        <w:t xml:space="preserve"> </w:t>
      </w:r>
      <w:r>
        <w:rPr>
          <w:rFonts w:asciiTheme="minorHAnsi" w:hAnsiTheme="minorHAnsi" w:cstheme="minorBidi"/>
          <w:sz w:val="22"/>
          <w:szCs w:val="22"/>
          <w:lang w:eastAsia="en-US"/>
        </w:rPr>
        <w:t xml:space="preserve">progress is behind that needed to achieve the target. </w:t>
      </w:r>
      <w:r w:rsidR="000A592F">
        <w:rPr>
          <w:rFonts w:asciiTheme="minorHAnsi" w:hAnsiTheme="minorHAnsi" w:cstheme="minorBidi"/>
          <w:sz w:val="22"/>
          <w:szCs w:val="22"/>
          <w:lang w:eastAsia="en-US"/>
        </w:rPr>
        <w:t xml:space="preserve">Figures 2 and 3 </w:t>
      </w:r>
      <w:r w:rsidR="001551D7">
        <w:rPr>
          <w:rFonts w:asciiTheme="minorHAnsi" w:hAnsiTheme="minorHAnsi" w:cstheme="minorBidi"/>
          <w:sz w:val="22"/>
          <w:szCs w:val="22"/>
          <w:lang w:eastAsia="en-US"/>
        </w:rPr>
        <w:t>over page</w:t>
      </w:r>
      <w:r w:rsidRPr="00651C35">
        <w:rPr>
          <w:rFonts w:asciiTheme="minorHAnsi" w:hAnsiTheme="minorHAnsi" w:cstheme="minorBidi"/>
          <w:sz w:val="22"/>
          <w:szCs w:val="22"/>
          <w:lang w:eastAsia="en-US"/>
        </w:rPr>
        <w:t xml:space="preserve"> show progress to date </w:t>
      </w:r>
      <w:r w:rsidR="00CF0D11">
        <w:rPr>
          <w:rFonts w:asciiTheme="minorHAnsi" w:hAnsiTheme="minorHAnsi" w:cstheme="minorBidi"/>
          <w:sz w:val="22"/>
          <w:szCs w:val="22"/>
          <w:lang w:eastAsia="en-US"/>
        </w:rPr>
        <w:t xml:space="preserve">towards </w:t>
      </w:r>
      <w:r w:rsidRPr="00651C35">
        <w:rPr>
          <w:rFonts w:asciiTheme="minorHAnsi" w:hAnsiTheme="minorHAnsi" w:cstheme="minorBidi"/>
          <w:sz w:val="22"/>
          <w:szCs w:val="22"/>
          <w:lang w:eastAsia="en-US"/>
        </w:rPr>
        <w:t xml:space="preserve">achieving the </w:t>
      </w:r>
      <w:r w:rsidR="00F125B5">
        <w:rPr>
          <w:rFonts w:asciiTheme="minorHAnsi" w:hAnsiTheme="minorHAnsi" w:cstheme="minorBidi"/>
          <w:sz w:val="22"/>
          <w:szCs w:val="22"/>
          <w:lang w:eastAsia="en-US"/>
        </w:rPr>
        <w:t xml:space="preserve">June </w:t>
      </w:r>
      <w:r>
        <w:rPr>
          <w:rFonts w:asciiTheme="minorHAnsi" w:hAnsiTheme="minorHAnsi" w:cstheme="minorBidi"/>
          <w:sz w:val="22"/>
          <w:szCs w:val="22"/>
          <w:lang w:eastAsia="en-US"/>
        </w:rPr>
        <w:t xml:space="preserve">2018 </w:t>
      </w:r>
      <w:r w:rsidRPr="00651C35">
        <w:rPr>
          <w:rFonts w:asciiTheme="minorHAnsi" w:hAnsiTheme="minorHAnsi" w:cstheme="minorBidi"/>
          <w:sz w:val="22"/>
          <w:szCs w:val="22"/>
          <w:lang w:eastAsia="en-US"/>
        </w:rPr>
        <w:t>BPS 1 target</w:t>
      </w:r>
      <w:r w:rsidR="00F75DD5">
        <w:rPr>
          <w:rFonts w:asciiTheme="minorHAnsi" w:hAnsiTheme="minorHAnsi" w:cstheme="minorBidi"/>
          <w:sz w:val="22"/>
          <w:szCs w:val="22"/>
          <w:lang w:eastAsia="en-US"/>
        </w:rPr>
        <w:t>.</w:t>
      </w:r>
    </w:p>
    <w:p w:rsidR="000A592F" w:rsidRDefault="000A592F" w:rsidP="00147352">
      <w:pPr>
        <w:pStyle w:val="BodyText1"/>
        <w:autoSpaceDE/>
        <w:autoSpaceDN/>
        <w:jc w:val="both"/>
        <w:rPr>
          <w:rFonts w:asciiTheme="minorHAnsi" w:hAnsiTheme="minorHAnsi" w:cstheme="minorBidi"/>
          <w:b/>
          <w:sz w:val="18"/>
          <w:szCs w:val="18"/>
          <w:lang w:eastAsia="en-US"/>
        </w:rPr>
      </w:pPr>
    </w:p>
    <w:p w:rsidR="00D1359C" w:rsidRDefault="00D1359C" w:rsidP="00147352">
      <w:pPr>
        <w:pStyle w:val="BodyText1"/>
        <w:autoSpaceDE/>
        <w:autoSpaceDN/>
        <w:jc w:val="both"/>
        <w:rPr>
          <w:rFonts w:asciiTheme="minorHAnsi" w:hAnsiTheme="minorHAnsi" w:cstheme="minorBidi"/>
          <w:b/>
          <w:sz w:val="18"/>
          <w:szCs w:val="18"/>
          <w:lang w:eastAsia="en-US"/>
        </w:rPr>
      </w:pPr>
    </w:p>
    <w:p w:rsidR="00147352" w:rsidRPr="002B545E" w:rsidRDefault="000A592F" w:rsidP="00147352">
      <w:pPr>
        <w:pStyle w:val="BodyText1"/>
        <w:autoSpaceDE/>
        <w:autoSpaceDN/>
        <w:jc w:val="both"/>
        <w:rPr>
          <w:rFonts w:asciiTheme="minorHAnsi" w:hAnsiTheme="minorHAnsi" w:cstheme="minorBidi"/>
          <w:b/>
          <w:sz w:val="18"/>
          <w:szCs w:val="18"/>
          <w:lang w:eastAsia="en-US"/>
        </w:rPr>
      </w:pPr>
      <w:r>
        <w:rPr>
          <w:rFonts w:asciiTheme="minorHAnsi" w:hAnsiTheme="minorHAnsi" w:cstheme="minorBidi"/>
          <w:b/>
          <w:sz w:val="18"/>
          <w:szCs w:val="18"/>
          <w:lang w:eastAsia="en-US"/>
        </w:rPr>
        <w:lastRenderedPageBreak/>
        <w:t>Figures 2</w:t>
      </w:r>
      <w:r w:rsidR="009F7C2D">
        <w:rPr>
          <w:rFonts w:asciiTheme="minorHAnsi" w:hAnsiTheme="minorHAnsi" w:cstheme="minorBidi"/>
          <w:b/>
          <w:sz w:val="18"/>
          <w:szCs w:val="18"/>
          <w:lang w:eastAsia="en-US"/>
        </w:rPr>
        <w:t xml:space="preserve"> </w:t>
      </w:r>
      <w:r>
        <w:rPr>
          <w:rFonts w:asciiTheme="minorHAnsi" w:hAnsiTheme="minorHAnsi" w:cstheme="minorBidi"/>
          <w:b/>
          <w:sz w:val="18"/>
          <w:szCs w:val="18"/>
          <w:lang w:eastAsia="en-US"/>
        </w:rPr>
        <w:t>&amp; 3</w:t>
      </w:r>
      <w:r w:rsidR="00147352">
        <w:rPr>
          <w:rFonts w:asciiTheme="minorHAnsi" w:hAnsiTheme="minorHAnsi" w:cstheme="minorBidi"/>
          <w:b/>
          <w:sz w:val="18"/>
          <w:szCs w:val="18"/>
          <w:lang w:eastAsia="en-US"/>
        </w:rPr>
        <w:t xml:space="preserve"> – Progress to BPS 1 Target and Actuarial Release Target</w:t>
      </w:r>
      <w:r w:rsidR="00E54D8B">
        <w:rPr>
          <w:rFonts w:asciiTheme="minorHAnsi" w:hAnsiTheme="minorHAnsi" w:cstheme="minorBidi"/>
          <w:b/>
          <w:sz w:val="18"/>
          <w:szCs w:val="18"/>
          <w:lang w:eastAsia="en-US"/>
        </w:rPr>
        <w:t xml:space="preserve"> to December 2016</w:t>
      </w:r>
    </w:p>
    <w:p w:rsidR="00C13185" w:rsidRDefault="009C043F" w:rsidP="00AD1160">
      <w:pPr>
        <w:suppressAutoHyphens/>
        <w:autoSpaceDE w:val="0"/>
        <w:autoSpaceDN w:val="0"/>
        <w:adjustRightInd w:val="0"/>
        <w:spacing w:before="120" w:after="0" w:line="240" w:lineRule="auto"/>
        <w:textAlignment w:val="center"/>
      </w:pPr>
      <w:r>
        <w:rPr>
          <w:noProof/>
          <w:lang w:eastAsia="en-NZ"/>
        </w:rPr>
        <w:drawing>
          <wp:inline distT="0" distB="0" distL="0" distR="0">
            <wp:extent cx="5231567" cy="305049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043F" w:rsidRDefault="009C043F" w:rsidP="00C13185">
      <w:pPr>
        <w:pStyle w:val="numberedpara"/>
        <w:widowControl w:val="0"/>
        <w:numPr>
          <w:ilvl w:val="0"/>
          <w:numId w:val="0"/>
        </w:numPr>
        <w:outlineLvl w:val="0"/>
        <w:rPr>
          <w:rFonts w:asciiTheme="minorHAnsi" w:eastAsiaTheme="majorEastAsia" w:hAnsiTheme="minorHAnsi" w:cstheme="minorHAnsi"/>
          <w:sz w:val="22"/>
          <w:szCs w:val="22"/>
        </w:rPr>
      </w:pPr>
      <w:r>
        <w:rPr>
          <w:noProof/>
          <w:lang w:eastAsia="en-NZ"/>
        </w:rPr>
        <w:drawing>
          <wp:inline distT="0" distB="0" distL="0" distR="0">
            <wp:extent cx="5365945" cy="3105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3185" w:rsidRPr="009C043F" w:rsidRDefault="00C13185" w:rsidP="009C043F">
      <w:pPr>
        <w:suppressAutoHyphens/>
        <w:autoSpaceDE w:val="0"/>
        <w:autoSpaceDN w:val="0"/>
        <w:adjustRightInd w:val="0"/>
        <w:spacing w:before="120" w:after="0" w:line="240" w:lineRule="auto"/>
        <w:textAlignment w:val="center"/>
        <w:rPr>
          <w:rFonts w:eastAsia="Times New Roman"/>
          <w:lang w:eastAsia="en-NZ"/>
        </w:rPr>
      </w:pPr>
      <w:r w:rsidRPr="009C043F">
        <w:rPr>
          <w:rFonts w:eastAsia="Times New Roman"/>
          <w:lang w:eastAsia="en-NZ"/>
        </w:rPr>
        <w:t>The accumulated actuarial release for the period from 30 Ju</w:t>
      </w:r>
      <w:r w:rsidR="005B1A5E">
        <w:rPr>
          <w:rFonts w:eastAsia="Times New Roman"/>
          <w:lang w:eastAsia="en-NZ"/>
        </w:rPr>
        <w:t xml:space="preserve">ne 2014 to 31 December 2016 is </w:t>
      </w:r>
      <w:r w:rsidRPr="009C043F">
        <w:rPr>
          <w:rFonts w:eastAsia="Times New Roman"/>
          <w:lang w:eastAsia="en-NZ"/>
        </w:rPr>
        <w:t>$4.0</w:t>
      </w:r>
      <w:r w:rsidR="009C043F">
        <w:rPr>
          <w:rFonts w:eastAsia="Times New Roman"/>
          <w:lang w:eastAsia="en-NZ"/>
        </w:rPr>
        <w:t xml:space="preserve"> </w:t>
      </w:r>
      <w:r w:rsidRPr="009C043F">
        <w:rPr>
          <w:rFonts w:eastAsia="Times New Roman"/>
          <w:lang w:eastAsia="en-NZ"/>
        </w:rPr>
        <w:t>b</w:t>
      </w:r>
      <w:r w:rsidR="009C043F">
        <w:rPr>
          <w:rFonts w:eastAsia="Times New Roman"/>
          <w:lang w:eastAsia="en-NZ"/>
        </w:rPr>
        <w:t>illio</w:t>
      </w:r>
      <w:r w:rsidRPr="009C043F">
        <w:rPr>
          <w:rFonts w:eastAsia="Times New Roman"/>
          <w:lang w:eastAsia="en-NZ"/>
        </w:rPr>
        <w:t>n. This is a small decrease of $0.1</w:t>
      </w:r>
      <w:r w:rsidR="009C043F">
        <w:rPr>
          <w:rFonts w:eastAsia="Times New Roman"/>
          <w:lang w:eastAsia="en-NZ"/>
        </w:rPr>
        <w:t xml:space="preserve"> </w:t>
      </w:r>
      <w:r w:rsidRPr="009C043F">
        <w:rPr>
          <w:rFonts w:eastAsia="Times New Roman"/>
          <w:lang w:eastAsia="en-NZ"/>
        </w:rPr>
        <w:t>b</w:t>
      </w:r>
      <w:r w:rsidR="009C043F">
        <w:rPr>
          <w:rFonts w:eastAsia="Times New Roman"/>
          <w:lang w:eastAsia="en-NZ"/>
        </w:rPr>
        <w:t>illio</w:t>
      </w:r>
      <w:r w:rsidRPr="009C043F">
        <w:rPr>
          <w:rFonts w:eastAsia="Times New Roman"/>
          <w:lang w:eastAsia="en-NZ"/>
        </w:rPr>
        <w:t>n since 30 September 2016 and an increase of $1.4</w:t>
      </w:r>
      <w:r w:rsidR="009C043F">
        <w:rPr>
          <w:rFonts w:eastAsia="Times New Roman"/>
          <w:lang w:eastAsia="en-NZ"/>
        </w:rPr>
        <w:t xml:space="preserve"> </w:t>
      </w:r>
      <w:r w:rsidRPr="009C043F">
        <w:rPr>
          <w:rFonts w:eastAsia="Times New Roman"/>
          <w:lang w:eastAsia="en-NZ"/>
        </w:rPr>
        <w:t>b</w:t>
      </w:r>
      <w:r w:rsidR="009C043F">
        <w:rPr>
          <w:rFonts w:eastAsia="Times New Roman"/>
          <w:lang w:eastAsia="en-NZ"/>
        </w:rPr>
        <w:t>illio</w:t>
      </w:r>
      <w:r w:rsidR="00E30E8B">
        <w:rPr>
          <w:rFonts w:eastAsia="Times New Roman"/>
          <w:lang w:eastAsia="en-NZ"/>
        </w:rPr>
        <w:t>n since 31 December 2015</w:t>
      </w:r>
      <w:r w:rsidRPr="009C043F">
        <w:rPr>
          <w:rFonts w:eastAsia="Times New Roman"/>
          <w:lang w:eastAsia="en-NZ"/>
        </w:rPr>
        <w:t>. Our actuarial release forecast for June 2018 rem</w:t>
      </w:r>
      <w:r w:rsidR="005B1A5E">
        <w:rPr>
          <w:rFonts w:eastAsia="Times New Roman"/>
          <w:lang w:eastAsia="en-NZ"/>
        </w:rPr>
        <w:t>ains</w:t>
      </w:r>
      <w:r w:rsidR="009C043F" w:rsidRPr="009C043F">
        <w:rPr>
          <w:rFonts w:eastAsia="Times New Roman"/>
          <w:lang w:eastAsia="en-NZ"/>
        </w:rPr>
        <w:t xml:space="preserve"> below target at $6.3</w:t>
      </w:r>
      <w:r w:rsidR="005B1A5E">
        <w:rPr>
          <w:rFonts w:eastAsia="Times New Roman"/>
          <w:lang w:eastAsia="en-NZ"/>
        </w:rPr>
        <w:t xml:space="preserve"> billion</w:t>
      </w:r>
      <w:r w:rsidRPr="009C043F">
        <w:rPr>
          <w:rFonts w:eastAsia="Times New Roman"/>
          <w:lang w:eastAsia="en-NZ"/>
        </w:rPr>
        <w:t xml:space="preserve">. </w:t>
      </w:r>
    </w:p>
    <w:p w:rsidR="00147352" w:rsidRPr="009C043F" w:rsidRDefault="00C13185" w:rsidP="009C043F">
      <w:pPr>
        <w:suppressAutoHyphens/>
        <w:autoSpaceDE w:val="0"/>
        <w:autoSpaceDN w:val="0"/>
        <w:adjustRightInd w:val="0"/>
        <w:spacing w:before="120" w:after="0" w:line="240" w:lineRule="auto"/>
        <w:textAlignment w:val="center"/>
        <w:rPr>
          <w:rFonts w:eastAsia="Times New Roman"/>
          <w:lang w:eastAsia="en-NZ"/>
        </w:rPr>
      </w:pPr>
      <w:r w:rsidRPr="009C043F">
        <w:rPr>
          <w:rFonts w:eastAsia="Times New Roman"/>
          <w:lang w:eastAsia="en-NZ"/>
        </w:rPr>
        <w:t>As at 31 December 2016, the number of working-age people receiving main benefits was 286,590. This was 2,371 lower than at 31 December 2015. Based on a continuation of current entry and exit rates</w:t>
      </w:r>
      <w:r w:rsidR="00D1359C">
        <w:rPr>
          <w:rFonts w:eastAsia="Times New Roman"/>
          <w:lang w:eastAsia="en-NZ"/>
        </w:rPr>
        <w:t>,</w:t>
      </w:r>
      <w:r w:rsidRPr="009C043F">
        <w:rPr>
          <w:rFonts w:eastAsia="Times New Roman"/>
          <w:lang w:eastAsia="en-NZ"/>
        </w:rPr>
        <w:t xml:space="preserve"> we forecast the working-age beneficia</w:t>
      </w:r>
      <w:r w:rsidR="009C043F" w:rsidRPr="009C043F">
        <w:rPr>
          <w:rFonts w:eastAsia="Times New Roman"/>
          <w:lang w:eastAsia="en-NZ"/>
        </w:rPr>
        <w:t>ry count to be approximately 276</w:t>
      </w:r>
      <w:r w:rsidRPr="009C043F">
        <w:rPr>
          <w:rFonts w:eastAsia="Times New Roman"/>
          <w:lang w:eastAsia="en-NZ"/>
        </w:rPr>
        <w:t>,000 at 30 June 2</w:t>
      </w:r>
      <w:r w:rsidR="009C043F" w:rsidRPr="009C043F">
        <w:rPr>
          <w:rFonts w:eastAsia="Times New Roman"/>
          <w:lang w:eastAsia="en-NZ"/>
        </w:rPr>
        <w:t>018, with a range of between 258</w:t>
      </w:r>
      <w:r w:rsidRPr="009C043F">
        <w:rPr>
          <w:rFonts w:eastAsia="Times New Roman"/>
          <w:lang w:eastAsia="en-NZ"/>
        </w:rPr>
        <w:t>,000 and 2</w:t>
      </w:r>
      <w:r w:rsidR="009C043F" w:rsidRPr="009C043F">
        <w:rPr>
          <w:rFonts w:eastAsia="Times New Roman"/>
          <w:lang w:eastAsia="en-NZ"/>
        </w:rPr>
        <w:t>93</w:t>
      </w:r>
      <w:r w:rsidRPr="009C043F">
        <w:rPr>
          <w:rFonts w:eastAsia="Times New Roman"/>
          <w:lang w:eastAsia="en-NZ"/>
        </w:rPr>
        <w:t xml:space="preserve">,000. </w:t>
      </w:r>
    </w:p>
    <w:p w:rsidR="00147352" w:rsidRPr="002824B6" w:rsidRDefault="00C3629C" w:rsidP="00147352">
      <w:pPr>
        <w:spacing w:before="120" w:line="240" w:lineRule="auto"/>
        <w:rPr>
          <w:rFonts w:eastAsia="Times New Roman"/>
          <w:b/>
          <w:lang w:eastAsia="en-NZ"/>
        </w:rPr>
      </w:pPr>
      <w:r>
        <w:rPr>
          <w:rFonts w:eastAsia="Times New Roman"/>
          <w:b/>
          <w:lang w:eastAsia="en-NZ"/>
        </w:rPr>
        <w:t>Current</w:t>
      </w:r>
      <w:r w:rsidR="00147352" w:rsidRPr="002824B6">
        <w:rPr>
          <w:rFonts w:eastAsia="Times New Roman"/>
          <w:b/>
          <w:lang w:eastAsia="en-NZ"/>
        </w:rPr>
        <w:t xml:space="preserve"> Operating Environment</w:t>
      </w:r>
    </w:p>
    <w:p w:rsidR="007E0D38" w:rsidRPr="00AE309B" w:rsidRDefault="00E63B36" w:rsidP="007E0D38">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As outlined in the 2016/17 Strategy, </w:t>
      </w:r>
      <w:r w:rsidR="00F125B5">
        <w:rPr>
          <w:rFonts w:eastAsia="Times New Roman"/>
          <w:lang w:eastAsia="en-NZ"/>
        </w:rPr>
        <w:t>MSD’s vision of being a client-centred</w:t>
      </w:r>
      <w:r w:rsidR="00951FA5">
        <w:rPr>
          <w:rFonts w:eastAsia="Times New Roman"/>
          <w:lang w:eastAsia="en-NZ"/>
        </w:rPr>
        <w:t xml:space="preserve"> organisation is underpinning chan</w:t>
      </w:r>
      <w:r w:rsidR="00CF0D11">
        <w:rPr>
          <w:rFonts w:eastAsia="Times New Roman"/>
          <w:lang w:eastAsia="en-NZ"/>
        </w:rPr>
        <w:t>ges to our</w:t>
      </w:r>
      <w:r w:rsidR="00344402">
        <w:rPr>
          <w:rFonts w:eastAsia="Times New Roman"/>
          <w:lang w:eastAsia="en-NZ"/>
        </w:rPr>
        <w:t xml:space="preserve"> operating model to</w:t>
      </w:r>
      <w:r w:rsidR="00951FA5">
        <w:rPr>
          <w:rFonts w:eastAsia="Times New Roman"/>
          <w:lang w:eastAsia="en-NZ"/>
        </w:rPr>
        <w:t xml:space="preserve"> ensure clients are at the </w:t>
      </w:r>
      <w:r w:rsidR="00F125B5">
        <w:rPr>
          <w:rFonts w:eastAsia="Times New Roman"/>
          <w:lang w:eastAsia="en-NZ"/>
        </w:rPr>
        <w:t>centre</w:t>
      </w:r>
      <w:r w:rsidR="00951FA5">
        <w:rPr>
          <w:rFonts w:eastAsia="Times New Roman"/>
          <w:lang w:eastAsia="en-NZ"/>
        </w:rPr>
        <w:t xml:space="preserve"> of the way we do </w:t>
      </w:r>
      <w:r w:rsidR="00951FA5">
        <w:rPr>
          <w:rFonts w:eastAsia="Times New Roman"/>
          <w:lang w:eastAsia="en-NZ"/>
        </w:rPr>
        <w:lastRenderedPageBreak/>
        <w:t xml:space="preserve">things. </w:t>
      </w:r>
      <w:r w:rsidR="007E0D38">
        <w:rPr>
          <w:rFonts w:eastAsia="Times New Roman"/>
          <w:lang w:eastAsia="en-NZ"/>
        </w:rPr>
        <w:t>Clients increasingly want to interact with us using digital channels, at a time t</w:t>
      </w:r>
      <w:r w:rsidR="004403CC">
        <w:rPr>
          <w:rFonts w:eastAsia="Times New Roman"/>
          <w:lang w:eastAsia="en-NZ"/>
        </w:rPr>
        <w:t>hat suits them. Concurrently</w:t>
      </w:r>
      <w:r w:rsidR="00F125B5">
        <w:rPr>
          <w:rFonts w:eastAsia="Times New Roman"/>
          <w:lang w:eastAsia="en-NZ"/>
        </w:rPr>
        <w:t>,</w:t>
      </w:r>
      <w:r w:rsidR="007E0D38">
        <w:rPr>
          <w:rFonts w:eastAsia="Times New Roman"/>
          <w:lang w:eastAsia="en-NZ"/>
        </w:rPr>
        <w:t xml:space="preserve"> we also need to continue to provide effective face-to-face services for clients, focusing on quality interactions that really improve their outcomes</w:t>
      </w:r>
      <w:r w:rsidR="00BD038E">
        <w:rPr>
          <w:rFonts w:eastAsia="Times New Roman"/>
          <w:lang w:eastAsia="en-NZ"/>
        </w:rPr>
        <w:t xml:space="preserve">, </w:t>
      </w:r>
      <w:r w:rsidR="004403CC">
        <w:rPr>
          <w:rFonts w:eastAsia="Times New Roman"/>
          <w:lang w:eastAsia="en-NZ"/>
        </w:rPr>
        <w:t xml:space="preserve">especially </w:t>
      </w:r>
      <w:r w:rsidR="00BD038E">
        <w:rPr>
          <w:rFonts w:eastAsia="Times New Roman"/>
          <w:lang w:eastAsia="en-NZ"/>
        </w:rPr>
        <w:t>for those who need us the most</w:t>
      </w:r>
      <w:r w:rsidR="007E0D38">
        <w:rPr>
          <w:rFonts w:eastAsia="Times New Roman"/>
          <w:lang w:eastAsia="en-NZ"/>
        </w:rPr>
        <w:t>.</w:t>
      </w:r>
    </w:p>
    <w:p w:rsidR="001E46D7" w:rsidRPr="001E46D7" w:rsidRDefault="007E0D38" w:rsidP="001E46D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In support of this, MSD is implementing </w:t>
      </w:r>
      <w:r w:rsidR="00951FA5">
        <w:rPr>
          <w:rFonts w:eastAsia="Times New Roman"/>
          <w:lang w:eastAsia="en-NZ"/>
        </w:rPr>
        <w:t>changes</w:t>
      </w:r>
      <w:r>
        <w:rPr>
          <w:rFonts w:eastAsia="Times New Roman"/>
          <w:lang w:eastAsia="en-NZ"/>
        </w:rPr>
        <w:t xml:space="preserve"> designed to make our transactional services user-friendly for clients, including introducing digital channels for clients to complete transactions, and increasing the efficiency of our systems and processes. </w:t>
      </w:r>
    </w:p>
    <w:p w:rsidR="00D35365" w:rsidRDefault="001E46D7" w:rsidP="001E46D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MSD’s</w:t>
      </w:r>
      <w:r w:rsidRPr="001E46D7">
        <w:rPr>
          <w:rFonts w:eastAsia="Times New Roman"/>
          <w:lang w:eastAsia="en-NZ"/>
        </w:rPr>
        <w:t xml:space="preserve"> </w:t>
      </w:r>
      <w:r w:rsidR="00D35365">
        <w:rPr>
          <w:rFonts w:eastAsia="Times New Roman"/>
          <w:lang w:eastAsia="en-NZ"/>
        </w:rPr>
        <w:t xml:space="preserve">employment </w:t>
      </w:r>
      <w:r w:rsidRPr="001E46D7">
        <w:rPr>
          <w:rFonts w:eastAsia="Times New Roman"/>
          <w:lang w:eastAsia="en-NZ"/>
        </w:rPr>
        <w:t xml:space="preserve">Service Delivery Model is made-up of </w:t>
      </w:r>
      <w:r w:rsidR="00D35365">
        <w:rPr>
          <w:rFonts w:eastAsia="Times New Roman"/>
          <w:lang w:eastAsia="en-NZ"/>
        </w:rPr>
        <w:t>internal and external (contracted)</w:t>
      </w:r>
      <w:r w:rsidRPr="001E46D7">
        <w:rPr>
          <w:rFonts w:eastAsia="Times New Roman"/>
          <w:lang w:eastAsia="en-NZ"/>
        </w:rPr>
        <w:t xml:space="preserve"> Case Management Services that range in intensity and client focus.</w:t>
      </w:r>
      <w:r w:rsidR="00394CF9">
        <w:rPr>
          <w:rFonts w:eastAsia="Times New Roman"/>
          <w:lang w:eastAsia="en-NZ"/>
        </w:rPr>
        <w:t>  These services are Work Focus</w:t>
      </w:r>
      <w:r w:rsidRPr="001E46D7">
        <w:rPr>
          <w:rFonts w:eastAsia="Times New Roman"/>
          <w:lang w:eastAsia="en-NZ"/>
        </w:rPr>
        <w:t xml:space="preserve">ed </w:t>
      </w:r>
      <w:r w:rsidR="00394CF9">
        <w:rPr>
          <w:rFonts w:eastAsia="Times New Roman"/>
          <w:lang w:eastAsia="en-NZ"/>
        </w:rPr>
        <w:t>Integrated Services, Work Focus</w:t>
      </w:r>
      <w:r w:rsidRPr="001E46D7">
        <w:rPr>
          <w:rFonts w:eastAsia="Times New Roman"/>
          <w:lang w:eastAsia="en-NZ"/>
        </w:rPr>
        <w:t xml:space="preserve">ed Health Condition </w:t>
      </w:r>
      <w:r w:rsidR="00F75DD5">
        <w:rPr>
          <w:rFonts w:eastAsia="Times New Roman"/>
          <w:lang w:eastAsia="en-NZ"/>
        </w:rPr>
        <w:t xml:space="preserve">Injury </w:t>
      </w:r>
      <w:r w:rsidRPr="001E46D7">
        <w:rPr>
          <w:rFonts w:eastAsia="Times New Roman"/>
          <w:lang w:eastAsia="en-NZ"/>
        </w:rPr>
        <w:t xml:space="preserve">and Disability, Work </w:t>
      </w:r>
      <w:r w:rsidR="00394CF9">
        <w:rPr>
          <w:rFonts w:eastAsia="Times New Roman"/>
          <w:lang w:eastAsia="en-NZ"/>
        </w:rPr>
        <w:t>Focu</w:t>
      </w:r>
      <w:r w:rsidR="00F75DD5">
        <w:rPr>
          <w:rFonts w:eastAsia="Times New Roman"/>
          <w:lang w:eastAsia="en-NZ"/>
        </w:rPr>
        <w:t>sed Case Management</w:t>
      </w:r>
      <w:r w:rsidRPr="001E46D7">
        <w:rPr>
          <w:rFonts w:eastAsia="Times New Roman"/>
          <w:lang w:eastAsia="en-NZ"/>
        </w:rPr>
        <w:t xml:space="preserve"> </w:t>
      </w:r>
      <w:r w:rsidR="00FA4D9D">
        <w:rPr>
          <w:rFonts w:eastAsia="Times New Roman"/>
          <w:lang w:eastAsia="en-NZ"/>
        </w:rPr>
        <w:t xml:space="preserve">(WFCM) </w:t>
      </w:r>
      <w:r w:rsidRPr="001E46D7">
        <w:rPr>
          <w:rFonts w:eastAsia="Times New Roman"/>
          <w:lang w:eastAsia="en-NZ"/>
        </w:rPr>
        <w:t>and Work Search Support</w:t>
      </w:r>
      <w:r w:rsidR="00FA4D9D">
        <w:rPr>
          <w:rFonts w:eastAsia="Times New Roman"/>
          <w:lang w:eastAsia="en-NZ"/>
        </w:rPr>
        <w:t xml:space="preserve"> (WSS). </w:t>
      </w:r>
    </w:p>
    <w:p w:rsidR="001E46D7" w:rsidRPr="001E46D7" w:rsidRDefault="00D35365" w:rsidP="001E46D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We are</w:t>
      </w:r>
      <w:r w:rsidR="001E46D7" w:rsidRPr="001E46D7">
        <w:rPr>
          <w:rFonts w:eastAsia="Times New Roman"/>
          <w:lang w:eastAsia="en-NZ"/>
        </w:rPr>
        <w:t xml:space="preserve"> also </w:t>
      </w:r>
      <w:r>
        <w:rPr>
          <w:rFonts w:eastAsia="Times New Roman"/>
          <w:lang w:eastAsia="en-NZ"/>
        </w:rPr>
        <w:t>trialling a further level of</w:t>
      </w:r>
      <w:r w:rsidR="001E46D7">
        <w:rPr>
          <w:rFonts w:eastAsia="Times New Roman"/>
          <w:lang w:eastAsia="en-NZ"/>
        </w:rPr>
        <w:t xml:space="preserve"> intensive </w:t>
      </w:r>
      <w:r>
        <w:rPr>
          <w:rFonts w:eastAsia="Times New Roman"/>
          <w:lang w:eastAsia="en-NZ"/>
        </w:rPr>
        <w:t xml:space="preserve">case management </w:t>
      </w:r>
      <w:r w:rsidR="001E46D7">
        <w:rPr>
          <w:rFonts w:eastAsia="Times New Roman"/>
          <w:lang w:eastAsia="en-NZ"/>
        </w:rPr>
        <w:t xml:space="preserve">service </w:t>
      </w:r>
      <w:r w:rsidR="001E46D7" w:rsidRPr="001E46D7">
        <w:rPr>
          <w:rFonts w:eastAsia="Times New Roman"/>
          <w:lang w:eastAsia="en-NZ"/>
        </w:rPr>
        <w:t>in six sites across New Zealand called Intensive Client Support.</w:t>
      </w:r>
      <w:r w:rsidR="001E46D7">
        <w:rPr>
          <w:rFonts w:eastAsia="Times New Roman"/>
          <w:lang w:eastAsia="en-NZ"/>
        </w:rPr>
        <w:t xml:space="preserve"> </w:t>
      </w:r>
      <w:r w:rsidR="001E46D7" w:rsidRPr="001E46D7">
        <w:rPr>
          <w:rFonts w:eastAsia="Times New Roman"/>
          <w:lang w:eastAsia="en-NZ"/>
        </w:rPr>
        <w:t xml:space="preserve">Clients are streamed to a service based on their needs and </w:t>
      </w:r>
      <w:r w:rsidR="00F75DD5">
        <w:rPr>
          <w:rFonts w:eastAsia="Times New Roman"/>
          <w:lang w:eastAsia="en-NZ"/>
        </w:rPr>
        <w:t xml:space="preserve">are </w:t>
      </w:r>
      <w:r w:rsidR="001E46D7" w:rsidRPr="001E46D7">
        <w:rPr>
          <w:rFonts w:eastAsia="Times New Roman"/>
          <w:lang w:eastAsia="en-NZ"/>
        </w:rPr>
        <w:t>worked with proactively in an effort to achieve a sustainable off-benefit outcome.</w:t>
      </w:r>
    </w:p>
    <w:p w:rsidR="001E46D7" w:rsidRPr="001E46D7" w:rsidRDefault="001E46D7" w:rsidP="001E46D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While in service, clients and case m</w:t>
      </w:r>
      <w:r w:rsidRPr="001E46D7">
        <w:rPr>
          <w:rFonts w:eastAsia="Times New Roman"/>
          <w:lang w:eastAsia="en-NZ"/>
        </w:rPr>
        <w:t>anagers have a variety of interventions to support the achieve</w:t>
      </w:r>
      <w:r>
        <w:rPr>
          <w:rFonts w:eastAsia="Times New Roman"/>
          <w:lang w:eastAsia="en-NZ"/>
        </w:rPr>
        <w:t>ment of a sustainable outcome. </w:t>
      </w:r>
      <w:r w:rsidRPr="001E46D7">
        <w:rPr>
          <w:rFonts w:eastAsia="Times New Roman"/>
          <w:lang w:eastAsia="en-NZ"/>
        </w:rPr>
        <w:t>MSD contracts external providers to provide more specific work-related services such as Training for Work and Work Confidence courses.  MSD partners directly with employers by utilising the Skills for Industry product to form programmes that provide on the job traini</w:t>
      </w:r>
      <w:r>
        <w:rPr>
          <w:rFonts w:eastAsia="Times New Roman"/>
          <w:lang w:eastAsia="en-NZ"/>
        </w:rPr>
        <w:t>ng with an employment outcome. </w:t>
      </w:r>
      <w:r w:rsidRPr="001E46D7">
        <w:rPr>
          <w:rFonts w:eastAsia="Times New Roman"/>
          <w:lang w:eastAsia="en-NZ"/>
        </w:rPr>
        <w:t>MSD also has internal Work Brokers that partner with employers to link our clients with their vacancies. Work Brokers can utilise the Flexi-Wage product, which is a wage subsidy that invests in clients who are disadvantaged in the job market by making a temporary contribution to their wages so they can access and maintain employment.</w:t>
      </w:r>
    </w:p>
    <w:p w:rsidR="00D35365" w:rsidRPr="00BD038E" w:rsidRDefault="00D35365" w:rsidP="00D35365">
      <w:pPr>
        <w:suppressAutoHyphens/>
        <w:autoSpaceDE w:val="0"/>
        <w:autoSpaceDN w:val="0"/>
        <w:adjustRightInd w:val="0"/>
        <w:spacing w:before="120" w:after="0" w:line="240" w:lineRule="auto"/>
        <w:textAlignment w:val="center"/>
        <w:rPr>
          <w:rFonts w:eastAsia="Times New Roman"/>
          <w:lang w:eastAsia="en-NZ"/>
        </w:rPr>
      </w:pPr>
      <w:r w:rsidRPr="00BD038E">
        <w:rPr>
          <w:rFonts w:eastAsia="Times New Roman"/>
          <w:lang w:eastAsia="en-NZ"/>
        </w:rPr>
        <w:t xml:space="preserve">The Liability Estimator Tool (LET), a predictive model that estimates the lifetime future benefit costs of </w:t>
      </w:r>
      <w:r>
        <w:rPr>
          <w:rFonts w:eastAsia="Times New Roman"/>
          <w:lang w:eastAsia="en-NZ"/>
        </w:rPr>
        <w:t>beneficiaries</w:t>
      </w:r>
      <w:r w:rsidRPr="00BD038E">
        <w:rPr>
          <w:rFonts w:eastAsia="Times New Roman"/>
          <w:lang w:eastAsia="en-NZ"/>
        </w:rPr>
        <w:t>, wen</w:t>
      </w:r>
      <w:r>
        <w:rPr>
          <w:rFonts w:eastAsia="Times New Roman"/>
          <w:lang w:eastAsia="en-NZ"/>
        </w:rPr>
        <w:t xml:space="preserve">t live on 28 November 2016. LET has better aligned </w:t>
      </w:r>
      <w:r w:rsidRPr="00BD038E">
        <w:rPr>
          <w:rFonts w:eastAsia="Times New Roman"/>
          <w:lang w:eastAsia="en-NZ"/>
        </w:rPr>
        <w:t>st</w:t>
      </w:r>
      <w:r>
        <w:rPr>
          <w:rFonts w:eastAsia="Times New Roman"/>
          <w:lang w:eastAsia="en-NZ"/>
        </w:rPr>
        <w:t>r</w:t>
      </w:r>
      <w:r w:rsidRPr="00BD038E">
        <w:rPr>
          <w:rFonts w:eastAsia="Times New Roman"/>
          <w:lang w:eastAsia="en-NZ"/>
        </w:rPr>
        <w:t xml:space="preserve">eaming </w:t>
      </w:r>
      <w:r>
        <w:rPr>
          <w:rFonts w:eastAsia="Times New Roman"/>
          <w:lang w:eastAsia="en-NZ"/>
        </w:rPr>
        <w:t>to the annual valuation and the BPS 1 target. There will be</w:t>
      </w:r>
      <w:r w:rsidRPr="00BD038E">
        <w:rPr>
          <w:rFonts w:eastAsia="Times New Roman"/>
          <w:lang w:eastAsia="en-NZ"/>
        </w:rPr>
        <w:t xml:space="preserve"> further enhancements to LET</w:t>
      </w:r>
      <w:r>
        <w:rPr>
          <w:rFonts w:eastAsia="Times New Roman"/>
          <w:lang w:eastAsia="en-NZ"/>
        </w:rPr>
        <w:t xml:space="preserve"> during the year</w:t>
      </w:r>
      <w:r w:rsidRPr="00BD038E">
        <w:rPr>
          <w:rFonts w:eastAsia="Times New Roman"/>
          <w:lang w:eastAsia="en-NZ"/>
        </w:rPr>
        <w:t xml:space="preserve">, introducing new variables that will build a more comprehensive data-informed view of a client, ensuring Case Management Services are targeted appropriately.  </w:t>
      </w:r>
    </w:p>
    <w:p w:rsidR="00D35365" w:rsidRPr="00D35365" w:rsidRDefault="00D35365" w:rsidP="004403CC">
      <w:pPr>
        <w:spacing w:before="120" w:line="240" w:lineRule="auto"/>
        <w:rPr>
          <w:rFonts w:eastAsia="Times New Roman"/>
          <w:i/>
          <w:lang w:eastAsia="en-NZ"/>
        </w:rPr>
      </w:pPr>
      <w:r>
        <w:rPr>
          <w:rFonts w:eastAsia="Times New Roman"/>
          <w:i/>
          <w:lang w:eastAsia="en-NZ"/>
        </w:rPr>
        <w:t>Over the next year</w:t>
      </w:r>
    </w:p>
    <w:p w:rsidR="00BD038E" w:rsidRPr="004403CC" w:rsidRDefault="00BD038E" w:rsidP="004403CC">
      <w:pPr>
        <w:spacing w:before="120" w:line="240" w:lineRule="auto"/>
        <w:rPr>
          <w:rFonts w:eastAsia="Times New Roman" w:cs="Arial"/>
          <w:sz w:val="20"/>
          <w:lang w:eastAsia="en-NZ"/>
        </w:rPr>
      </w:pPr>
      <w:r>
        <w:rPr>
          <w:rFonts w:eastAsia="Times New Roman"/>
          <w:lang w:eastAsia="en-NZ"/>
        </w:rPr>
        <w:t xml:space="preserve">A </w:t>
      </w:r>
      <w:r w:rsidRPr="00BD038E">
        <w:rPr>
          <w:rFonts w:eastAsia="Times New Roman"/>
          <w:lang w:eastAsia="en-NZ"/>
        </w:rPr>
        <w:t>review of Service Delivery Case Management Services</w:t>
      </w:r>
      <w:r>
        <w:rPr>
          <w:rFonts w:eastAsia="Times New Roman"/>
          <w:lang w:eastAsia="en-NZ"/>
        </w:rPr>
        <w:t xml:space="preserve"> will be undertaken by </w:t>
      </w:r>
      <w:r w:rsidRPr="00BD038E">
        <w:rPr>
          <w:rFonts w:eastAsia="Times New Roman"/>
          <w:lang w:eastAsia="en-NZ"/>
        </w:rPr>
        <w:t>the Investment Approach</w:t>
      </w:r>
      <w:r>
        <w:rPr>
          <w:rFonts w:eastAsia="Times New Roman"/>
          <w:lang w:eastAsia="en-NZ"/>
        </w:rPr>
        <w:t xml:space="preserve"> Team in 2017/18</w:t>
      </w:r>
      <w:r w:rsidRPr="00BD038E">
        <w:rPr>
          <w:rFonts w:eastAsia="Times New Roman"/>
          <w:lang w:eastAsia="en-NZ"/>
        </w:rPr>
        <w:t>.</w:t>
      </w:r>
      <w:r w:rsidR="0012091A">
        <w:rPr>
          <w:rFonts w:eastAsia="Times New Roman"/>
          <w:lang w:eastAsia="en-NZ"/>
        </w:rPr>
        <w:t> This will build on</w:t>
      </w:r>
      <w:r w:rsidR="004403CC">
        <w:rPr>
          <w:rFonts w:eastAsia="Times New Roman"/>
          <w:lang w:eastAsia="en-NZ"/>
        </w:rPr>
        <w:t xml:space="preserve"> </w:t>
      </w:r>
      <w:r w:rsidRPr="00BD038E">
        <w:rPr>
          <w:rFonts w:eastAsia="Times New Roman"/>
          <w:lang w:eastAsia="en-NZ"/>
        </w:rPr>
        <w:t>what we kn</w:t>
      </w:r>
      <w:r w:rsidR="004403CC">
        <w:rPr>
          <w:rFonts w:eastAsia="Times New Roman"/>
          <w:lang w:eastAsia="en-NZ"/>
        </w:rPr>
        <w:t>ow has worked for our clients, investment a</w:t>
      </w:r>
      <w:r w:rsidRPr="00BD038E">
        <w:rPr>
          <w:rFonts w:eastAsia="Times New Roman"/>
          <w:lang w:eastAsia="en-NZ"/>
        </w:rPr>
        <w:t>pproach trials, the 2016 valuation of the welfare system and advanced analytics.  In scope for the review will be changes to caseload ratios, st</w:t>
      </w:r>
      <w:r w:rsidR="004403CC">
        <w:rPr>
          <w:rFonts w:eastAsia="Times New Roman"/>
          <w:lang w:eastAsia="en-NZ"/>
        </w:rPr>
        <w:t>r</w:t>
      </w:r>
      <w:r w:rsidRPr="00BD038E">
        <w:rPr>
          <w:rFonts w:eastAsia="Times New Roman"/>
          <w:lang w:eastAsia="en-NZ"/>
        </w:rPr>
        <w:t>eaming rules, the size of case manageme</w:t>
      </w:r>
      <w:r w:rsidR="0012091A">
        <w:rPr>
          <w:rFonts w:eastAsia="Times New Roman"/>
          <w:lang w:eastAsia="en-NZ"/>
        </w:rPr>
        <w:t>nt services and improved practic</w:t>
      </w:r>
      <w:r w:rsidRPr="00BD038E">
        <w:rPr>
          <w:rFonts w:eastAsia="Times New Roman"/>
          <w:lang w:eastAsia="en-NZ"/>
        </w:rPr>
        <w:t>e.</w:t>
      </w:r>
    </w:p>
    <w:p w:rsidR="00BD038E" w:rsidRPr="00BD038E" w:rsidRDefault="00BD038E" w:rsidP="00BD038E">
      <w:pPr>
        <w:suppressAutoHyphens/>
        <w:autoSpaceDE w:val="0"/>
        <w:autoSpaceDN w:val="0"/>
        <w:adjustRightInd w:val="0"/>
        <w:spacing w:before="120" w:after="0" w:line="240" w:lineRule="auto"/>
        <w:textAlignment w:val="center"/>
        <w:rPr>
          <w:rFonts w:eastAsia="Times New Roman"/>
          <w:lang w:eastAsia="en-NZ"/>
        </w:rPr>
      </w:pPr>
      <w:r w:rsidRPr="00BD038E">
        <w:rPr>
          <w:rFonts w:eastAsia="Times New Roman"/>
          <w:lang w:eastAsia="en-NZ"/>
        </w:rPr>
        <w:t xml:space="preserve">Work has also commenced on </w:t>
      </w:r>
      <w:r w:rsidR="009F7C2D">
        <w:rPr>
          <w:rFonts w:eastAsia="Times New Roman"/>
          <w:lang w:eastAsia="en-NZ"/>
        </w:rPr>
        <w:t>a new predictive model to comple</w:t>
      </w:r>
      <w:r w:rsidRPr="00BD038E">
        <w:rPr>
          <w:rFonts w:eastAsia="Times New Roman"/>
          <w:lang w:eastAsia="en-NZ"/>
        </w:rPr>
        <w:t>ment LET within streaming, the Service Effectiveness Model (SEM).  The SEM will utilise the effectiveness research completed for Case Management Services to predict which clients</w:t>
      </w:r>
      <w:r>
        <w:rPr>
          <w:rFonts w:eastAsia="Times New Roman"/>
          <w:lang w:eastAsia="en-NZ"/>
        </w:rPr>
        <w:t>,</w:t>
      </w:r>
      <w:r w:rsidRPr="00BD038E">
        <w:rPr>
          <w:rFonts w:eastAsia="Times New Roman"/>
          <w:lang w:eastAsia="en-NZ"/>
        </w:rPr>
        <w:t xml:space="preserve"> at the inception of benefit receipt</w:t>
      </w:r>
      <w:r>
        <w:rPr>
          <w:rFonts w:eastAsia="Times New Roman"/>
          <w:lang w:eastAsia="en-NZ"/>
        </w:rPr>
        <w:t>,</w:t>
      </w:r>
      <w:r w:rsidRPr="00BD038E">
        <w:rPr>
          <w:rFonts w:eastAsia="Times New Roman"/>
          <w:lang w:eastAsia="en-NZ"/>
        </w:rPr>
        <w:t xml:space="preserve"> will react positively (from a reduction in liability perspective) to each indivi</w:t>
      </w:r>
      <w:r w:rsidR="0012091A">
        <w:rPr>
          <w:rFonts w:eastAsia="Times New Roman"/>
          <w:lang w:eastAsia="en-NZ"/>
        </w:rPr>
        <w:t>dual case management service. </w:t>
      </w:r>
      <w:r w:rsidRPr="00BD038E">
        <w:rPr>
          <w:rFonts w:eastAsia="Times New Roman"/>
          <w:lang w:eastAsia="en-NZ"/>
        </w:rPr>
        <w:t xml:space="preserve">The SEM will provide key insights in supporting the aforementioned review of the size of current Case Management Services and provide a key indicator of cohorts that are not reacting to current services. </w:t>
      </w:r>
    </w:p>
    <w:p w:rsidR="0012091A" w:rsidRDefault="00BD038E" w:rsidP="00BD038E">
      <w:pPr>
        <w:suppressAutoHyphens/>
        <w:autoSpaceDE w:val="0"/>
        <w:autoSpaceDN w:val="0"/>
        <w:adjustRightInd w:val="0"/>
        <w:spacing w:before="120" w:after="0" w:line="240" w:lineRule="auto"/>
        <w:textAlignment w:val="center"/>
        <w:rPr>
          <w:rFonts w:eastAsia="Times New Roman"/>
          <w:lang w:eastAsia="en-NZ"/>
        </w:rPr>
      </w:pPr>
      <w:r w:rsidRPr="00854071">
        <w:rPr>
          <w:rFonts w:eastAsia="Times New Roman"/>
          <w:lang w:eastAsia="en-NZ"/>
        </w:rPr>
        <w:t>A discovery phase to determine how advance</w:t>
      </w:r>
      <w:r w:rsidR="004403CC" w:rsidRPr="00854071">
        <w:rPr>
          <w:rFonts w:eastAsia="Times New Roman"/>
          <w:lang w:eastAsia="en-NZ"/>
        </w:rPr>
        <w:t>d analytics can better support case m</w:t>
      </w:r>
      <w:r w:rsidRPr="00854071">
        <w:rPr>
          <w:rFonts w:eastAsia="Times New Roman"/>
          <w:lang w:eastAsia="en-NZ"/>
        </w:rPr>
        <w:t xml:space="preserve">anager decision-making has also commenced.  Though in its infancy, it </w:t>
      </w:r>
      <w:r w:rsidR="004403CC" w:rsidRPr="00854071">
        <w:rPr>
          <w:rFonts w:eastAsia="Times New Roman"/>
          <w:lang w:eastAsia="en-NZ"/>
        </w:rPr>
        <w:t xml:space="preserve">is </w:t>
      </w:r>
      <w:r w:rsidRPr="00854071">
        <w:rPr>
          <w:rFonts w:eastAsia="Times New Roman"/>
          <w:lang w:eastAsia="en-NZ"/>
        </w:rPr>
        <w:t>envisaged this work will take a ‘pathways to outcomes’ investment lens to clients once streamed, optimising the referral of clients to supports and services that will lead to a sustainable off-benefit outcome.</w:t>
      </w:r>
    </w:p>
    <w:p w:rsidR="00B74AE9" w:rsidRDefault="008561E0" w:rsidP="00B74AE9">
      <w:pPr>
        <w:suppressAutoHyphens/>
        <w:autoSpaceDE w:val="0"/>
        <w:autoSpaceDN w:val="0"/>
        <w:adjustRightInd w:val="0"/>
        <w:spacing w:before="120" w:after="0" w:line="240" w:lineRule="auto"/>
        <w:textAlignment w:val="center"/>
        <w:rPr>
          <w:rFonts w:eastAsia="Times New Roman"/>
          <w:lang w:eastAsia="en-NZ"/>
        </w:rPr>
      </w:pPr>
      <w:r w:rsidRPr="00CF60FA">
        <w:rPr>
          <w:rFonts w:eastAsia="Times New Roman"/>
          <w:lang w:eastAsia="en-NZ"/>
        </w:rPr>
        <w:t>Delivering services to our m</w:t>
      </w:r>
      <w:r w:rsidR="00CF0D11">
        <w:rPr>
          <w:rFonts w:eastAsia="Times New Roman"/>
          <w:lang w:eastAsia="en-NZ"/>
        </w:rPr>
        <w:t>ost vulnerable clients is a</w:t>
      </w:r>
      <w:r w:rsidRPr="00CF60FA">
        <w:rPr>
          <w:rFonts w:eastAsia="Times New Roman"/>
          <w:lang w:eastAsia="en-NZ"/>
        </w:rPr>
        <w:t xml:space="preserve"> challenging proposition at the best of times – </w:t>
      </w:r>
      <w:r w:rsidR="00CF0D11">
        <w:rPr>
          <w:rFonts w:eastAsia="Times New Roman"/>
          <w:lang w:eastAsia="en-NZ"/>
        </w:rPr>
        <w:t>and delivering them within the</w:t>
      </w:r>
      <w:r w:rsidRPr="00CF60FA">
        <w:rPr>
          <w:rFonts w:eastAsia="Times New Roman"/>
          <w:lang w:eastAsia="en-NZ"/>
        </w:rPr>
        <w:t xml:space="preserve"> current operating environment will require increased levels of </w:t>
      </w:r>
      <w:r w:rsidRPr="00CF60FA">
        <w:rPr>
          <w:rFonts w:eastAsia="Times New Roman"/>
          <w:lang w:eastAsia="en-NZ"/>
        </w:rPr>
        <w:lastRenderedPageBreak/>
        <w:t>sophistication in investment decision-making through the use of data and analytics and the testing and trialling of new and innovative approaches to working with our most complex clients. Working with clients that have h</w:t>
      </w:r>
      <w:r w:rsidR="00CF0D11">
        <w:rPr>
          <w:rFonts w:eastAsia="Times New Roman"/>
          <w:lang w:eastAsia="en-NZ"/>
        </w:rPr>
        <w:t xml:space="preserve">igh barriers to employment </w:t>
      </w:r>
      <w:r w:rsidRPr="00CF60FA">
        <w:rPr>
          <w:rFonts w:eastAsia="Times New Roman"/>
          <w:lang w:eastAsia="en-NZ"/>
        </w:rPr>
        <w:t>require</w:t>
      </w:r>
      <w:r w:rsidR="00CF0D11">
        <w:rPr>
          <w:rFonts w:eastAsia="Times New Roman"/>
          <w:lang w:eastAsia="en-NZ"/>
        </w:rPr>
        <w:t>s</w:t>
      </w:r>
      <w:r w:rsidRPr="00CF60FA">
        <w:rPr>
          <w:rFonts w:eastAsia="Times New Roman"/>
          <w:lang w:eastAsia="en-NZ"/>
        </w:rPr>
        <w:t xml:space="preserve"> patience and perseverance, and the understanding that trial and error is part of developing interventions to improve the lives of </w:t>
      </w:r>
      <w:r w:rsidR="003555D1">
        <w:rPr>
          <w:rFonts w:eastAsia="Times New Roman"/>
          <w:lang w:eastAsia="en-NZ"/>
        </w:rPr>
        <w:t>our clients</w:t>
      </w:r>
      <w:r>
        <w:rPr>
          <w:rFonts w:eastAsia="Times New Roman"/>
          <w:lang w:eastAsia="en-NZ"/>
        </w:rPr>
        <w:t>.</w:t>
      </w:r>
      <w:r w:rsidR="001E46D7">
        <w:rPr>
          <w:rFonts w:eastAsia="Times New Roman"/>
          <w:lang w:eastAsia="en-NZ"/>
        </w:rPr>
        <w:t xml:space="preserve"> </w:t>
      </w:r>
    </w:p>
    <w:p w:rsidR="00B74AE9" w:rsidRDefault="00E52BB7" w:rsidP="00B74AE9">
      <w:pPr>
        <w:suppressAutoHyphens/>
        <w:autoSpaceDE w:val="0"/>
        <w:autoSpaceDN w:val="0"/>
        <w:adjustRightInd w:val="0"/>
        <w:spacing w:before="120" w:after="0" w:line="240" w:lineRule="auto"/>
        <w:textAlignment w:val="center"/>
        <w:rPr>
          <w:rFonts w:eastAsia="Times New Roman"/>
          <w:lang w:eastAsia="en-NZ"/>
        </w:rPr>
      </w:pPr>
      <w:r w:rsidRPr="00E52BB7">
        <w:rPr>
          <w:rFonts w:eastAsia="Times New Roman"/>
          <w:lang w:eastAsia="en-NZ"/>
        </w:rPr>
        <w:t>Despi</w:t>
      </w:r>
      <w:r w:rsidR="00B74AE9">
        <w:rPr>
          <w:rFonts w:eastAsia="Times New Roman"/>
          <w:lang w:eastAsia="en-NZ"/>
        </w:rPr>
        <w:t xml:space="preserve">te the programme of change </w:t>
      </w:r>
      <w:r w:rsidRPr="00E52BB7">
        <w:rPr>
          <w:rFonts w:eastAsia="Times New Roman"/>
          <w:lang w:eastAsia="en-NZ"/>
        </w:rPr>
        <w:t xml:space="preserve">MSD is going through, we </w:t>
      </w:r>
      <w:r w:rsidR="00B74AE9">
        <w:rPr>
          <w:rFonts w:eastAsia="Times New Roman"/>
          <w:lang w:eastAsia="en-NZ"/>
        </w:rPr>
        <w:t>continue to meet</w:t>
      </w:r>
      <w:r w:rsidRPr="00E52BB7">
        <w:rPr>
          <w:rFonts w:eastAsia="Times New Roman"/>
          <w:lang w:eastAsia="en-NZ"/>
        </w:rPr>
        <w:t xml:space="preserve"> the ne</w:t>
      </w:r>
      <w:r>
        <w:rPr>
          <w:rFonts w:eastAsia="Times New Roman"/>
          <w:lang w:eastAsia="en-NZ"/>
        </w:rPr>
        <w:t xml:space="preserve">eds of our clients and the </w:t>
      </w:r>
      <w:r w:rsidRPr="00E52BB7">
        <w:rPr>
          <w:rFonts w:eastAsia="Times New Roman"/>
          <w:lang w:eastAsia="en-NZ"/>
        </w:rPr>
        <w:t>expectations to provide meaningful services and interventions</w:t>
      </w:r>
      <w:r>
        <w:rPr>
          <w:rFonts w:eastAsia="Times New Roman"/>
          <w:lang w:eastAsia="en-NZ"/>
        </w:rPr>
        <w:t>,</w:t>
      </w:r>
      <w:r w:rsidRPr="00E52BB7">
        <w:rPr>
          <w:rFonts w:eastAsia="Times New Roman"/>
          <w:lang w:eastAsia="en-NZ"/>
        </w:rPr>
        <w:t xml:space="preserve"> while delivering financial assistance. </w:t>
      </w:r>
      <w:r w:rsidR="00B74AE9" w:rsidRPr="00B74AE9">
        <w:rPr>
          <w:rFonts w:eastAsia="Times New Roman"/>
          <w:lang w:eastAsia="en-NZ"/>
        </w:rPr>
        <w:t>While transitioning, the continuous demand on our frontline resources is still significant although it can be difficult to decouple transactional demand from the presenting needs of a vulnerable or complex client. Despite this, we are making great progress to divert clients towards online and self-service channels</w:t>
      </w:r>
      <w:r w:rsidR="00B74AE9">
        <w:rPr>
          <w:rFonts w:eastAsia="Times New Roman"/>
          <w:lang w:eastAsia="en-NZ"/>
        </w:rPr>
        <w:t>,</w:t>
      </w:r>
      <w:r w:rsidR="00B74AE9" w:rsidRPr="00B74AE9">
        <w:rPr>
          <w:rFonts w:eastAsia="Times New Roman"/>
          <w:lang w:eastAsia="en-NZ"/>
        </w:rPr>
        <w:t xml:space="preserve"> where appropriate (such as through the e-lodgement of medical certificates and guiding clients to apply online or interact with us through the </w:t>
      </w:r>
      <w:proofErr w:type="spellStart"/>
      <w:r w:rsidR="00B74AE9" w:rsidRPr="00B74AE9">
        <w:rPr>
          <w:rFonts w:eastAsia="Times New Roman"/>
          <w:lang w:eastAsia="en-NZ"/>
        </w:rPr>
        <w:t>MyMSD</w:t>
      </w:r>
      <w:proofErr w:type="spellEnd"/>
      <w:r w:rsidR="00B74AE9" w:rsidRPr="00B74AE9">
        <w:rPr>
          <w:rFonts w:eastAsia="Times New Roman"/>
          <w:lang w:eastAsia="en-NZ"/>
        </w:rPr>
        <w:t xml:space="preserve"> platform) while refocusing our investment and responding to highly complex social issues</w:t>
      </w:r>
      <w:r w:rsidR="00B74AE9">
        <w:rPr>
          <w:rFonts w:eastAsia="Times New Roman"/>
          <w:lang w:eastAsia="en-NZ"/>
        </w:rPr>
        <w:t>,</w:t>
      </w:r>
      <w:r w:rsidR="00B74AE9" w:rsidRPr="00B74AE9">
        <w:rPr>
          <w:rFonts w:eastAsia="Times New Roman"/>
          <w:lang w:eastAsia="en-NZ"/>
        </w:rPr>
        <w:t xml:space="preserve"> such as mental health and homelessness. </w:t>
      </w:r>
    </w:p>
    <w:p w:rsidR="008561E0" w:rsidRDefault="00B74AE9" w:rsidP="00B74AE9">
      <w:pPr>
        <w:suppressAutoHyphens/>
        <w:autoSpaceDE w:val="0"/>
        <w:autoSpaceDN w:val="0"/>
        <w:adjustRightInd w:val="0"/>
        <w:spacing w:before="120" w:after="0" w:line="240" w:lineRule="auto"/>
        <w:textAlignment w:val="center"/>
        <w:rPr>
          <w:rFonts w:eastAsia="Times New Roman"/>
          <w:lang w:eastAsia="en-NZ"/>
        </w:rPr>
        <w:sectPr w:rsidR="008561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B74AE9">
        <w:rPr>
          <w:rFonts w:eastAsia="Times New Roman"/>
          <w:lang w:eastAsia="en-NZ"/>
        </w:rPr>
        <w:t xml:space="preserve">The delivery of a new practice framework, identifying new opportunities to develop our staff, and </w:t>
      </w:r>
      <w:r w:rsidR="00877053">
        <w:rPr>
          <w:rFonts w:eastAsia="Times New Roman"/>
          <w:lang w:eastAsia="en-NZ"/>
        </w:rPr>
        <w:t xml:space="preserve">the provision of </w:t>
      </w:r>
      <w:r w:rsidRPr="00B74AE9">
        <w:rPr>
          <w:rFonts w:eastAsia="Times New Roman"/>
          <w:lang w:eastAsia="en-NZ"/>
        </w:rPr>
        <w:t xml:space="preserve">open </w:t>
      </w:r>
      <w:r w:rsidR="00877053">
        <w:rPr>
          <w:rFonts w:eastAsia="Times New Roman"/>
          <w:lang w:eastAsia="en-NZ"/>
        </w:rPr>
        <w:t xml:space="preserve">communication </w:t>
      </w:r>
      <w:r w:rsidRPr="00B74AE9">
        <w:rPr>
          <w:rFonts w:eastAsia="Times New Roman"/>
          <w:lang w:eastAsia="en-NZ"/>
        </w:rPr>
        <w:t xml:space="preserve">channels for </w:t>
      </w:r>
      <w:r w:rsidR="00877053">
        <w:rPr>
          <w:rFonts w:eastAsia="Times New Roman"/>
          <w:lang w:eastAsia="en-NZ"/>
        </w:rPr>
        <w:t>staff</w:t>
      </w:r>
      <w:r w:rsidRPr="00B74AE9">
        <w:rPr>
          <w:rFonts w:eastAsia="Times New Roman"/>
          <w:lang w:eastAsia="en-NZ"/>
        </w:rPr>
        <w:t xml:space="preserve"> to suggest change, allows us to build the capability required to meet the needs of our clients. As we continue to improve key relationships with communities, providers and employers to connect people to work, we are increasing our focus on sustainable outcomes and preparing our clients to be ready and competitive for available employment. </w:t>
      </w:r>
      <w:r w:rsidR="00877053">
        <w:rPr>
          <w:rFonts w:eastAsia="Times New Roman"/>
          <w:lang w:eastAsia="en-NZ"/>
        </w:rPr>
        <w:t>In addition, we are</w:t>
      </w:r>
      <w:r w:rsidR="006D749E">
        <w:rPr>
          <w:rFonts w:eastAsia="Times New Roman"/>
          <w:lang w:eastAsia="en-NZ"/>
        </w:rPr>
        <w:t xml:space="preserve"> developing more sophisticated tools that will allow a better understanding of the effectiveness and efficacy of our investments. </w:t>
      </w:r>
      <w:r w:rsidR="0012091A">
        <w:rPr>
          <w:rFonts w:eastAsia="Times New Roman"/>
          <w:lang w:eastAsia="en-NZ"/>
        </w:rPr>
        <w:t>This will all place us</w:t>
      </w:r>
      <w:r w:rsidR="006D749E">
        <w:rPr>
          <w:rFonts w:eastAsia="Times New Roman"/>
          <w:lang w:eastAsia="en-NZ"/>
        </w:rPr>
        <w:t xml:space="preserve"> in a stronger </w:t>
      </w:r>
      <w:r w:rsidR="00877053">
        <w:rPr>
          <w:rFonts w:eastAsia="Times New Roman"/>
          <w:lang w:eastAsia="en-NZ"/>
        </w:rPr>
        <w:t xml:space="preserve">position </w:t>
      </w:r>
      <w:r w:rsidR="00350B5A">
        <w:rPr>
          <w:rFonts w:eastAsia="Times New Roman"/>
          <w:lang w:eastAsia="en-NZ"/>
        </w:rPr>
        <w:t>as we work towards</w:t>
      </w:r>
      <w:r w:rsidR="006D749E">
        <w:rPr>
          <w:rFonts w:eastAsia="Times New Roman"/>
          <w:lang w:eastAsia="en-NZ"/>
        </w:rPr>
        <w:t xml:space="preserve"> the BPS 1 target.</w:t>
      </w:r>
    </w:p>
    <w:p w:rsidR="007E0D38" w:rsidRPr="00F125B5" w:rsidRDefault="00C3629C" w:rsidP="00F125B5">
      <w:pPr>
        <w:pStyle w:val="ReportBody"/>
        <w:tabs>
          <w:tab w:val="clear" w:pos="397"/>
        </w:tabs>
        <w:ind w:left="0" w:firstLine="0"/>
        <w:rPr>
          <w:rFonts w:asciiTheme="minorHAnsi" w:hAnsiTheme="minorHAnsi" w:cstheme="minorHAnsi"/>
          <w:i/>
        </w:rPr>
      </w:pPr>
      <w:r w:rsidRPr="00F125B5">
        <w:rPr>
          <w:b/>
        </w:rPr>
        <w:lastRenderedPageBreak/>
        <w:t>Part 2</w:t>
      </w:r>
      <w:r>
        <w:rPr>
          <w:b/>
          <w:sz w:val="32"/>
        </w:rPr>
        <w:t xml:space="preserve"> </w:t>
      </w:r>
      <w:r w:rsidR="007E0D38" w:rsidRPr="004F214D">
        <w:rPr>
          <w:b/>
        </w:rPr>
        <w:t xml:space="preserve">Performance of investment decisions </w:t>
      </w:r>
      <w:r w:rsidR="00D35365">
        <w:rPr>
          <w:b/>
        </w:rPr>
        <w:t>– 2015/16</w:t>
      </w:r>
    </w:p>
    <w:p w:rsidR="00C04CD4" w:rsidRPr="006F0438" w:rsidRDefault="00A23AC0" w:rsidP="00AE309B">
      <w:pPr>
        <w:pStyle w:val="ReportBody"/>
        <w:tabs>
          <w:tab w:val="clear" w:pos="397"/>
        </w:tabs>
        <w:ind w:left="493" w:hanging="493"/>
        <w:rPr>
          <w:rFonts w:asciiTheme="minorHAnsi" w:hAnsiTheme="minorHAnsi" w:cstheme="minorHAnsi"/>
          <w:b/>
          <w:i/>
        </w:rPr>
      </w:pPr>
      <w:r w:rsidRPr="006F0438">
        <w:rPr>
          <w:rFonts w:asciiTheme="minorHAnsi" w:hAnsiTheme="minorHAnsi" w:cstheme="minorHAnsi"/>
          <w:b/>
          <w:i/>
        </w:rPr>
        <w:t>Active case management service</w:t>
      </w:r>
    </w:p>
    <w:p w:rsidR="00A23AC0" w:rsidRPr="00553619" w:rsidRDefault="004403CC" w:rsidP="00553619">
      <w:pPr>
        <w:suppressAutoHyphens/>
        <w:autoSpaceDE w:val="0"/>
        <w:autoSpaceDN w:val="0"/>
        <w:adjustRightInd w:val="0"/>
        <w:spacing w:before="120" w:after="0" w:line="240" w:lineRule="auto"/>
        <w:textAlignment w:val="center"/>
        <w:rPr>
          <w:rFonts w:eastAsia="Times New Roman"/>
          <w:lang w:eastAsia="en-NZ"/>
        </w:rPr>
      </w:pPr>
      <w:r w:rsidRPr="00553619">
        <w:rPr>
          <w:rFonts w:eastAsia="Times New Roman"/>
          <w:lang w:eastAsia="en-NZ"/>
        </w:rPr>
        <w:t>The a</w:t>
      </w:r>
      <w:r w:rsidR="00147352" w:rsidRPr="00553619">
        <w:rPr>
          <w:rFonts w:eastAsia="Times New Roman"/>
          <w:lang w:eastAsia="en-NZ"/>
        </w:rPr>
        <w:t>dditional investment in a</w:t>
      </w:r>
      <w:r w:rsidR="00A23AC0" w:rsidRPr="00553619">
        <w:rPr>
          <w:rFonts w:eastAsia="Times New Roman"/>
          <w:lang w:eastAsia="en-NZ"/>
        </w:rPr>
        <w:t>ctive case management</w:t>
      </w:r>
      <w:r w:rsidRPr="00553619">
        <w:rPr>
          <w:rFonts w:eastAsia="Times New Roman"/>
          <w:lang w:eastAsia="en-NZ"/>
        </w:rPr>
        <w:t xml:space="preserve"> over the last two years</w:t>
      </w:r>
      <w:r w:rsidR="00A23AC0" w:rsidRPr="00553619">
        <w:rPr>
          <w:rFonts w:eastAsia="Times New Roman"/>
          <w:lang w:eastAsia="en-NZ"/>
        </w:rPr>
        <w:t>, in the form o</w:t>
      </w:r>
      <w:r w:rsidR="00FA4D9D" w:rsidRPr="00553619">
        <w:rPr>
          <w:rFonts w:eastAsia="Times New Roman"/>
          <w:lang w:eastAsia="en-NZ"/>
        </w:rPr>
        <w:t>f WFCM and WSS</w:t>
      </w:r>
      <w:r w:rsidR="00A23AC0" w:rsidRPr="00553619">
        <w:rPr>
          <w:rFonts w:eastAsia="Times New Roman"/>
          <w:lang w:eastAsia="en-NZ"/>
        </w:rPr>
        <w:t>, is having a positive impact</w:t>
      </w:r>
      <w:r w:rsidR="00147352" w:rsidRPr="00553619">
        <w:rPr>
          <w:rFonts w:eastAsia="Times New Roman"/>
          <w:lang w:eastAsia="en-NZ"/>
        </w:rPr>
        <w:t xml:space="preserve"> on</w:t>
      </w:r>
      <w:r w:rsidR="00A23AC0" w:rsidRPr="00553619">
        <w:rPr>
          <w:rFonts w:eastAsia="Times New Roman"/>
          <w:lang w:eastAsia="en-NZ"/>
        </w:rPr>
        <w:t xml:space="preserve"> </w:t>
      </w:r>
      <w:r w:rsidR="00FA4D9D" w:rsidRPr="00553619">
        <w:rPr>
          <w:rFonts w:eastAsia="Times New Roman"/>
          <w:lang w:eastAsia="en-NZ"/>
        </w:rPr>
        <w:t>increasing</w:t>
      </w:r>
      <w:r w:rsidR="00561EFB">
        <w:rPr>
          <w:rFonts w:eastAsia="Times New Roman"/>
          <w:lang w:eastAsia="en-NZ"/>
        </w:rPr>
        <w:t xml:space="preserve"> most</w:t>
      </w:r>
      <w:r w:rsidR="001E12EA" w:rsidRPr="00553619">
        <w:rPr>
          <w:rFonts w:eastAsia="Times New Roman"/>
          <w:lang w:eastAsia="en-NZ"/>
        </w:rPr>
        <w:t xml:space="preserve"> </w:t>
      </w:r>
      <w:r w:rsidR="00FA4D9D" w:rsidRPr="00553619">
        <w:rPr>
          <w:rFonts w:eastAsia="Times New Roman"/>
          <w:lang w:eastAsia="en-NZ"/>
        </w:rPr>
        <w:t>Jobseeker Support (</w:t>
      </w:r>
      <w:r w:rsidR="00124408" w:rsidRPr="00553619">
        <w:rPr>
          <w:rFonts w:eastAsia="Times New Roman"/>
          <w:lang w:eastAsia="en-NZ"/>
        </w:rPr>
        <w:t>JS</w:t>
      </w:r>
      <w:r w:rsidR="00FA4D9D" w:rsidRPr="00553619">
        <w:rPr>
          <w:rFonts w:eastAsia="Times New Roman"/>
          <w:lang w:eastAsia="en-NZ"/>
        </w:rPr>
        <w:t>)</w:t>
      </w:r>
      <w:r w:rsidR="00D63BA5" w:rsidRPr="00553619">
        <w:rPr>
          <w:rFonts w:eastAsia="Times New Roman"/>
          <w:lang w:eastAsia="en-NZ"/>
        </w:rPr>
        <w:t xml:space="preserve"> and </w:t>
      </w:r>
      <w:r w:rsidR="00124408" w:rsidRPr="00553619">
        <w:rPr>
          <w:rFonts w:eastAsia="Times New Roman"/>
          <w:lang w:eastAsia="en-NZ"/>
        </w:rPr>
        <w:t>Sole Parent Support (</w:t>
      </w:r>
      <w:r w:rsidR="00D63BA5" w:rsidRPr="00553619">
        <w:rPr>
          <w:rFonts w:eastAsia="Times New Roman"/>
          <w:lang w:eastAsia="en-NZ"/>
        </w:rPr>
        <w:t>SPS</w:t>
      </w:r>
      <w:r w:rsidR="00124408" w:rsidRPr="00553619">
        <w:rPr>
          <w:rFonts w:eastAsia="Times New Roman"/>
          <w:lang w:eastAsia="en-NZ"/>
        </w:rPr>
        <w:t>)</w:t>
      </w:r>
      <w:r w:rsidR="00A23AC0" w:rsidRPr="00553619">
        <w:rPr>
          <w:rFonts w:eastAsia="Times New Roman"/>
          <w:lang w:eastAsia="en-NZ"/>
        </w:rPr>
        <w:t xml:space="preserve"> </w:t>
      </w:r>
      <w:r w:rsidR="00561EFB">
        <w:rPr>
          <w:rFonts w:eastAsia="Times New Roman"/>
          <w:lang w:eastAsia="en-NZ"/>
        </w:rPr>
        <w:t xml:space="preserve">client </w:t>
      </w:r>
      <w:r w:rsidR="00FA4D9D" w:rsidRPr="00553619">
        <w:rPr>
          <w:rFonts w:eastAsia="Times New Roman"/>
          <w:lang w:eastAsia="en-NZ"/>
        </w:rPr>
        <w:t>cohorts</w:t>
      </w:r>
      <w:r w:rsidR="00561EFB">
        <w:rPr>
          <w:rFonts w:eastAsia="Times New Roman"/>
          <w:lang w:eastAsia="en-NZ"/>
        </w:rPr>
        <w:t xml:space="preserve"> into employment</w:t>
      </w:r>
      <w:r w:rsidR="00A23AC0" w:rsidRPr="00553619">
        <w:rPr>
          <w:rFonts w:eastAsia="Times New Roman"/>
          <w:lang w:eastAsia="en-NZ"/>
        </w:rPr>
        <w:t xml:space="preserve">. </w:t>
      </w:r>
    </w:p>
    <w:p w:rsidR="00F125B5" w:rsidRPr="00553619" w:rsidRDefault="00A23AC0" w:rsidP="00553619">
      <w:pPr>
        <w:suppressAutoHyphens/>
        <w:autoSpaceDE w:val="0"/>
        <w:autoSpaceDN w:val="0"/>
        <w:adjustRightInd w:val="0"/>
        <w:spacing w:before="120" w:after="0" w:line="240" w:lineRule="auto"/>
        <w:textAlignment w:val="center"/>
        <w:rPr>
          <w:rFonts w:eastAsia="Times New Roman"/>
          <w:lang w:eastAsia="en-NZ"/>
        </w:rPr>
      </w:pPr>
      <w:r w:rsidRPr="00553619">
        <w:rPr>
          <w:rFonts w:eastAsia="Times New Roman"/>
          <w:lang w:eastAsia="en-NZ"/>
        </w:rPr>
        <w:t xml:space="preserve">This </w:t>
      </w:r>
      <w:r w:rsidR="00344402" w:rsidRPr="00553619">
        <w:rPr>
          <w:rFonts w:eastAsia="Times New Roman"/>
          <w:lang w:eastAsia="en-NZ"/>
        </w:rPr>
        <w:t xml:space="preserve">investment and </w:t>
      </w:r>
      <w:r w:rsidR="00CF0D11" w:rsidRPr="00553619">
        <w:rPr>
          <w:rFonts w:eastAsia="Times New Roman"/>
          <w:lang w:eastAsia="en-NZ"/>
        </w:rPr>
        <w:t xml:space="preserve">the </w:t>
      </w:r>
      <w:r w:rsidR="00344402" w:rsidRPr="00553619">
        <w:rPr>
          <w:rFonts w:eastAsia="Times New Roman"/>
          <w:lang w:eastAsia="en-NZ"/>
        </w:rPr>
        <w:t xml:space="preserve">resulting </w:t>
      </w:r>
      <w:r w:rsidR="00147352" w:rsidRPr="00553619">
        <w:rPr>
          <w:rFonts w:eastAsia="Times New Roman"/>
          <w:lang w:eastAsia="en-NZ"/>
        </w:rPr>
        <w:t xml:space="preserve">positive impact </w:t>
      </w:r>
      <w:r w:rsidRPr="00553619">
        <w:rPr>
          <w:rFonts w:eastAsia="Times New Roman"/>
          <w:lang w:eastAsia="en-NZ"/>
        </w:rPr>
        <w:t xml:space="preserve">is reflected in the </w:t>
      </w:r>
      <w:r w:rsidR="004403CC" w:rsidRPr="00553619">
        <w:rPr>
          <w:rFonts w:eastAsia="Times New Roman"/>
          <w:lang w:eastAsia="en-NZ"/>
        </w:rPr>
        <w:t xml:space="preserve">latest </w:t>
      </w:r>
      <w:r w:rsidRPr="00553619">
        <w:rPr>
          <w:rFonts w:eastAsia="Times New Roman"/>
          <w:lang w:eastAsia="en-NZ"/>
        </w:rPr>
        <w:t>valuatio</w:t>
      </w:r>
      <w:r w:rsidR="004403CC" w:rsidRPr="00553619">
        <w:rPr>
          <w:rFonts w:eastAsia="Times New Roman"/>
          <w:lang w:eastAsia="en-NZ"/>
        </w:rPr>
        <w:t xml:space="preserve">n to 30 June 2016, which </w:t>
      </w:r>
      <w:r w:rsidRPr="00553619">
        <w:rPr>
          <w:rFonts w:eastAsia="Times New Roman"/>
          <w:lang w:eastAsia="en-NZ"/>
        </w:rPr>
        <w:t>shows a significant decrease in the liabili</w:t>
      </w:r>
      <w:r w:rsidR="004403CC" w:rsidRPr="00553619">
        <w:rPr>
          <w:rFonts w:eastAsia="Times New Roman"/>
          <w:lang w:eastAsia="en-NZ"/>
        </w:rPr>
        <w:t xml:space="preserve">ty of </w:t>
      </w:r>
      <w:r w:rsidR="00350B5A">
        <w:rPr>
          <w:rFonts w:eastAsia="Times New Roman"/>
          <w:lang w:eastAsia="en-NZ"/>
        </w:rPr>
        <w:t>SPS clients</w:t>
      </w:r>
      <w:r w:rsidR="004403CC" w:rsidRPr="00553619">
        <w:rPr>
          <w:rFonts w:eastAsia="Times New Roman"/>
          <w:lang w:eastAsia="en-NZ"/>
        </w:rPr>
        <w:t xml:space="preserve"> from the 2015 valuation, with a $1.7</w:t>
      </w:r>
      <w:r w:rsidRPr="00553619">
        <w:rPr>
          <w:rFonts w:eastAsia="Times New Roman"/>
          <w:lang w:eastAsia="en-NZ"/>
        </w:rPr>
        <w:t xml:space="preserve"> billion decrease in total liability</w:t>
      </w:r>
      <w:r w:rsidR="004403CC" w:rsidRPr="00553619">
        <w:rPr>
          <w:rFonts w:eastAsia="Times New Roman"/>
          <w:lang w:eastAsia="en-NZ"/>
        </w:rPr>
        <w:t xml:space="preserve"> </w:t>
      </w:r>
      <w:r w:rsidR="00561EFB">
        <w:rPr>
          <w:rFonts w:eastAsia="Times New Roman"/>
          <w:lang w:eastAsia="en-NZ"/>
        </w:rPr>
        <w:t xml:space="preserve">across all benefit categories, </w:t>
      </w:r>
      <w:r w:rsidR="004403CC" w:rsidRPr="00553619">
        <w:rPr>
          <w:rFonts w:eastAsia="Times New Roman"/>
          <w:lang w:eastAsia="en-NZ"/>
        </w:rPr>
        <w:t>attributable to management performance.</w:t>
      </w:r>
      <w:r w:rsidRPr="00553619">
        <w:rPr>
          <w:rFonts w:eastAsia="Times New Roman"/>
          <w:lang w:eastAsia="en-NZ"/>
        </w:rPr>
        <w:t xml:space="preserve"> </w:t>
      </w:r>
    </w:p>
    <w:p w:rsidR="00553619" w:rsidRDefault="000A592F" w:rsidP="00553619">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As can be seen from Figure 4</w:t>
      </w:r>
      <w:r w:rsidR="00CF0D11" w:rsidRPr="00553619">
        <w:rPr>
          <w:rFonts w:eastAsia="Times New Roman"/>
          <w:lang w:eastAsia="en-NZ"/>
        </w:rPr>
        <w:t xml:space="preserve"> below, </w:t>
      </w:r>
      <w:r w:rsidR="00A23AC0" w:rsidRPr="00553619">
        <w:rPr>
          <w:rFonts w:eastAsia="Times New Roman"/>
          <w:lang w:eastAsia="en-NZ"/>
        </w:rPr>
        <w:t xml:space="preserve">the </w:t>
      </w:r>
      <w:r w:rsidR="00350B5A">
        <w:rPr>
          <w:rFonts w:eastAsia="Times New Roman"/>
          <w:lang w:eastAsia="en-NZ"/>
        </w:rPr>
        <w:t>liability associated with SPS clients</w:t>
      </w:r>
      <w:r w:rsidR="00CF0D11" w:rsidRPr="00553619">
        <w:rPr>
          <w:rFonts w:eastAsia="Times New Roman"/>
          <w:lang w:eastAsia="en-NZ"/>
        </w:rPr>
        <w:t xml:space="preserve"> decreased between</w:t>
      </w:r>
      <w:r w:rsidR="001E7AB0" w:rsidRPr="00553619">
        <w:rPr>
          <w:rFonts w:eastAsia="Times New Roman"/>
          <w:lang w:eastAsia="en-NZ"/>
        </w:rPr>
        <w:t xml:space="preserve"> the 2015</w:t>
      </w:r>
      <w:r w:rsidR="00A23AC0" w:rsidRPr="00553619">
        <w:rPr>
          <w:rFonts w:eastAsia="Times New Roman"/>
          <w:lang w:eastAsia="en-NZ"/>
        </w:rPr>
        <w:t xml:space="preserve"> </w:t>
      </w:r>
      <w:r w:rsidR="000F0933" w:rsidRPr="00553619">
        <w:rPr>
          <w:rFonts w:eastAsia="Times New Roman"/>
          <w:lang w:eastAsia="en-NZ"/>
        </w:rPr>
        <w:t>and 2016</w:t>
      </w:r>
      <w:r w:rsidR="00CF0D11" w:rsidRPr="00553619">
        <w:rPr>
          <w:rFonts w:eastAsia="Times New Roman"/>
          <w:lang w:eastAsia="en-NZ"/>
        </w:rPr>
        <w:t xml:space="preserve"> valuations</w:t>
      </w:r>
      <w:r w:rsidR="00A23AC0" w:rsidRPr="00553619">
        <w:rPr>
          <w:rFonts w:eastAsia="Times New Roman"/>
          <w:lang w:eastAsia="en-NZ"/>
        </w:rPr>
        <w:t xml:space="preserve">, </w:t>
      </w:r>
      <w:r w:rsidR="00CF0D11" w:rsidRPr="00553619">
        <w:rPr>
          <w:rFonts w:eastAsia="Times New Roman"/>
          <w:lang w:eastAsia="en-NZ"/>
        </w:rPr>
        <w:t xml:space="preserve">and </w:t>
      </w:r>
      <w:r w:rsidR="00A23AC0" w:rsidRPr="00553619">
        <w:rPr>
          <w:rFonts w:eastAsia="Times New Roman"/>
          <w:lang w:eastAsia="en-NZ"/>
        </w:rPr>
        <w:t>the lifetime costs on benefit for these clients has also decreased</w:t>
      </w:r>
      <w:r w:rsidR="00553619">
        <w:rPr>
          <w:rFonts w:eastAsia="Times New Roman"/>
          <w:lang w:eastAsia="en-NZ"/>
        </w:rPr>
        <w:t>.</w:t>
      </w:r>
    </w:p>
    <w:p w:rsidR="00553619" w:rsidRDefault="00553619" w:rsidP="00553619">
      <w:pPr>
        <w:suppressAutoHyphens/>
        <w:autoSpaceDE w:val="0"/>
        <w:autoSpaceDN w:val="0"/>
        <w:adjustRightInd w:val="0"/>
        <w:spacing w:before="120" w:after="0" w:line="240" w:lineRule="auto"/>
        <w:textAlignment w:val="center"/>
        <w:rPr>
          <w:rFonts w:eastAsia="Times New Roman"/>
          <w:lang w:eastAsia="en-NZ"/>
        </w:rPr>
      </w:pPr>
    </w:p>
    <w:p w:rsidR="00A23AC0" w:rsidRPr="00A23AC0" w:rsidRDefault="00D54AF9" w:rsidP="00A23AC0">
      <w:pPr>
        <w:rPr>
          <w:rFonts w:cstheme="minorHAnsi"/>
          <w:b/>
          <w:sz w:val="18"/>
          <w:szCs w:val="18"/>
        </w:rPr>
      </w:pPr>
      <w:r>
        <w:rPr>
          <w:rFonts w:cstheme="minorHAnsi"/>
          <w:b/>
          <w:sz w:val="18"/>
          <w:szCs w:val="18"/>
        </w:rPr>
        <w:t xml:space="preserve">Figure </w:t>
      </w:r>
      <w:r w:rsidR="000A592F">
        <w:rPr>
          <w:rFonts w:cstheme="minorHAnsi"/>
          <w:b/>
          <w:sz w:val="18"/>
          <w:szCs w:val="18"/>
        </w:rPr>
        <w:t>4</w:t>
      </w:r>
      <w:r>
        <w:rPr>
          <w:rFonts w:cstheme="minorHAnsi"/>
          <w:b/>
          <w:sz w:val="18"/>
          <w:szCs w:val="18"/>
        </w:rPr>
        <w:t xml:space="preserve">: Breakdown of </w:t>
      </w:r>
      <w:r w:rsidR="00350B5A">
        <w:rPr>
          <w:rFonts w:cstheme="minorHAnsi"/>
          <w:b/>
          <w:sz w:val="18"/>
          <w:szCs w:val="18"/>
        </w:rPr>
        <w:t>$1.7</w:t>
      </w:r>
      <w:r w:rsidR="00752911">
        <w:rPr>
          <w:rFonts w:cstheme="minorHAnsi"/>
          <w:b/>
          <w:sz w:val="18"/>
          <w:szCs w:val="18"/>
        </w:rPr>
        <w:t xml:space="preserve"> billion </w:t>
      </w:r>
      <w:r w:rsidR="00A23AC0" w:rsidRPr="00A23AC0">
        <w:rPr>
          <w:rFonts w:cstheme="minorHAnsi"/>
          <w:b/>
          <w:sz w:val="18"/>
          <w:szCs w:val="18"/>
        </w:rPr>
        <w:t>decrease due to experience, by segment</w:t>
      </w:r>
    </w:p>
    <w:p w:rsidR="0072567F" w:rsidRDefault="003F4E7C" w:rsidP="005F35F4">
      <w:pPr>
        <w:suppressAutoHyphens/>
        <w:autoSpaceDE w:val="0"/>
        <w:autoSpaceDN w:val="0"/>
        <w:adjustRightInd w:val="0"/>
        <w:spacing w:before="120" w:after="0" w:line="240" w:lineRule="auto"/>
        <w:textAlignment w:val="center"/>
        <w:rPr>
          <w:rFonts w:eastAsia="Times New Roman"/>
          <w:lang w:eastAsia="en-NZ"/>
        </w:rPr>
      </w:pPr>
      <w:r>
        <w:rPr>
          <w:rFonts w:eastAsia="Times New Roman"/>
          <w:noProof/>
          <w:lang w:eastAsia="en-NZ"/>
        </w:rPr>
        <w:drawing>
          <wp:inline distT="0" distB="0" distL="0" distR="0">
            <wp:extent cx="4639310" cy="402399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9310" cy="4023995"/>
                    </a:xfrm>
                    <a:prstGeom prst="rect">
                      <a:avLst/>
                    </a:prstGeom>
                    <a:noFill/>
                  </pic:spPr>
                </pic:pic>
              </a:graphicData>
            </a:graphic>
          </wp:inline>
        </w:drawing>
      </w:r>
    </w:p>
    <w:p w:rsidR="005F35F4" w:rsidRDefault="002473F9" w:rsidP="005F35F4">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Assessing the impacts of our case management is an important tool to determine the wider effectiveness of our services. The most up-to-date evaluation was carried out in early 2014 (for the 2012/13 year). </w:t>
      </w:r>
      <w:r w:rsidR="00D47600">
        <w:rPr>
          <w:rFonts w:eastAsia="Times New Roman"/>
          <w:lang w:eastAsia="en-NZ"/>
        </w:rPr>
        <w:t xml:space="preserve">Insights </w:t>
      </w:r>
      <w:r w:rsidR="00743832">
        <w:rPr>
          <w:rFonts w:eastAsia="Times New Roman"/>
          <w:lang w:eastAsia="en-NZ"/>
        </w:rPr>
        <w:t>MSD is in the process of developing a</w:t>
      </w:r>
      <w:r w:rsidR="005F35F4">
        <w:rPr>
          <w:rFonts w:eastAsia="Times New Roman"/>
          <w:lang w:eastAsia="en-NZ"/>
        </w:rPr>
        <w:t xml:space="preserve">nother evaluation to measure the effectiveness of our </w:t>
      </w:r>
      <w:r w:rsidR="00147352">
        <w:rPr>
          <w:rFonts w:eastAsia="Times New Roman"/>
          <w:lang w:eastAsia="en-NZ"/>
        </w:rPr>
        <w:t xml:space="preserve">investment in active </w:t>
      </w:r>
      <w:r w:rsidR="005F35F4">
        <w:rPr>
          <w:rFonts w:eastAsia="Times New Roman"/>
          <w:lang w:eastAsia="en-NZ"/>
        </w:rPr>
        <w:t>case management</w:t>
      </w:r>
      <w:r w:rsidR="00743832">
        <w:rPr>
          <w:rFonts w:eastAsia="Times New Roman"/>
          <w:lang w:eastAsia="en-NZ"/>
        </w:rPr>
        <w:t>, which</w:t>
      </w:r>
      <w:r w:rsidR="005F35F4">
        <w:rPr>
          <w:rFonts w:eastAsia="Times New Roman"/>
          <w:lang w:eastAsia="en-NZ"/>
        </w:rPr>
        <w:t xml:space="preserve"> </w:t>
      </w:r>
      <w:r w:rsidR="00743832">
        <w:rPr>
          <w:rFonts w:eastAsia="Times New Roman"/>
          <w:lang w:eastAsia="en-NZ"/>
        </w:rPr>
        <w:t>will be finalised by April 2017</w:t>
      </w:r>
      <w:r w:rsidR="00956847">
        <w:rPr>
          <w:rFonts w:eastAsia="Times New Roman"/>
          <w:lang w:eastAsia="en-NZ"/>
        </w:rPr>
        <w:t>.</w:t>
      </w:r>
    </w:p>
    <w:p w:rsidR="00A23AC0" w:rsidRDefault="00147352" w:rsidP="00561EFB">
      <w:pPr>
        <w:pStyle w:val="ReportBody"/>
        <w:tabs>
          <w:tab w:val="clear" w:pos="397"/>
        </w:tabs>
        <w:ind w:left="0" w:firstLine="0"/>
        <w:rPr>
          <w:rFonts w:asciiTheme="minorHAnsi" w:hAnsiTheme="minorHAnsi" w:cstheme="minorHAnsi"/>
          <w:b/>
          <w:i/>
        </w:rPr>
      </w:pPr>
      <w:r>
        <w:rPr>
          <w:rFonts w:asciiTheme="minorHAnsi" w:hAnsiTheme="minorHAnsi" w:cstheme="minorHAnsi"/>
          <w:b/>
          <w:i/>
        </w:rPr>
        <w:t>Trialling new service interventions</w:t>
      </w:r>
    </w:p>
    <w:p w:rsidR="00147352" w:rsidRPr="004F214D" w:rsidRDefault="00147352" w:rsidP="00B53E36">
      <w:pPr>
        <w:pStyle w:val="ReportBody"/>
        <w:tabs>
          <w:tab w:val="clear" w:pos="397"/>
        </w:tabs>
        <w:ind w:left="0" w:firstLine="0"/>
        <w:rPr>
          <w:rFonts w:asciiTheme="minorHAnsi" w:hAnsiTheme="minorHAnsi" w:cstheme="minorHAnsi"/>
        </w:rPr>
      </w:pPr>
      <w:r w:rsidRPr="00B53E36">
        <w:rPr>
          <w:rFonts w:asciiTheme="minorHAnsi" w:hAnsiTheme="minorHAnsi" w:cstheme="minorHAnsi"/>
        </w:rPr>
        <w:t xml:space="preserve">A core component of using an investment approach at </w:t>
      </w:r>
      <w:r w:rsidR="002473F9">
        <w:rPr>
          <w:rFonts w:asciiTheme="minorHAnsi" w:hAnsiTheme="minorHAnsi" w:cstheme="minorHAnsi"/>
        </w:rPr>
        <w:t>MSD is designing and implementing</w:t>
      </w:r>
      <w:r w:rsidR="00B53E36">
        <w:rPr>
          <w:rFonts w:asciiTheme="minorHAnsi" w:hAnsiTheme="minorHAnsi" w:cstheme="minorHAnsi"/>
        </w:rPr>
        <w:t xml:space="preserve"> trials to test new and innovative approaches and interventions</w:t>
      </w:r>
      <w:r w:rsidR="00D1359C">
        <w:rPr>
          <w:rFonts w:asciiTheme="minorHAnsi" w:hAnsiTheme="minorHAnsi" w:cstheme="minorHAnsi"/>
        </w:rPr>
        <w:t>,</w:t>
      </w:r>
      <w:r w:rsidR="00B53E36">
        <w:rPr>
          <w:rFonts w:asciiTheme="minorHAnsi" w:hAnsiTheme="minorHAnsi" w:cstheme="minorHAnsi"/>
        </w:rPr>
        <w:t xml:space="preserve"> to work with clients </w:t>
      </w:r>
      <w:r w:rsidR="00344402">
        <w:rPr>
          <w:rFonts w:asciiTheme="minorHAnsi" w:hAnsiTheme="minorHAnsi" w:cstheme="minorHAnsi"/>
        </w:rPr>
        <w:t>to improve employment outcomes</w:t>
      </w:r>
      <w:r w:rsidR="00B53E36">
        <w:rPr>
          <w:rFonts w:asciiTheme="minorHAnsi" w:hAnsiTheme="minorHAnsi" w:cstheme="minorHAnsi"/>
        </w:rPr>
        <w:t xml:space="preserve">. </w:t>
      </w:r>
    </w:p>
    <w:p w:rsidR="00F6745D" w:rsidRDefault="00147352" w:rsidP="00FA4D9D">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lastRenderedPageBreak/>
        <w:t xml:space="preserve">MSD </w:t>
      </w:r>
      <w:r w:rsidR="00A23AC0" w:rsidRPr="00E82C89">
        <w:rPr>
          <w:rFonts w:asciiTheme="minorHAnsi" w:hAnsiTheme="minorHAnsi" w:cstheme="minorBidi"/>
          <w:sz w:val="22"/>
          <w:szCs w:val="22"/>
          <w:lang w:eastAsia="en-US"/>
        </w:rPr>
        <w:t xml:space="preserve">has designed and </w:t>
      </w:r>
      <w:r w:rsidR="005B0F45">
        <w:rPr>
          <w:rFonts w:asciiTheme="minorHAnsi" w:hAnsiTheme="minorHAnsi" w:cstheme="minorBidi"/>
          <w:sz w:val="22"/>
          <w:szCs w:val="22"/>
          <w:lang w:eastAsia="en-US"/>
        </w:rPr>
        <w:t xml:space="preserve">implemented a number of trials </w:t>
      </w:r>
      <w:r w:rsidR="003E4E4D">
        <w:rPr>
          <w:rFonts w:asciiTheme="minorHAnsi" w:hAnsiTheme="minorHAnsi" w:cstheme="minorBidi"/>
          <w:sz w:val="22"/>
          <w:szCs w:val="22"/>
          <w:lang w:eastAsia="en-US"/>
        </w:rPr>
        <w:t xml:space="preserve">and interventions </w:t>
      </w:r>
      <w:r w:rsidR="00DC1D28">
        <w:rPr>
          <w:rFonts w:asciiTheme="minorHAnsi" w:hAnsiTheme="minorHAnsi" w:cstheme="minorBidi"/>
          <w:sz w:val="22"/>
          <w:szCs w:val="22"/>
          <w:lang w:eastAsia="en-US"/>
        </w:rPr>
        <w:t xml:space="preserve">(in association with non-government agencies) </w:t>
      </w:r>
      <w:r w:rsidR="00A23AC0" w:rsidRPr="00E82C89">
        <w:rPr>
          <w:rFonts w:asciiTheme="minorHAnsi" w:hAnsiTheme="minorHAnsi" w:cstheme="minorBidi"/>
          <w:sz w:val="22"/>
          <w:szCs w:val="22"/>
          <w:lang w:eastAsia="en-US"/>
        </w:rPr>
        <w:t xml:space="preserve">over the last </w:t>
      </w:r>
      <w:r w:rsidR="001F08E3">
        <w:rPr>
          <w:rFonts w:asciiTheme="minorHAnsi" w:hAnsiTheme="minorHAnsi" w:cstheme="minorBidi"/>
          <w:sz w:val="22"/>
          <w:szCs w:val="22"/>
          <w:lang w:eastAsia="en-US"/>
        </w:rPr>
        <w:t>four</w:t>
      </w:r>
      <w:r w:rsidRPr="00E82C89">
        <w:rPr>
          <w:rFonts w:asciiTheme="minorHAnsi" w:hAnsiTheme="minorHAnsi" w:cstheme="minorBidi"/>
          <w:sz w:val="22"/>
          <w:szCs w:val="22"/>
          <w:lang w:eastAsia="en-US"/>
        </w:rPr>
        <w:t xml:space="preserve"> </w:t>
      </w:r>
      <w:r w:rsidR="00A23AC0" w:rsidRPr="00E82C89">
        <w:rPr>
          <w:rFonts w:asciiTheme="minorHAnsi" w:hAnsiTheme="minorHAnsi" w:cstheme="minorBidi"/>
          <w:sz w:val="22"/>
          <w:szCs w:val="22"/>
          <w:lang w:eastAsia="en-US"/>
        </w:rPr>
        <w:t>years</w:t>
      </w:r>
      <w:r w:rsidR="00B53E36">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specifically focused on improving outcomes for </w:t>
      </w:r>
      <w:r w:rsidR="00B53E36">
        <w:rPr>
          <w:rFonts w:asciiTheme="minorHAnsi" w:hAnsiTheme="minorHAnsi" w:cstheme="minorBidi"/>
          <w:sz w:val="22"/>
          <w:szCs w:val="22"/>
          <w:lang w:eastAsia="en-US"/>
        </w:rPr>
        <w:t>some of our more complex clients</w:t>
      </w:r>
      <w:r w:rsidR="00A23AC0" w:rsidRPr="00E82C89">
        <w:rPr>
          <w:rFonts w:asciiTheme="minorHAnsi" w:hAnsiTheme="minorHAnsi" w:cstheme="minorBidi"/>
          <w:sz w:val="22"/>
          <w:szCs w:val="22"/>
          <w:lang w:eastAsia="en-US"/>
        </w:rPr>
        <w:t xml:space="preserve">. </w:t>
      </w:r>
      <w:r w:rsidR="00B14E8B">
        <w:rPr>
          <w:rFonts w:asciiTheme="minorHAnsi" w:hAnsiTheme="minorHAnsi" w:cstheme="minorBidi"/>
          <w:sz w:val="22"/>
          <w:szCs w:val="22"/>
          <w:lang w:eastAsia="en-US"/>
        </w:rPr>
        <w:t>We are now far eno</w:t>
      </w:r>
      <w:r w:rsidR="00B53E36">
        <w:rPr>
          <w:rFonts w:asciiTheme="minorHAnsi" w:hAnsiTheme="minorHAnsi" w:cstheme="minorBidi"/>
          <w:sz w:val="22"/>
          <w:szCs w:val="22"/>
          <w:lang w:eastAsia="en-US"/>
        </w:rPr>
        <w:t>u</w:t>
      </w:r>
      <w:r w:rsidR="00B14E8B">
        <w:rPr>
          <w:rFonts w:asciiTheme="minorHAnsi" w:hAnsiTheme="minorHAnsi" w:cstheme="minorBidi"/>
          <w:sz w:val="22"/>
          <w:szCs w:val="22"/>
          <w:lang w:eastAsia="en-US"/>
        </w:rPr>
        <w:t xml:space="preserve">gh through these trials to evaluate the </w:t>
      </w:r>
      <w:r w:rsidR="00F6745D">
        <w:rPr>
          <w:rFonts w:asciiTheme="minorHAnsi" w:hAnsiTheme="minorHAnsi" w:cstheme="minorBidi"/>
          <w:sz w:val="22"/>
          <w:szCs w:val="22"/>
          <w:lang w:eastAsia="en-US"/>
        </w:rPr>
        <w:t>preliminary results</w:t>
      </w:r>
      <w:r w:rsidR="00B53E36">
        <w:rPr>
          <w:rFonts w:asciiTheme="minorHAnsi" w:hAnsiTheme="minorHAnsi" w:cstheme="minorBidi"/>
          <w:sz w:val="22"/>
          <w:szCs w:val="22"/>
          <w:lang w:eastAsia="en-US"/>
        </w:rPr>
        <w:t>,</w:t>
      </w:r>
      <w:r w:rsidR="00F6745D">
        <w:rPr>
          <w:rFonts w:asciiTheme="minorHAnsi" w:hAnsiTheme="minorHAnsi" w:cstheme="minorBidi"/>
          <w:sz w:val="22"/>
          <w:szCs w:val="22"/>
          <w:lang w:eastAsia="en-US"/>
        </w:rPr>
        <w:t xml:space="preserve"> </w:t>
      </w:r>
      <w:r w:rsidR="00B14E8B">
        <w:rPr>
          <w:rFonts w:asciiTheme="minorHAnsi" w:hAnsiTheme="minorHAnsi" w:cstheme="minorBidi"/>
          <w:sz w:val="22"/>
          <w:szCs w:val="22"/>
          <w:lang w:eastAsia="en-US"/>
        </w:rPr>
        <w:t xml:space="preserve">which will </w:t>
      </w:r>
      <w:r w:rsidR="00F6745D">
        <w:rPr>
          <w:rFonts w:asciiTheme="minorHAnsi" w:hAnsiTheme="minorHAnsi" w:cstheme="minorBidi"/>
          <w:sz w:val="22"/>
          <w:szCs w:val="22"/>
          <w:lang w:eastAsia="en-US"/>
        </w:rPr>
        <w:t xml:space="preserve">give us an indication of whether these are </w:t>
      </w:r>
      <w:r w:rsidR="00B14E8B">
        <w:rPr>
          <w:rFonts w:asciiTheme="minorHAnsi" w:hAnsiTheme="minorHAnsi" w:cstheme="minorBidi"/>
          <w:sz w:val="22"/>
          <w:szCs w:val="22"/>
          <w:lang w:eastAsia="en-US"/>
        </w:rPr>
        <w:t xml:space="preserve">on track to achieve </w:t>
      </w:r>
      <w:r w:rsidR="00F6745D">
        <w:rPr>
          <w:rFonts w:asciiTheme="minorHAnsi" w:hAnsiTheme="minorHAnsi" w:cstheme="minorBidi"/>
          <w:sz w:val="22"/>
          <w:szCs w:val="22"/>
          <w:lang w:eastAsia="en-US"/>
        </w:rPr>
        <w:t xml:space="preserve">the </w:t>
      </w:r>
      <w:r w:rsidR="00B53E36">
        <w:rPr>
          <w:rFonts w:asciiTheme="minorHAnsi" w:hAnsiTheme="minorHAnsi" w:cstheme="minorBidi"/>
          <w:sz w:val="22"/>
          <w:szCs w:val="22"/>
          <w:lang w:eastAsia="en-US"/>
        </w:rPr>
        <w:t>expected</w:t>
      </w:r>
      <w:r w:rsidR="00B14E8B">
        <w:rPr>
          <w:rFonts w:asciiTheme="minorHAnsi" w:hAnsiTheme="minorHAnsi" w:cstheme="minorBidi"/>
          <w:sz w:val="22"/>
          <w:szCs w:val="22"/>
          <w:lang w:eastAsia="en-US"/>
        </w:rPr>
        <w:t xml:space="preserve"> </w:t>
      </w:r>
      <w:r w:rsidR="00F6745D">
        <w:rPr>
          <w:rFonts w:asciiTheme="minorHAnsi" w:hAnsiTheme="minorHAnsi" w:cstheme="minorBidi"/>
          <w:sz w:val="22"/>
          <w:szCs w:val="22"/>
          <w:lang w:eastAsia="en-US"/>
        </w:rPr>
        <w:t>outcomes</w:t>
      </w:r>
      <w:r w:rsidR="001F08E3">
        <w:rPr>
          <w:rFonts w:asciiTheme="minorHAnsi" w:hAnsiTheme="minorHAnsi" w:cstheme="minorBidi"/>
          <w:sz w:val="22"/>
          <w:szCs w:val="22"/>
          <w:lang w:eastAsia="en-US"/>
        </w:rPr>
        <w:t>, as is the case with the Inten</w:t>
      </w:r>
      <w:r w:rsidR="00D1359C">
        <w:rPr>
          <w:rFonts w:asciiTheme="minorHAnsi" w:hAnsiTheme="minorHAnsi" w:cstheme="minorBidi"/>
          <w:sz w:val="22"/>
          <w:szCs w:val="22"/>
          <w:lang w:eastAsia="en-US"/>
        </w:rPr>
        <w:t>sive Client Support trial, where</w:t>
      </w:r>
      <w:r w:rsidR="001F08E3">
        <w:rPr>
          <w:rFonts w:asciiTheme="minorHAnsi" w:hAnsiTheme="minorHAnsi" w:cstheme="minorBidi"/>
          <w:sz w:val="22"/>
          <w:szCs w:val="22"/>
          <w:lang w:eastAsia="en-US"/>
        </w:rPr>
        <w:t xml:space="preserve"> findings have highlighted positive sustainable employment outcomes for the older (30-39 year olds) cohort</w:t>
      </w:r>
      <w:r w:rsidR="00F6745D">
        <w:rPr>
          <w:rFonts w:asciiTheme="minorHAnsi" w:hAnsiTheme="minorHAnsi" w:cstheme="minorBidi"/>
          <w:sz w:val="22"/>
          <w:szCs w:val="22"/>
          <w:lang w:eastAsia="en-US"/>
        </w:rPr>
        <w:t>.</w:t>
      </w:r>
      <w:r w:rsidR="00D1359C">
        <w:rPr>
          <w:rFonts w:asciiTheme="minorHAnsi" w:hAnsiTheme="minorHAnsi" w:cstheme="minorBidi"/>
          <w:sz w:val="22"/>
          <w:szCs w:val="22"/>
          <w:lang w:eastAsia="en-US"/>
        </w:rPr>
        <w:t xml:space="preserve"> These positive</w:t>
      </w:r>
      <w:r w:rsidR="001F08E3">
        <w:rPr>
          <w:rFonts w:asciiTheme="minorHAnsi" w:hAnsiTheme="minorHAnsi" w:cstheme="minorBidi"/>
          <w:sz w:val="22"/>
          <w:szCs w:val="22"/>
          <w:lang w:eastAsia="en-US"/>
        </w:rPr>
        <w:t xml:space="preserve"> results have prompted a proposal to extend this trial to more clients (currently at 240 in 5 sites to 1,500 in approximately 20 sites).</w:t>
      </w:r>
    </w:p>
    <w:p w:rsidR="002473F9" w:rsidRDefault="002E3E8B" w:rsidP="00FA4D9D">
      <w:pPr>
        <w:pStyle w:val="BodyText1"/>
        <w:autoSpaceDE/>
        <w:autoSpaceDN/>
        <w:rPr>
          <w:rFonts w:asciiTheme="minorHAnsi" w:hAnsiTheme="minorHAnsi" w:cstheme="minorBidi"/>
          <w:sz w:val="22"/>
          <w:szCs w:val="22"/>
          <w:lang w:eastAsia="en-US"/>
        </w:rPr>
      </w:pPr>
      <w:r>
        <w:rPr>
          <w:rFonts w:asciiTheme="minorHAnsi" w:hAnsiTheme="minorHAnsi" w:cstheme="minorBidi"/>
          <w:sz w:val="22"/>
          <w:szCs w:val="22"/>
          <w:lang w:eastAsia="en-US"/>
        </w:rPr>
        <w:t>This year, five</w:t>
      </w:r>
      <w:r w:rsidR="00B17601">
        <w:rPr>
          <w:rFonts w:asciiTheme="minorHAnsi" w:hAnsiTheme="minorHAnsi" w:cstheme="minorBidi"/>
          <w:sz w:val="22"/>
          <w:szCs w:val="22"/>
          <w:lang w:eastAsia="en-US"/>
        </w:rPr>
        <w:t xml:space="preserve"> trials will be evaluated so that MSD can determine</w:t>
      </w:r>
      <w:r w:rsidR="00C46B4C">
        <w:rPr>
          <w:rFonts w:asciiTheme="minorHAnsi" w:hAnsiTheme="minorHAnsi" w:cstheme="minorBidi"/>
          <w:sz w:val="22"/>
          <w:szCs w:val="22"/>
          <w:lang w:eastAsia="en-US"/>
        </w:rPr>
        <w:t xml:space="preserve"> if performance could be improved by scaling</w:t>
      </w:r>
      <w:r w:rsidR="002473F9">
        <w:rPr>
          <w:rFonts w:asciiTheme="minorHAnsi" w:hAnsiTheme="minorHAnsi" w:cstheme="minorBidi"/>
          <w:sz w:val="22"/>
          <w:szCs w:val="22"/>
          <w:lang w:eastAsia="en-US"/>
        </w:rPr>
        <w:t xml:space="preserve"> up the ones that are showing positive outcomes for clients; and likewise, divest investment in those that are not achieving the desired outcomes and shi</w:t>
      </w:r>
      <w:r w:rsidR="00FA4D9D">
        <w:rPr>
          <w:rFonts w:asciiTheme="minorHAnsi" w:hAnsiTheme="minorHAnsi" w:cstheme="minorBidi"/>
          <w:sz w:val="22"/>
          <w:szCs w:val="22"/>
          <w:lang w:eastAsia="en-US"/>
        </w:rPr>
        <w:t>ft this funding towards alternative</w:t>
      </w:r>
      <w:r w:rsidR="002473F9">
        <w:rPr>
          <w:rFonts w:asciiTheme="minorHAnsi" w:hAnsiTheme="minorHAnsi" w:cstheme="minorBidi"/>
          <w:sz w:val="22"/>
          <w:szCs w:val="22"/>
          <w:lang w:eastAsia="en-US"/>
        </w:rPr>
        <w:t xml:space="preserve"> interventions.</w:t>
      </w:r>
    </w:p>
    <w:p w:rsidR="00C3629C" w:rsidRDefault="00C3629C" w:rsidP="00511035">
      <w:pPr>
        <w:pStyle w:val="BodyText1"/>
        <w:autoSpaceDE/>
        <w:autoSpaceDN/>
        <w:rPr>
          <w:rFonts w:asciiTheme="minorHAnsi" w:hAnsiTheme="minorHAnsi" w:cstheme="minorBidi"/>
          <w:sz w:val="22"/>
          <w:szCs w:val="22"/>
          <w:lang w:eastAsia="en-US"/>
        </w:rPr>
        <w:sectPr w:rsidR="00C3629C">
          <w:pgSz w:w="11906" w:h="16838"/>
          <w:pgMar w:top="1440" w:right="1440" w:bottom="1440" w:left="1440" w:header="708" w:footer="708" w:gutter="0"/>
          <w:cols w:space="708"/>
          <w:docGrid w:linePitch="360"/>
        </w:sectPr>
      </w:pPr>
    </w:p>
    <w:p w:rsidR="00A23AC0" w:rsidRPr="0021688B" w:rsidRDefault="00A23AC0" w:rsidP="0021688B">
      <w:pPr>
        <w:rPr>
          <w:b/>
          <w:sz w:val="28"/>
        </w:rPr>
      </w:pPr>
      <w:r w:rsidRPr="00B53E36">
        <w:rPr>
          <w:b/>
          <w:sz w:val="28"/>
        </w:rPr>
        <w:lastRenderedPageBreak/>
        <w:t xml:space="preserve">Part </w:t>
      </w:r>
      <w:r w:rsidR="00C3629C" w:rsidRPr="00B53E36">
        <w:rPr>
          <w:b/>
          <w:sz w:val="28"/>
        </w:rPr>
        <w:t>3</w:t>
      </w:r>
      <w:r w:rsidR="005F386F" w:rsidRPr="00B53E36">
        <w:rPr>
          <w:b/>
          <w:sz w:val="28"/>
        </w:rPr>
        <w:t xml:space="preserve"> </w:t>
      </w:r>
      <w:r w:rsidR="000A477C">
        <w:rPr>
          <w:b/>
          <w:sz w:val="24"/>
          <w:szCs w:val="24"/>
        </w:rPr>
        <w:t>-</w:t>
      </w:r>
      <w:r w:rsidR="0090492A" w:rsidRPr="000A477C">
        <w:rPr>
          <w:b/>
          <w:sz w:val="24"/>
          <w:szCs w:val="24"/>
        </w:rPr>
        <w:t xml:space="preserve"> </w:t>
      </w:r>
      <w:r w:rsidR="00D54AF9">
        <w:rPr>
          <w:b/>
          <w:sz w:val="24"/>
          <w:szCs w:val="24"/>
        </w:rPr>
        <w:t>Investment Plan 2017/18</w:t>
      </w:r>
    </w:p>
    <w:p w:rsidR="00842F50" w:rsidRDefault="00067F26" w:rsidP="005F386F">
      <w:pPr>
        <w:suppressAutoHyphens/>
        <w:autoSpaceDE w:val="0"/>
        <w:autoSpaceDN w:val="0"/>
        <w:adjustRightInd w:val="0"/>
        <w:spacing w:before="120" w:after="0" w:line="240" w:lineRule="auto"/>
        <w:textAlignment w:val="center"/>
        <w:rPr>
          <w:rFonts w:eastAsia="Times New Roman"/>
          <w:b/>
          <w:i/>
          <w:lang w:eastAsia="en-NZ"/>
        </w:rPr>
      </w:pPr>
      <w:r>
        <w:rPr>
          <w:rFonts w:eastAsia="Times New Roman"/>
          <w:b/>
          <w:i/>
          <w:lang w:eastAsia="en-NZ"/>
        </w:rPr>
        <w:t>Key focus for 2017/18</w:t>
      </w:r>
    </w:p>
    <w:p w:rsidR="00376831" w:rsidRDefault="000A477C" w:rsidP="000A477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Service Delivery’s business </w:t>
      </w:r>
      <w:r w:rsidR="00721B38">
        <w:rPr>
          <w:rFonts w:eastAsia="Times New Roman"/>
          <w:lang w:eastAsia="en-NZ"/>
        </w:rPr>
        <w:t xml:space="preserve">continues to be impacted by a series of changes </w:t>
      </w:r>
      <w:r>
        <w:rPr>
          <w:rFonts w:eastAsia="Times New Roman"/>
          <w:lang w:eastAsia="en-NZ"/>
        </w:rPr>
        <w:t>over the coming year, includi</w:t>
      </w:r>
      <w:r w:rsidR="00721B38">
        <w:rPr>
          <w:rFonts w:eastAsia="Times New Roman"/>
          <w:lang w:eastAsia="en-NZ"/>
        </w:rPr>
        <w:t>ng the nex</w:t>
      </w:r>
      <w:r w:rsidR="009B69B1">
        <w:rPr>
          <w:rFonts w:eastAsia="Times New Roman"/>
          <w:lang w:eastAsia="en-NZ"/>
        </w:rPr>
        <w:t>t stages of the Simplification P</w:t>
      </w:r>
      <w:r w:rsidR="00721B38">
        <w:rPr>
          <w:rFonts w:eastAsia="Times New Roman"/>
          <w:lang w:eastAsia="en-NZ"/>
        </w:rPr>
        <w:t xml:space="preserve">rogramme, </w:t>
      </w:r>
      <w:r>
        <w:rPr>
          <w:rFonts w:eastAsia="Times New Roman"/>
          <w:lang w:eastAsia="en-NZ"/>
        </w:rPr>
        <w:t>our develop</w:t>
      </w:r>
      <w:r w:rsidR="009F7C2D">
        <w:rPr>
          <w:rFonts w:eastAsia="Times New Roman"/>
          <w:lang w:eastAsia="en-NZ"/>
        </w:rPr>
        <w:t xml:space="preserve">ing role in Social Housing, </w:t>
      </w:r>
      <w:r w:rsidR="001F1890">
        <w:rPr>
          <w:rFonts w:eastAsia="Times New Roman"/>
          <w:lang w:eastAsia="en-NZ"/>
        </w:rPr>
        <w:t>the creation of the new children’s entity – The Min</w:t>
      </w:r>
      <w:r w:rsidR="00402DC2">
        <w:rPr>
          <w:rFonts w:eastAsia="Times New Roman"/>
          <w:lang w:eastAsia="en-NZ"/>
        </w:rPr>
        <w:t>istry for Vulnerable Children Oran</w:t>
      </w:r>
      <w:r w:rsidR="001F1890">
        <w:rPr>
          <w:rFonts w:eastAsia="Times New Roman"/>
          <w:lang w:eastAsia="en-NZ"/>
        </w:rPr>
        <w:t>ga Tamariki</w:t>
      </w:r>
      <w:r w:rsidR="00721B38">
        <w:rPr>
          <w:rFonts w:eastAsia="Times New Roman"/>
          <w:lang w:eastAsia="en-NZ"/>
        </w:rPr>
        <w:t xml:space="preserve"> – and establishing what MSD will look like following the </w:t>
      </w:r>
      <w:r w:rsidR="00C46B4C">
        <w:rPr>
          <w:rFonts w:eastAsia="Times New Roman"/>
          <w:lang w:eastAsia="en-NZ"/>
        </w:rPr>
        <w:t>structural changes</w:t>
      </w:r>
      <w:r w:rsidR="00376831">
        <w:rPr>
          <w:rFonts w:eastAsia="Times New Roman"/>
          <w:lang w:eastAsia="en-NZ"/>
        </w:rPr>
        <w:t>.</w:t>
      </w:r>
    </w:p>
    <w:p w:rsidR="000A477C" w:rsidRDefault="001E12EA" w:rsidP="000A477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As MSD navigat</w:t>
      </w:r>
      <w:r w:rsidR="00402DC2">
        <w:rPr>
          <w:rFonts w:eastAsia="Times New Roman"/>
          <w:lang w:eastAsia="en-NZ"/>
        </w:rPr>
        <w:t>es through the many changes</w:t>
      </w:r>
      <w:r>
        <w:rPr>
          <w:rFonts w:eastAsia="Times New Roman"/>
          <w:lang w:eastAsia="en-NZ"/>
        </w:rPr>
        <w:t xml:space="preserve"> </w:t>
      </w:r>
      <w:r w:rsidR="0072201E">
        <w:rPr>
          <w:rFonts w:eastAsia="Times New Roman"/>
          <w:lang w:eastAsia="en-NZ"/>
        </w:rPr>
        <w:t xml:space="preserve">that may </w:t>
      </w:r>
      <w:r>
        <w:rPr>
          <w:rFonts w:eastAsia="Times New Roman"/>
          <w:lang w:eastAsia="en-NZ"/>
        </w:rPr>
        <w:t>impact on our ability to deliver services,</w:t>
      </w:r>
      <w:r w:rsidR="000A477C">
        <w:rPr>
          <w:rFonts w:eastAsia="Times New Roman"/>
          <w:lang w:eastAsia="en-NZ"/>
        </w:rPr>
        <w:t xml:space="preserve"> o</w:t>
      </w:r>
      <w:r w:rsidR="00721B38">
        <w:rPr>
          <w:rFonts w:eastAsia="Times New Roman"/>
          <w:lang w:eastAsia="en-NZ"/>
        </w:rPr>
        <w:t>ur biggest challenge continues</w:t>
      </w:r>
      <w:r w:rsidR="000A477C">
        <w:rPr>
          <w:rFonts w:eastAsia="Times New Roman"/>
          <w:lang w:eastAsia="en-NZ"/>
        </w:rPr>
        <w:t xml:space="preserve"> to </w:t>
      </w:r>
      <w:r w:rsidR="00721B38">
        <w:rPr>
          <w:rFonts w:eastAsia="Times New Roman"/>
          <w:lang w:eastAsia="en-NZ"/>
        </w:rPr>
        <w:t xml:space="preserve">be </w:t>
      </w:r>
      <w:r w:rsidR="000A477C">
        <w:rPr>
          <w:rFonts w:eastAsia="Times New Roman"/>
          <w:lang w:eastAsia="en-NZ"/>
        </w:rPr>
        <w:t>maintain</w:t>
      </w:r>
      <w:r w:rsidR="00721B38">
        <w:rPr>
          <w:rFonts w:eastAsia="Times New Roman"/>
          <w:lang w:eastAsia="en-NZ"/>
        </w:rPr>
        <w:t>ing</w:t>
      </w:r>
      <w:r w:rsidR="000A477C">
        <w:rPr>
          <w:rFonts w:eastAsia="Times New Roman"/>
          <w:lang w:eastAsia="en-NZ"/>
        </w:rPr>
        <w:t xml:space="preserve"> current p</w:t>
      </w:r>
      <w:r w:rsidR="009F7C2D">
        <w:rPr>
          <w:rFonts w:eastAsia="Times New Roman"/>
          <w:lang w:eastAsia="en-NZ"/>
        </w:rPr>
        <w:t>erformance standards and achieving</w:t>
      </w:r>
      <w:r w:rsidR="000A477C">
        <w:rPr>
          <w:rFonts w:eastAsia="Times New Roman"/>
          <w:lang w:eastAsia="en-NZ"/>
        </w:rPr>
        <w:t xml:space="preserve"> forecasted outcome</w:t>
      </w:r>
      <w:r w:rsidR="0072567F">
        <w:rPr>
          <w:rFonts w:eastAsia="Times New Roman"/>
          <w:lang w:eastAsia="en-NZ"/>
        </w:rPr>
        <w:t>s. Work to be undertaken in 2017/18</w:t>
      </w:r>
      <w:r w:rsidR="000A477C">
        <w:rPr>
          <w:rFonts w:eastAsia="Times New Roman"/>
          <w:lang w:eastAsia="en-NZ"/>
        </w:rPr>
        <w:t xml:space="preserve"> is expected to help optimise our performance, and set a strong platform for improved performance in future years. </w:t>
      </w:r>
    </w:p>
    <w:p w:rsidR="0024697C" w:rsidRDefault="003555D1" w:rsidP="00182914">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As outlined earlier, </w:t>
      </w:r>
      <w:r w:rsidR="00B51A01">
        <w:rPr>
          <w:rFonts w:eastAsia="Times New Roman"/>
          <w:lang w:eastAsia="en-NZ"/>
        </w:rPr>
        <w:t xml:space="preserve">a </w:t>
      </w:r>
      <w:r w:rsidR="00182914">
        <w:rPr>
          <w:rFonts w:eastAsia="Times New Roman"/>
          <w:lang w:eastAsia="en-NZ"/>
        </w:rPr>
        <w:t>Wor</w:t>
      </w:r>
      <w:r>
        <w:rPr>
          <w:rFonts w:eastAsia="Times New Roman"/>
          <w:lang w:eastAsia="en-NZ"/>
        </w:rPr>
        <w:t xml:space="preserve">k Programme </w:t>
      </w:r>
      <w:r w:rsidR="00B51A01">
        <w:rPr>
          <w:rFonts w:eastAsia="Times New Roman"/>
          <w:lang w:eastAsia="en-NZ"/>
        </w:rPr>
        <w:t>underpins the Strategy and outlines</w:t>
      </w:r>
      <w:r w:rsidR="00182914">
        <w:rPr>
          <w:rFonts w:eastAsia="Times New Roman"/>
          <w:lang w:eastAsia="en-NZ"/>
        </w:rPr>
        <w:t xml:space="preserve"> in </w:t>
      </w:r>
      <w:r w:rsidR="001E12EA">
        <w:rPr>
          <w:rFonts w:eastAsia="Times New Roman"/>
          <w:lang w:eastAsia="en-NZ"/>
        </w:rPr>
        <w:t>more detail the specific programmes and interventions, funded through the M</w:t>
      </w:r>
      <w:r w:rsidR="00182914">
        <w:rPr>
          <w:rFonts w:eastAsia="Times New Roman"/>
          <w:lang w:eastAsia="en-NZ"/>
        </w:rPr>
        <w:t>CA, that will help achieve the outcomes i</w:t>
      </w:r>
      <w:r w:rsidR="00B51A01">
        <w:rPr>
          <w:rFonts w:eastAsia="Times New Roman"/>
          <w:lang w:eastAsia="en-NZ"/>
        </w:rPr>
        <w:t>dentified in the Strategy</w:t>
      </w:r>
      <w:r w:rsidR="001E12EA">
        <w:rPr>
          <w:rFonts w:eastAsia="Times New Roman"/>
          <w:lang w:eastAsia="en-NZ"/>
        </w:rPr>
        <w:t>.</w:t>
      </w:r>
    </w:p>
    <w:p w:rsidR="00182914" w:rsidRPr="0024697C" w:rsidRDefault="0024697C" w:rsidP="0024697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The </w:t>
      </w:r>
      <w:r w:rsidR="00182914">
        <w:rPr>
          <w:rFonts w:eastAsia="Times New Roman"/>
          <w:lang w:eastAsia="en-NZ"/>
        </w:rPr>
        <w:t xml:space="preserve">Work Programme will be developed based on </w:t>
      </w:r>
      <w:r>
        <w:rPr>
          <w:rFonts w:eastAsia="Times New Roman"/>
          <w:lang w:eastAsia="en-NZ"/>
        </w:rPr>
        <w:t>the same sub-groups outlined above, but also accounting for the maintenance of</w:t>
      </w:r>
      <w:r w:rsidR="00182914" w:rsidRPr="0024697C">
        <w:rPr>
          <w:rFonts w:eastAsia="Times New Roman"/>
          <w:lang w:eastAsia="en-NZ"/>
        </w:rPr>
        <w:t xml:space="preserve"> current performance</w:t>
      </w:r>
      <w:r>
        <w:rPr>
          <w:rFonts w:eastAsia="Times New Roman"/>
          <w:lang w:eastAsia="en-NZ"/>
        </w:rPr>
        <w:t>, the d</w:t>
      </w:r>
      <w:r w:rsidR="00182914" w:rsidRPr="0024697C">
        <w:rPr>
          <w:rFonts w:eastAsia="Times New Roman"/>
          <w:lang w:eastAsia="en-NZ"/>
        </w:rPr>
        <w:t>evelopment of an Investment Approac</w:t>
      </w:r>
      <w:r>
        <w:rPr>
          <w:rFonts w:eastAsia="Times New Roman"/>
          <w:lang w:eastAsia="en-NZ"/>
        </w:rPr>
        <w:t>h to improve outcomes for Māori, c</w:t>
      </w:r>
      <w:r w:rsidR="00182914" w:rsidRPr="0024697C">
        <w:rPr>
          <w:rFonts w:eastAsia="Times New Roman"/>
          <w:lang w:eastAsia="en-NZ"/>
        </w:rPr>
        <w:t>ontinued implementation of trials funded through Budget</w:t>
      </w:r>
      <w:r w:rsidR="002D1839" w:rsidRPr="0024697C">
        <w:rPr>
          <w:rFonts w:eastAsia="Times New Roman"/>
          <w:lang w:eastAsia="en-NZ"/>
        </w:rPr>
        <w:t>s</w:t>
      </w:r>
      <w:r w:rsidR="00182914" w:rsidRPr="0024697C">
        <w:rPr>
          <w:rFonts w:eastAsia="Times New Roman"/>
          <w:lang w:eastAsia="en-NZ"/>
        </w:rPr>
        <w:t xml:space="preserve"> 2016</w:t>
      </w:r>
      <w:r w:rsidR="002D1839" w:rsidRPr="0024697C">
        <w:rPr>
          <w:rFonts w:eastAsia="Times New Roman"/>
          <w:lang w:eastAsia="en-NZ"/>
        </w:rPr>
        <w:t xml:space="preserve"> and 2017</w:t>
      </w:r>
      <w:r>
        <w:rPr>
          <w:rFonts w:eastAsia="Times New Roman"/>
          <w:lang w:eastAsia="en-NZ"/>
        </w:rPr>
        <w:t xml:space="preserve"> and aiming to achieve</w:t>
      </w:r>
      <w:r w:rsidR="00182914" w:rsidRPr="0024697C">
        <w:rPr>
          <w:rFonts w:eastAsia="Times New Roman"/>
          <w:lang w:eastAsia="en-NZ"/>
        </w:rPr>
        <w:t xml:space="preserve"> sustainable employment outcomes in a buoyant economy.</w:t>
      </w:r>
    </w:p>
    <w:p w:rsidR="007B277A" w:rsidRPr="007B277A" w:rsidRDefault="00CF3295" w:rsidP="005F386F">
      <w:pPr>
        <w:suppressAutoHyphens/>
        <w:autoSpaceDE w:val="0"/>
        <w:autoSpaceDN w:val="0"/>
        <w:adjustRightInd w:val="0"/>
        <w:spacing w:before="120" w:after="0" w:line="240" w:lineRule="auto"/>
        <w:textAlignment w:val="center"/>
        <w:rPr>
          <w:rFonts w:eastAsia="Times New Roman"/>
          <w:i/>
          <w:lang w:eastAsia="en-NZ"/>
        </w:rPr>
      </w:pPr>
      <w:r>
        <w:rPr>
          <w:rFonts w:eastAsia="Times New Roman"/>
          <w:i/>
          <w:lang w:eastAsia="en-NZ"/>
        </w:rPr>
        <w:t>Operating</w:t>
      </w:r>
      <w:r w:rsidR="002D1839">
        <w:rPr>
          <w:rFonts w:eastAsia="Times New Roman"/>
          <w:i/>
          <w:lang w:eastAsia="en-NZ"/>
        </w:rPr>
        <w:t xml:space="preserve"> landscape</w:t>
      </w:r>
    </w:p>
    <w:p w:rsidR="00376831" w:rsidRDefault="00376831" w:rsidP="005F386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As MSD continues to deliver its supports and services aimed at improving outcomes for our clients, these will be delivered within the backdrop of </w:t>
      </w:r>
      <w:r w:rsidR="009F7C2D">
        <w:rPr>
          <w:rFonts w:eastAsia="Times New Roman"/>
          <w:lang w:eastAsia="en-NZ"/>
        </w:rPr>
        <w:t xml:space="preserve">a </w:t>
      </w:r>
      <w:r>
        <w:rPr>
          <w:rFonts w:eastAsia="Times New Roman"/>
          <w:lang w:eastAsia="en-NZ"/>
        </w:rPr>
        <w:t>growing economy, as Treasury’s H</w:t>
      </w:r>
      <w:r w:rsidR="001E12EA">
        <w:rPr>
          <w:rFonts w:eastAsia="Times New Roman"/>
          <w:lang w:eastAsia="en-NZ"/>
        </w:rPr>
        <w:t>alf-</w:t>
      </w:r>
      <w:r>
        <w:rPr>
          <w:rFonts w:eastAsia="Times New Roman"/>
          <w:lang w:eastAsia="en-NZ"/>
        </w:rPr>
        <w:t>Y</w:t>
      </w:r>
      <w:r w:rsidR="001E12EA">
        <w:rPr>
          <w:rFonts w:eastAsia="Times New Roman"/>
          <w:lang w:eastAsia="en-NZ"/>
        </w:rPr>
        <w:t xml:space="preserve">ear </w:t>
      </w:r>
      <w:r>
        <w:rPr>
          <w:rFonts w:eastAsia="Times New Roman"/>
          <w:lang w:eastAsia="en-NZ"/>
        </w:rPr>
        <w:t>E</w:t>
      </w:r>
      <w:r w:rsidR="001E12EA">
        <w:rPr>
          <w:rFonts w:eastAsia="Times New Roman"/>
          <w:lang w:eastAsia="en-NZ"/>
        </w:rPr>
        <w:t xml:space="preserve">conomic and </w:t>
      </w:r>
      <w:r>
        <w:rPr>
          <w:rFonts w:eastAsia="Times New Roman"/>
          <w:lang w:eastAsia="en-NZ"/>
        </w:rPr>
        <w:t>F</w:t>
      </w:r>
      <w:r w:rsidR="001E12EA">
        <w:rPr>
          <w:rFonts w:eastAsia="Times New Roman"/>
          <w:lang w:eastAsia="en-NZ"/>
        </w:rPr>
        <w:t xml:space="preserve">iscal </w:t>
      </w:r>
      <w:r>
        <w:rPr>
          <w:rFonts w:eastAsia="Times New Roman"/>
          <w:lang w:eastAsia="en-NZ"/>
        </w:rPr>
        <w:t>U</w:t>
      </w:r>
      <w:r w:rsidR="001E12EA">
        <w:rPr>
          <w:rFonts w:eastAsia="Times New Roman"/>
          <w:lang w:eastAsia="en-NZ"/>
        </w:rPr>
        <w:t>pdate</w:t>
      </w:r>
      <w:r>
        <w:rPr>
          <w:rFonts w:eastAsia="Times New Roman"/>
          <w:lang w:eastAsia="en-NZ"/>
        </w:rPr>
        <w:t xml:space="preserve"> forecast expect population growth, construction growth, low interest rates and stronger export earnings over the next three years.</w:t>
      </w:r>
    </w:p>
    <w:p w:rsidR="00376831" w:rsidRDefault="00376831" w:rsidP="005F386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New Zealand’s population is growing at 2.1% per annum, the highest rate since 1974. This is driven by a combination of natural population growth and record levels of migration. Although </w:t>
      </w:r>
      <w:r w:rsidR="0013779F">
        <w:rPr>
          <w:rFonts w:eastAsia="Times New Roman"/>
          <w:lang w:eastAsia="en-NZ"/>
        </w:rPr>
        <w:t xml:space="preserve">population growth </w:t>
      </w:r>
      <w:r>
        <w:rPr>
          <w:rFonts w:eastAsia="Times New Roman"/>
          <w:lang w:eastAsia="en-NZ"/>
        </w:rPr>
        <w:t xml:space="preserve">supports economic growth, it also creates more competition for beneficiaries </w:t>
      </w:r>
      <w:r w:rsidR="008F6825">
        <w:rPr>
          <w:rFonts w:eastAsia="Times New Roman"/>
          <w:lang w:eastAsia="en-NZ"/>
        </w:rPr>
        <w:t xml:space="preserve">who are </w:t>
      </w:r>
      <w:r>
        <w:rPr>
          <w:rFonts w:eastAsia="Times New Roman"/>
          <w:lang w:eastAsia="en-NZ"/>
        </w:rPr>
        <w:t>looking to enter</w:t>
      </w:r>
      <w:r w:rsidR="0013779F">
        <w:rPr>
          <w:rFonts w:eastAsia="Times New Roman"/>
          <w:lang w:eastAsia="en-NZ"/>
        </w:rPr>
        <w:t xml:space="preserve"> into employment</w:t>
      </w:r>
      <w:r w:rsidR="008F6825">
        <w:rPr>
          <w:rFonts w:eastAsia="Times New Roman"/>
          <w:lang w:eastAsia="en-NZ"/>
        </w:rPr>
        <w:t>,</w:t>
      </w:r>
      <w:r w:rsidR="0013779F">
        <w:rPr>
          <w:rFonts w:eastAsia="Times New Roman"/>
          <w:lang w:eastAsia="en-NZ"/>
        </w:rPr>
        <w:t xml:space="preserve"> as there are </w:t>
      </w:r>
      <w:r w:rsidR="008F6825">
        <w:rPr>
          <w:rFonts w:eastAsia="Times New Roman"/>
          <w:lang w:eastAsia="en-NZ"/>
        </w:rPr>
        <w:t xml:space="preserve">now </w:t>
      </w:r>
      <w:r w:rsidR="0013779F">
        <w:rPr>
          <w:rFonts w:eastAsia="Times New Roman"/>
          <w:lang w:eastAsia="en-NZ"/>
        </w:rPr>
        <w:t xml:space="preserve">more people seeking employment. </w:t>
      </w:r>
    </w:p>
    <w:p w:rsidR="0013779F" w:rsidRDefault="00320249" w:rsidP="005F386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Many</w:t>
      </w:r>
      <w:r w:rsidR="0013779F">
        <w:rPr>
          <w:rFonts w:eastAsia="Times New Roman"/>
          <w:lang w:eastAsia="en-NZ"/>
        </w:rPr>
        <w:t xml:space="preserve"> beneficiaries leave benefit for low and medium skilled jobs, consequently competing with low-skilled migrants and people on working holiday visas for existing low and semi-skilled jobs. The Ministry of Business, Innovation and Employment forecast that the economy will add around 55,000 low and semi-skilled jobs over the next three years (18,000 per year), creating significant opportunities for MSD to help our clients into these and other jobs over the next few years.</w:t>
      </w:r>
    </w:p>
    <w:p w:rsidR="00B7530D" w:rsidRDefault="00B7530D" w:rsidP="005F386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In addition, there are housing pressures in most regions with booming labour markets, particularly in Auckland, which adds another element to an already complex situation.</w:t>
      </w:r>
    </w:p>
    <w:p w:rsidR="005F386F" w:rsidRDefault="00CF3295" w:rsidP="005F386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With this operating landscape in mind</w:t>
      </w:r>
      <w:r w:rsidR="003963A3">
        <w:rPr>
          <w:rFonts w:eastAsia="Times New Roman"/>
          <w:lang w:eastAsia="en-NZ"/>
        </w:rPr>
        <w:t>, the</w:t>
      </w:r>
      <w:r w:rsidR="00C04299">
        <w:rPr>
          <w:rFonts w:eastAsia="Times New Roman"/>
          <w:lang w:eastAsia="en-NZ"/>
        </w:rPr>
        <w:t>re are a number of areas MSD will</w:t>
      </w:r>
      <w:r w:rsidR="000A477C">
        <w:rPr>
          <w:rFonts w:eastAsia="Times New Roman"/>
          <w:lang w:eastAsia="en-NZ"/>
        </w:rPr>
        <w:t xml:space="preserve"> start</w:t>
      </w:r>
      <w:r w:rsidR="003963A3">
        <w:rPr>
          <w:rFonts w:eastAsia="Times New Roman"/>
          <w:lang w:eastAsia="en-NZ"/>
        </w:rPr>
        <w:t xml:space="preserve"> b</w:t>
      </w:r>
      <w:r w:rsidR="00721B38">
        <w:rPr>
          <w:rFonts w:eastAsia="Times New Roman"/>
          <w:lang w:eastAsia="en-NZ"/>
        </w:rPr>
        <w:t>uilding for investment from 2018/19</w:t>
      </w:r>
      <w:r w:rsidR="003963A3">
        <w:rPr>
          <w:rFonts w:eastAsia="Times New Roman"/>
          <w:lang w:eastAsia="en-NZ"/>
        </w:rPr>
        <w:t xml:space="preserve"> onwards.</w:t>
      </w:r>
      <w:r w:rsidR="005F386F">
        <w:rPr>
          <w:rFonts w:eastAsia="Times New Roman"/>
          <w:lang w:eastAsia="en-NZ"/>
        </w:rPr>
        <w:t xml:space="preserve"> </w:t>
      </w:r>
    </w:p>
    <w:p w:rsidR="00620AAC" w:rsidRPr="003A29EB" w:rsidRDefault="00620AAC" w:rsidP="00620AAC">
      <w:pPr>
        <w:suppressAutoHyphens/>
        <w:autoSpaceDE w:val="0"/>
        <w:autoSpaceDN w:val="0"/>
        <w:adjustRightInd w:val="0"/>
        <w:spacing w:before="120" w:after="0" w:line="240" w:lineRule="auto"/>
        <w:textAlignment w:val="center"/>
        <w:rPr>
          <w:rFonts w:eastAsia="Times New Roman"/>
          <w:i/>
          <w:lang w:eastAsia="en-NZ"/>
        </w:rPr>
      </w:pPr>
      <w:r w:rsidRPr="003A29EB">
        <w:rPr>
          <w:rFonts w:eastAsia="Times New Roman"/>
          <w:i/>
          <w:lang w:eastAsia="en-NZ"/>
        </w:rPr>
        <w:t>Client segmentation</w:t>
      </w:r>
    </w:p>
    <w:p w:rsidR="00620AAC" w:rsidRDefault="00620AAC" w:rsidP="00620AA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An essential component of the investment approach is client segmentation. </w:t>
      </w:r>
      <w:r w:rsidRPr="003A29EB">
        <w:rPr>
          <w:rFonts w:eastAsia="Times New Roman"/>
          <w:lang w:eastAsia="en-NZ"/>
        </w:rPr>
        <w:t xml:space="preserve">The segmentation process uses statistical modelling to group clients into “cohorts” with similar characteristics, patterns of service use and needs, to allow an assessment of the future levels of benefit receipt and long-term cost of different segments in the benefit population. </w:t>
      </w:r>
      <w:r>
        <w:rPr>
          <w:rFonts w:eastAsia="Times New Roman"/>
          <w:lang w:eastAsia="en-NZ"/>
        </w:rPr>
        <w:t xml:space="preserve">Segmentation helps us to understand the drivers of benefit receipt and the impact of our interventions and implication of the wider economy, allowing is to respond accordingly. </w:t>
      </w:r>
    </w:p>
    <w:p w:rsidR="00620AAC" w:rsidRPr="003A29EB" w:rsidRDefault="00620AAC" w:rsidP="00620AA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lastRenderedPageBreak/>
        <w:t>Segmentation</w:t>
      </w:r>
      <w:r w:rsidRPr="003A29EB">
        <w:rPr>
          <w:rFonts w:eastAsia="Times New Roman"/>
          <w:lang w:eastAsia="en-NZ"/>
        </w:rPr>
        <w:t xml:space="preserve"> analysis has </w:t>
      </w:r>
      <w:r>
        <w:rPr>
          <w:rFonts w:eastAsia="Times New Roman"/>
          <w:lang w:eastAsia="en-NZ"/>
        </w:rPr>
        <w:t xml:space="preserve">also </w:t>
      </w:r>
      <w:r w:rsidRPr="003A29EB">
        <w:rPr>
          <w:rFonts w:eastAsia="Times New Roman"/>
          <w:lang w:eastAsia="en-NZ"/>
        </w:rPr>
        <w:t>improved MSD’s understanding of the drivers of long-term depe</w:t>
      </w:r>
      <w:r w:rsidR="00F21A1A">
        <w:rPr>
          <w:rFonts w:eastAsia="Times New Roman"/>
          <w:lang w:eastAsia="en-NZ"/>
        </w:rPr>
        <w:t xml:space="preserve">ndency – age of the client, other demographics and </w:t>
      </w:r>
      <w:r w:rsidRPr="003A29EB">
        <w:rPr>
          <w:rFonts w:eastAsia="Times New Roman"/>
          <w:lang w:eastAsia="en-NZ"/>
        </w:rPr>
        <w:t xml:space="preserve">prior patterns of benefit receipt. </w:t>
      </w:r>
    </w:p>
    <w:p w:rsidR="00620AAC" w:rsidRPr="003A29EB" w:rsidRDefault="00620AAC" w:rsidP="00620AAC">
      <w:pPr>
        <w:suppressAutoHyphens/>
        <w:autoSpaceDE w:val="0"/>
        <w:autoSpaceDN w:val="0"/>
        <w:adjustRightInd w:val="0"/>
        <w:spacing w:before="120" w:after="0" w:line="240" w:lineRule="auto"/>
        <w:textAlignment w:val="center"/>
        <w:rPr>
          <w:rFonts w:eastAsia="Times New Roman"/>
          <w:lang w:eastAsia="en-NZ"/>
        </w:rPr>
      </w:pPr>
      <w:r w:rsidRPr="003A29EB">
        <w:rPr>
          <w:rFonts w:eastAsia="Times New Roman"/>
          <w:lang w:eastAsia="en-NZ"/>
        </w:rPr>
        <w:t>MSD is constantly analysing the data and information available and searching for</w:t>
      </w:r>
      <w:r w:rsidR="00F21A1A">
        <w:rPr>
          <w:rFonts w:eastAsia="Times New Roman"/>
          <w:lang w:eastAsia="en-NZ"/>
        </w:rPr>
        <w:t xml:space="preserve"> the cohorts of clients that we need</w:t>
      </w:r>
      <w:r w:rsidRPr="003A29EB">
        <w:rPr>
          <w:rFonts w:eastAsia="Times New Roman"/>
          <w:lang w:eastAsia="en-NZ"/>
        </w:rPr>
        <w:t xml:space="preserve"> to focus on more closely. Below is a model of client segmentation into cohorts with different levels of risk and amenability to services.</w:t>
      </w:r>
    </w:p>
    <w:p w:rsidR="00620AAC" w:rsidRPr="00A526D4" w:rsidRDefault="009125F6" w:rsidP="00620AAC">
      <w:pPr>
        <w:pStyle w:val="ReportBody"/>
        <w:tabs>
          <w:tab w:val="clear" w:pos="397"/>
        </w:tabs>
        <w:ind w:left="493" w:firstLine="0"/>
        <w:jc w:val="center"/>
        <w:rPr>
          <w:rFonts w:asciiTheme="minorHAnsi" w:hAnsiTheme="minorHAnsi" w:cstheme="minorHAnsi"/>
          <w:sz w:val="24"/>
          <w:szCs w:val="24"/>
          <w:highlight w:val="lightGray"/>
        </w:rPr>
      </w:pPr>
      <w:r w:rsidRPr="009125F6">
        <w:rPr>
          <w:noProof/>
          <w:highlight w:val="lightGray"/>
          <w:lang w:eastAsia="en-NZ"/>
        </w:rPr>
        <w:drawing>
          <wp:inline distT="0" distB="0" distL="0" distR="0">
            <wp:extent cx="4594860" cy="1859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4860" cy="1859280"/>
                    </a:xfrm>
                    <a:prstGeom prst="rect">
                      <a:avLst/>
                    </a:prstGeom>
                    <a:noFill/>
                    <a:ln>
                      <a:noFill/>
                    </a:ln>
                  </pic:spPr>
                </pic:pic>
              </a:graphicData>
            </a:graphic>
          </wp:inline>
        </w:drawing>
      </w:r>
    </w:p>
    <w:p w:rsidR="003555D1" w:rsidRDefault="003555D1" w:rsidP="00620AA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 good example of how we have used client segmentation is the identification of early entrants into the benefit system, and the subsequent development of the Intensive Client Support trial that is having a positive impact on clients aged 30-39.</w:t>
      </w:r>
    </w:p>
    <w:p w:rsidR="00620AAC" w:rsidRDefault="00620AAC" w:rsidP="00620AA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 </w:t>
      </w:r>
      <w:r w:rsidRPr="003A29EB">
        <w:rPr>
          <w:rFonts w:eastAsia="Times New Roman"/>
          <w:lang w:eastAsia="en-NZ"/>
        </w:rPr>
        <w:t>second predictiv</w:t>
      </w:r>
      <w:r w:rsidR="003555D1">
        <w:rPr>
          <w:rFonts w:eastAsia="Times New Roman"/>
          <w:lang w:eastAsia="en-NZ"/>
        </w:rPr>
        <w:t>e model, the Service Effectiveness Model (SE</w:t>
      </w:r>
      <w:r w:rsidRPr="003A29EB">
        <w:rPr>
          <w:rFonts w:eastAsia="Times New Roman"/>
          <w:lang w:eastAsia="en-NZ"/>
        </w:rPr>
        <w:t>M</w:t>
      </w:r>
      <w:r>
        <w:rPr>
          <w:rFonts w:eastAsia="Times New Roman"/>
          <w:lang w:eastAsia="en-NZ"/>
        </w:rPr>
        <w:t>)</w:t>
      </w:r>
      <w:r w:rsidRPr="00CE61C2">
        <w:rPr>
          <w:rFonts w:eastAsia="Times New Roman"/>
          <w:lang w:eastAsia="en-NZ"/>
        </w:rPr>
        <w:t xml:space="preserve"> </w:t>
      </w:r>
      <w:r>
        <w:rPr>
          <w:rFonts w:eastAsia="Times New Roman"/>
          <w:lang w:eastAsia="en-NZ"/>
        </w:rPr>
        <w:t xml:space="preserve">is </w:t>
      </w:r>
      <w:r w:rsidRPr="003A29EB">
        <w:rPr>
          <w:rFonts w:eastAsia="Times New Roman"/>
          <w:lang w:eastAsia="en-NZ"/>
        </w:rPr>
        <w:t>being designed</w:t>
      </w:r>
      <w:r>
        <w:rPr>
          <w:rFonts w:eastAsia="Times New Roman"/>
          <w:lang w:eastAsia="en-NZ"/>
        </w:rPr>
        <w:t>, to work alongside the LET model</w:t>
      </w:r>
      <w:r w:rsidR="003555D1">
        <w:rPr>
          <w:rFonts w:eastAsia="Times New Roman"/>
          <w:lang w:eastAsia="en-NZ"/>
        </w:rPr>
        <w:t>. The SE</w:t>
      </w:r>
      <w:r w:rsidRPr="003A29EB">
        <w:rPr>
          <w:rFonts w:eastAsia="Times New Roman"/>
          <w:lang w:eastAsia="en-NZ"/>
        </w:rPr>
        <w:t xml:space="preserve">M will predict which case management service will provide the largest reduction in a client’s future benefit costs or LET score over a two-year period in each case management service. The two models should provide MSD with a best prediction on the optimum level </w:t>
      </w:r>
      <w:r>
        <w:rPr>
          <w:rFonts w:eastAsia="Times New Roman"/>
          <w:lang w:eastAsia="en-NZ"/>
        </w:rPr>
        <w:t xml:space="preserve">of support a client requires </w:t>
      </w:r>
      <w:proofErr w:type="gramStart"/>
      <w:r>
        <w:rPr>
          <w:rFonts w:eastAsia="Times New Roman"/>
          <w:lang w:eastAsia="en-NZ"/>
        </w:rPr>
        <w:t xml:space="preserve">to </w:t>
      </w:r>
      <w:r w:rsidRPr="003A29EB">
        <w:rPr>
          <w:rFonts w:eastAsia="Times New Roman"/>
          <w:lang w:eastAsia="en-NZ"/>
        </w:rPr>
        <w:t>achieve</w:t>
      </w:r>
      <w:proofErr w:type="gramEnd"/>
      <w:r w:rsidRPr="003A29EB">
        <w:rPr>
          <w:rFonts w:eastAsia="Times New Roman"/>
          <w:lang w:eastAsia="en-NZ"/>
        </w:rPr>
        <w:t xml:space="preserve"> an outcome. </w:t>
      </w:r>
    </w:p>
    <w:p w:rsidR="00620AAC" w:rsidRPr="003A29EB" w:rsidRDefault="00620AAC" w:rsidP="00620AAC">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As we have improved our understanding of segmenting clients into segments and cohorts, the actuaries, in conjunction with the Client Segmentation Team, have proposed a new approach to segmenting clients, focusing more on the person and the drivers of their risk of long-term benefit receipt.</w:t>
      </w:r>
    </w:p>
    <w:p w:rsidR="005952EA" w:rsidRPr="00A71B5B" w:rsidRDefault="005952EA" w:rsidP="005952EA">
      <w:pPr>
        <w:suppressAutoHyphens/>
        <w:autoSpaceDE w:val="0"/>
        <w:autoSpaceDN w:val="0"/>
        <w:adjustRightInd w:val="0"/>
        <w:spacing w:before="120" w:after="0" w:line="240" w:lineRule="auto"/>
        <w:textAlignment w:val="center"/>
        <w:rPr>
          <w:rFonts w:eastAsia="Times New Roman"/>
          <w:b/>
          <w:lang w:eastAsia="en-NZ"/>
        </w:rPr>
      </w:pPr>
      <w:r w:rsidRPr="00A71B5B">
        <w:rPr>
          <w:rFonts w:eastAsia="Times New Roman"/>
          <w:b/>
          <w:lang w:eastAsia="en-NZ"/>
        </w:rPr>
        <w:t>Clients with Complex Barriers to Employment</w:t>
      </w:r>
    </w:p>
    <w:p w:rsidR="00E545A8" w:rsidRDefault="00CF3295" w:rsidP="005952E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As the latest valuations have demonstrated</w:t>
      </w:r>
      <w:r w:rsidR="004C6FA7">
        <w:rPr>
          <w:rFonts w:eastAsia="Times New Roman"/>
          <w:lang w:eastAsia="en-NZ"/>
        </w:rPr>
        <w:t xml:space="preserve">, our current supports and services are achieving positive off-benefit outcomes for many of our clients, specifically jobseekers under 1 year and </w:t>
      </w:r>
      <w:r>
        <w:rPr>
          <w:rFonts w:eastAsia="Times New Roman"/>
          <w:lang w:eastAsia="en-NZ"/>
        </w:rPr>
        <w:t xml:space="preserve">most </w:t>
      </w:r>
      <w:r w:rsidR="004C6FA7">
        <w:rPr>
          <w:rFonts w:eastAsia="Times New Roman"/>
          <w:lang w:eastAsia="en-NZ"/>
        </w:rPr>
        <w:t>sole parents. However, these same services are not having the same impact for those clients that have more complex barriers to employment, due to their underlying health or disability conditions, or limited educational levels or skil</w:t>
      </w:r>
      <w:r>
        <w:rPr>
          <w:rFonts w:eastAsia="Times New Roman"/>
          <w:lang w:eastAsia="en-NZ"/>
        </w:rPr>
        <w:t>ls. Essentially, this translates to a number of our clients being</w:t>
      </w:r>
      <w:r w:rsidR="004C6FA7">
        <w:rPr>
          <w:rFonts w:eastAsia="Times New Roman"/>
          <w:lang w:eastAsia="en-NZ"/>
        </w:rPr>
        <w:t xml:space="preserve"> far removed from the labour market, and our current port</w:t>
      </w:r>
      <w:r w:rsidR="00E545A8">
        <w:rPr>
          <w:rFonts w:eastAsia="Times New Roman"/>
          <w:lang w:eastAsia="en-NZ"/>
        </w:rPr>
        <w:t xml:space="preserve">folio of services will not completely prepare them for the </w:t>
      </w:r>
      <w:r w:rsidR="00F86078">
        <w:rPr>
          <w:rFonts w:eastAsia="Times New Roman"/>
          <w:lang w:eastAsia="en-NZ"/>
        </w:rPr>
        <w:t>existing</w:t>
      </w:r>
      <w:r w:rsidR="00E545A8">
        <w:rPr>
          <w:rFonts w:eastAsia="Times New Roman"/>
          <w:lang w:eastAsia="en-NZ"/>
        </w:rPr>
        <w:t xml:space="preserve"> labour market. </w:t>
      </w:r>
    </w:p>
    <w:p w:rsidR="00E545A8" w:rsidRPr="005952EA" w:rsidRDefault="00E545A8" w:rsidP="005952E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As such, </w:t>
      </w:r>
      <w:r w:rsidR="00CF3295">
        <w:rPr>
          <w:rFonts w:eastAsia="Times New Roman"/>
          <w:lang w:eastAsia="en-NZ"/>
        </w:rPr>
        <w:t>the Strategy will focus on health and disability clients, intergenerational early entrant clients and Māori clients</w:t>
      </w:r>
      <w:r>
        <w:rPr>
          <w:rFonts w:eastAsia="Times New Roman"/>
          <w:lang w:eastAsia="en-NZ"/>
        </w:rPr>
        <w:t>.</w:t>
      </w:r>
    </w:p>
    <w:p w:rsidR="009125F6" w:rsidRDefault="005952EA" w:rsidP="00A71B5B">
      <w:pPr>
        <w:suppressAutoHyphens/>
        <w:autoSpaceDE w:val="0"/>
        <w:autoSpaceDN w:val="0"/>
        <w:adjustRightInd w:val="0"/>
        <w:spacing w:before="120" w:after="0" w:line="240" w:lineRule="auto"/>
        <w:textAlignment w:val="center"/>
        <w:rPr>
          <w:rFonts w:eastAsia="Times New Roman"/>
          <w:i/>
          <w:lang w:eastAsia="en-NZ"/>
        </w:rPr>
      </w:pPr>
      <w:r w:rsidRPr="005952EA">
        <w:rPr>
          <w:rFonts w:eastAsia="Times New Roman"/>
          <w:i/>
          <w:lang w:eastAsia="en-NZ"/>
        </w:rPr>
        <w:t>Health and Disability clients</w:t>
      </w:r>
    </w:p>
    <w:p w:rsidR="005952EA" w:rsidRPr="009125F6" w:rsidRDefault="00394CF9" w:rsidP="00A71B5B">
      <w:pPr>
        <w:suppressAutoHyphens/>
        <w:autoSpaceDE w:val="0"/>
        <w:autoSpaceDN w:val="0"/>
        <w:adjustRightInd w:val="0"/>
        <w:spacing w:before="120" w:after="0" w:line="240" w:lineRule="auto"/>
        <w:textAlignment w:val="center"/>
        <w:rPr>
          <w:rFonts w:eastAsia="Times New Roman"/>
          <w:i/>
          <w:lang w:eastAsia="en-NZ"/>
        </w:rPr>
      </w:pPr>
      <w:r>
        <w:rPr>
          <w:rFonts w:eastAsia="Times New Roman"/>
          <w:lang w:eastAsia="en-NZ"/>
        </w:rPr>
        <w:t xml:space="preserve">MSD is </w:t>
      </w:r>
      <w:r w:rsidR="00F21A1A">
        <w:rPr>
          <w:rFonts w:eastAsia="Times New Roman"/>
          <w:lang w:eastAsia="en-NZ"/>
        </w:rPr>
        <w:t>continuing</w:t>
      </w:r>
      <w:r w:rsidR="00DC2253">
        <w:rPr>
          <w:rFonts w:eastAsia="Times New Roman"/>
          <w:lang w:eastAsia="en-NZ"/>
        </w:rPr>
        <w:t xml:space="preserve"> to </w:t>
      </w:r>
      <w:r>
        <w:rPr>
          <w:rFonts w:eastAsia="Times New Roman"/>
          <w:lang w:eastAsia="en-NZ"/>
        </w:rPr>
        <w:t>focus</w:t>
      </w:r>
      <w:r w:rsidR="005952EA" w:rsidRPr="00A71B5B">
        <w:rPr>
          <w:rFonts w:eastAsia="Times New Roman"/>
          <w:lang w:eastAsia="en-NZ"/>
        </w:rPr>
        <w:t xml:space="preserve"> on developing </w:t>
      </w:r>
      <w:r w:rsidR="00DC2253">
        <w:rPr>
          <w:rFonts w:eastAsia="Times New Roman"/>
          <w:lang w:eastAsia="en-NZ"/>
        </w:rPr>
        <w:t>(through trials</w:t>
      </w:r>
      <w:r w:rsidR="00514B67">
        <w:rPr>
          <w:rFonts w:eastAsia="Times New Roman"/>
          <w:lang w:eastAsia="en-NZ"/>
        </w:rPr>
        <w:t xml:space="preserve"> and prototypes</w:t>
      </w:r>
      <w:r w:rsidR="00DC2253">
        <w:rPr>
          <w:rFonts w:eastAsia="Times New Roman"/>
          <w:lang w:eastAsia="en-NZ"/>
        </w:rPr>
        <w:t xml:space="preserve">) </w:t>
      </w:r>
      <w:r w:rsidR="005952EA" w:rsidRPr="00A71B5B">
        <w:rPr>
          <w:rFonts w:eastAsia="Times New Roman"/>
          <w:lang w:eastAsia="en-NZ"/>
        </w:rPr>
        <w:t xml:space="preserve">more effective service interventions in 2017/18 for </w:t>
      </w:r>
      <w:r w:rsidR="00402DC2">
        <w:rPr>
          <w:rFonts w:eastAsia="Times New Roman"/>
          <w:lang w:eastAsia="en-NZ"/>
        </w:rPr>
        <w:t>Jobseeker Support - Health Condition, Injury or Disability (</w:t>
      </w:r>
      <w:r w:rsidR="005952EA" w:rsidRPr="00A71B5B">
        <w:rPr>
          <w:rFonts w:eastAsia="Times New Roman"/>
          <w:lang w:eastAsia="en-NZ"/>
        </w:rPr>
        <w:t>JS-HCD</w:t>
      </w:r>
      <w:r w:rsidR="00402DC2">
        <w:rPr>
          <w:rFonts w:eastAsia="Times New Roman"/>
          <w:lang w:eastAsia="en-NZ"/>
        </w:rPr>
        <w:t>)</w:t>
      </w:r>
      <w:r w:rsidR="005952EA" w:rsidRPr="00A71B5B">
        <w:rPr>
          <w:rFonts w:eastAsia="Times New Roman"/>
          <w:lang w:eastAsia="en-NZ"/>
        </w:rPr>
        <w:t xml:space="preserve"> and </w:t>
      </w:r>
      <w:r w:rsidR="00402DC2">
        <w:rPr>
          <w:rFonts w:eastAsia="Times New Roman"/>
          <w:lang w:eastAsia="en-NZ"/>
        </w:rPr>
        <w:t>Supported Living Payment - Health Condition, Injury or Disability (</w:t>
      </w:r>
      <w:r w:rsidR="005952EA" w:rsidRPr="00A71B5B">
        <w:rPr>
          <w:rFonts w:eastAsia="Times New Roman"/>
          <w:lang w:eastAsia="en-NZ"/>
        </w:rPr>
        <w:t>SLP-HCD</w:t>
      </w:r>
      <w:r w:rsidR="00402DC2">
        <w:rPr>
          <w:rFonts w:eastAsia="Times New Roman"/>
          <w:lang w:eastAsia="en-NZ"/>
        </w:rPr>
        <w:t>)</w:t>
      </w:r>
      <w:r w:rsidR="005952EA" w:rsidRPr="00A71B5B">
        <w:rPr>
          <w:rFonts w:eastAsia="Times New Roman"/>
          <w:lang w:eastAsia="en-NZ"/>
        </w:rPr>
        <w:t xml:space="preserve"> clients, as analysis shows these are groups </w:t>
      </w:r>
      <w:r w:rsidR="00F81A01">
        <w:rPr>
          <w:rFonts w:eastAsia="Times New Roman"/>
          <w:lang w:eastAsia="en-NZ"/>
        </w:rPr>
        <w:t xml:space="preserve">who </w:t>
      </w:r>
      <w:r w:rsidR="005952EA" w:rsidRPr="00A71B5B">
        <w:rPr>
          <w:rFonts w:eastAsia="Times New Roman"/>
          <w:lang w:eastAsia="en-NZ"/>
        </w:rPr>
        <w:t>could m</w:t>
      </w:r>
      <w:r w:rsidR="00F81A01">
        <w:rPr>
          <w:rFonts w:eastAsia="Times New Roman"/>
          <w:lang w:eastAsia="en-NZ"/>
        </w:rPr>
        <w:t>ove into sustainable employment with</w:t>
      </w:r>
      <w:r w:rsidR="00F21A1A">
        <w:rPr>
          <w:rFonts w:eastAsia="Times New Roman"/>
          <w:lang w:eastAsia="en-NZ"/>
        </w:rPr>
        <w:t xml:space="preserve"> the right supports and service</w:t>
      </w:r>
      <w:r w:rsidR="00F81A01" w:rsidRPr="00A71B5B">
        <w:rPr>
          <w:rFonts w:eastAsia="Times New Roman"/>
          <w:lang w:eastAsia="en-NZ"/>
        </w:rPr>
        <w:t xml:space="preserve"> interventions</w:t>
      </w:r>
      <w:r w:rsidR="00514B67">
        <w:rPr>
          <w:rFonts w:eastAsia="Times New Roman"/>
          <w:lang w:eastAsia="en-NZ"/>
        </w:rPr>
        <w:t xml:space="preserve"> (and these clients are at risk of long-term benefit dependency with the associated costs of remaining on benefit for extended periods of time)</w:t>
      </w:r>
      <w:r w:rsidR="00F81A01">
        <w:rPr>
          <w:rFonts w:eastAsia="Times New Roman"/>
          <w:lang w:eastAsia="en-NZ"/>
        </w:rPr>
        <w:t>.</w:t>
      </w:r>
    </w:p>
    <w:p w:rsidR="00E30F15" w:rsidRPr="00E30F15" w:rsidRDefault="00E30F15" w:rsidP="00E30F15">
      <w:pPr>
        <w:suppressAutoHyphens/>
        <w:autoSpaceDE w:val="0"/>
        <w:autoSpaceDN w:val="0"/>
        <w:adjustRightInd w:val="0"/>
        <w:spacing w:before="120" w:after="0" w:line="240" w:lineRule="auto"/>
        <w:textAlignment w:val="center"/>
        <w:rPr>
          <w:rFonts w:eastAsia="Times New Roman"/>
          <w:lang w:eastAsia="en-NZ"/>
        </w:rPr>
      </w:pPr>
      <w:r w:rsidRPr="00E30F15">
        <w:rPr>
          <w:rFonts w:eastAsia="Times New Roman"/>
          <w:lang w:eastAsia="en-NZ"/>
        </w:rPr>
        <w:lastRenderedPageBreak/>
        <w:t>Mental health conditions are the most common type of health condition group for both JS-HC</w:t>
      </w:r>
      <w:r>
        <w:rPr>
          <w:rFonts w:eastAsia="Times New Roman"/>
          <w:lang w:eastAsia="en-NZ"/>
        </w:rPr>
        <w:t>D and SLP-HCD clients, being 45 per cent and 35 per cent</w:t>
      </w:r>
      <w:r w:rsidRPr="00E30F15">
        <w:rPr>
          <w:rFonts w:eastAsia="Times New Roman"/>
          <w:lang w:eastAsia="en-NZ"/>
        </w:rPr>
        <w:t xml:space="preserve"> of clients respectively. Moreover, their number and relative share have been growing substantially over time. The share for both benefit types have increased by nearly 10 percentage points over the past decade for JS-HCD and by 5 points for SLP-HCD. Additionally, mental health is a common secondar</w:t>
      </w:r>
      <w:r>
        <w:rPr>
          <w:rFonts w:eastAsia="Times New Roman"/>
          <w:lang w:eastAsia="en-NZ"/>
        </w:rPr>
        <w:t>y incapacity; an additional 7.5 per cent</w:t>
      </w:r>
      <w:r w:rsidRPr="00E30F15">
        <w:rPr>
          <w:rFonts w:eastAsia="Times New Roman"/>
          <w:lang w:eastAsia="en-NZ"/>
        </w:rPr>
        <w:t xml:space="preserve"> of clients for both benefit types. </w:t>
      </w:r>
    </w:p>
    <w:p w:rsidR="00E30F15" w:rsidRPr="00E30F15" w:rsidRDefault="00E30F15" w:rsidP="00E30F15">
      <w:pPr>
        <w:pStyle w:val="Caption"/>
        <w:rPr>
          <w:sz w:val="18"/>
          <w:szCs w:val="18"/>
        </w:rPr>
      </w:pPr>
      <w:r w:rsidRPr="00E30F15">
        <w:rPr>
          <w:sz w:val="18"/>
          <w:szCs w:val="18"/>
        </w:rPr>
        <w:t xml:space="preserve">Figure </w:t>
      </w:r>
      <w:r w:rsidR="000A592F">
        <w:rPr>
          <w:sz w:val="18"/>
          <w:szCs w:val="18"/>
        </w:rPr>
        <w:t>5</w:t>
      </w:r>
      <w:r w:rsidR="00E30E8B">
        <w:rPr>
          <w:sz w:val="18"/>
          <w:szCs w:val="18"/>
        </w:rPr>
        <w:t>: Proportion of</w:t>
      </w:r>
      <w:r w:rsidRPr="00E30F15">
        <w:rPr>
          <w:sz w:val="18"/>
          <w:szCs w:val="18"/>
        </w:rPr>
        <w:t xml:space="preserve"> clients with a mental health incapacity as their primary incapacity</w:t>
      </w:r>
    </w:p>
    <w:p w:rsidR="00E30F15" w:rsidRDefault="00E30F15" w:rsidP="00E30F15">
      <w:pPr>
        <w:pStyle w:val="BodyText"/>
      </w:pPr>
      <w:r w:rsidRPr="00A662DC">
        <w:rPr>
          <w:noProof/>
          <w:lang w:eastAsia="en-NZ"/>
        </w:rPr>
        <w:drawing>
          <wp:inline distT="0" distB="0" distL="0" distR="0">
            <wp:extent cx="4632960" cy="2506980"/>
            <wp:effectExtent l="0" t="0" r="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3465" cy="2507253"/>
                    </a:xfrm>
                    <a:prstGeom prst="rect">
                      <a:avLst/>
                    </a:prstGeom>
                    <a:noFill/>
                    <a:ln>
                      <a:noFill/>
                    </a:ln>
                  </pic:spPr>
                </pic:pic>
              </a:graphicData>
            </a:graphic>
          </wp:inline>
        </w:drawing>
      </w:r>
    </w:p>
    <w:p w:rsidR="00E30F15" w:rsidRPr="00E30F15" w:rsidRDefault="00F7497E" w:rsidP="00E30F15">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Mental health conditions, including s</w:t>
      </w:r>
      <w:r w:rsidR="00E30F15" w:rsidRPr="00E30F15">
        <w:rPr>
          <w:rFonts w:eastAsia="Times New Roman"/>
          <w:lang w:eastAsia="en-NZ"/>
        </w:rPr>
        <w:t>tress</w:t>
      </w:r>
      <w:r w:rsidR="00402DC2">
        <w:rPr>
          <w:rFonts w:eastAsia="Times New Roman"/>
          <w:lang w:eastAsia="en-NZ"/>
        </w:rPr>
        <w:t>, anxiety</w:t>
      </w:r>
      <w:r w:rsidR="00E30F15" w:rsidRPr="00E30F15">
        <w:rPr>
          <w:rFonts w:eastAsia="Times New Roman"/>
          <w:lang w:eastAsia="en-NZ"/>
        </w:rPr>
        <w:t xml:space="preserve"> and depression repr</w:t>
      </w:r>
      <w:r w:rsidR="00E30F15">
        <w:rPr>
          <w:rFonts w:eastAsia="Times New Roman"/>
          <w:lang w:eastAsia="en-NZ"/>
        </w:rPr>
        <w:t>esent a significant portion (41 per cent</w:t>
      </w:r>
      <w:r w:rsidR="00E30F15" w:rsidRPr="00E30F15">
        <w:rPr>
          <w:rFonts w:eastAsia="Times New Roman"/>
          <w:lang w:eastAsia="en-NZ"/>
        </w:rPr>
        <w:t>) of JS-HCD mental health clients, whereas bipolar disorder and schizophrenia represent a larger po</w:t>
      </w:r>
      <w:r w:rsidR="00E30F15">
        <w:rPr>
          <w:rFonts w:eastAsia="Times New Roman"/>
          <w:lang w:eastAsia="en-NZ"/>
        </w:rPr>
        <w:t>rtion of the SLP-HCD cohort (47 per cent</w:t>
      </w:r>
      <w:r w:rsidR="00E30F15" w:rsidRPr="00E30F15">
        <w:rPr>
          <w:rFonts w:eastAsia="Times New Roman"/>
          <w:lang w:eastAsia="en-NZ"/>
        </w:rPr>
        <w:t>). In both cases ‘other psychological condition’ is also a large category.</w:t>
      </w:r>
    </w:p>
    <w:p w:rsidR="00E30F15" w:rsidRPr="00E30F15" w:rsidRDefault="00E30F15" w:rsidP="00E30F15">
      <w:pPr>
        <w:pStyle w:val="Caption"/>
        <w:rPr>
          <w:sz w:val="18"/>
          <w:szCs w:val="18"/>
        </w:rPr>
      </w:pPr>
      <w:r w:rsidRPr="00E30F15">
        <w:rPr>
          <w:sz w:val="18"/>
          <w:szCs w:val="18"/>
        </w:rPr>
        <w:t xml:space="preserve">Figure </w:t>
      </w:r>
      <w:r w:rsidR="000A592F">
        <w:rPr>
          <w:sz w:val="18"/>
          <w:szCs w:val="18"/>
        </w:rPr>
        <w:t>6</w:t>
      </w:r>
      <w:r w:rsidRPr="00E30F15">
        <w:rPr>
          <w:sz w:val="18"/>
          <w:szCs w:val="18"/>
        </w:rPr>
        <w:t>: Type of mental health conditions by benefit type</w:t>
      </w:r>
    </w:p>
    <w:p w:rsidR="00E30F15" w:rsidRDefault="00E30F15" w:rsidP="00E30F15">
      <w:pPr>
        <w:pStyle w:val="BodyText"/>
      </w:pPr>
      <w:r w:rsidRPr="009945CF">
        <w:rPr>
          <w:noProof/>
          <w:lang w:eastAsia="en-NZ"/>
        </w:rPr>
        <w:drawing>
          <wp:inline distT="0" distB="0" distL="0" distR="0">
            <wp:extent cx="4716780" cy="2331720"/>
            <wp:effectExtent l="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7685" cy="2332167"/>
                    </a:xfrm>
                    <a:prstGeom prst="rect">
                      <a:avLst/>
                    </a:prstGeom>
                    <a:noFill/>
                    <a:ln>
                      <a:noFill/>
                    </a:ln>
                  </pic:spPr>
                </pic:pic>
              </a:graphicData>
            </a:graphic>
          </wp:inline>
        </w:drawing>
      </w:r>
    </w:p>
    <w:p w:rsidR="00E30F15" w:rsidRPr="00E30F15" w:rsidRDefault="00E30F15" w:rsidP="00E30F15">
      <w:pPr>
        <w:suppressAutoHyphens/>
        <w:autoSpaceDE w:val="0"/>
        <w:autoSpaceDN w:val="0"/>
        <w:adjustRightInd w:val="0"/>
        <w:spacing w:before="120" w:after="0" w:line="240" w:lineRule="auto"/>
        <w:textAlignment w:val="center"/>
        <w:rPr>
          <w:rFonts w:eastAsia="Times New Roman"/>
          <w:lang w:eastAsia="en-NZ"/>
        </w:rPr>
      </w:pPr>
      <w:r w:rsidRPr="00E30F15">
        <w:rPr>
          <w:rFonts w:eastAsia="Times New Roman"/>
          <w:lang w:eastAsia="en-NZ"/>
        </w:rPr>
        <w:t xml:space="preserve">Average future lifetime cost is significantly higher for mental </w:t>
      </w:r>
      <w:r w:rsidR="00DC2253">
        <w:rPr>
          <w:rFonts w:eastAsia="Times New Roman"/>
          <w:lang w:eastAsia="en-NZ"/>
        </w:rPr>
        <w:t>health clients. The cost is $33,000</w:t>
      </w:r>
      <w:r w:rsidRPr="00E30F15">
        <w:rPr>
          <w:rFonts w:eastAsia="Times New Roman"/>
          <w:lang w:eastAsia="en-NZ"/>
        </w:rPr>
        <w:t xml:space="preserve"> hi</w:t>
      </w:r>
      <w:r w:rsidR="00DC2253">
        <w:rPr>
          <w:rFonts w:eastAsia="Times New Roman"/>
          <w:lang w:eastAsia="en-NZ"/>
        </w:rPr>
        <w:t>gher for JS-HCD clients and $52,000</w:t>
      </w:r>
      <w:r w:rsidRPr="00E30F15">
        <w:rPr>
          <w:rFonts w:eastAsia="Times New Roman"/>
          <w:lang w:eastAsia="en-NZ"/>
        </w:rPr>
        <w:t xml:space="preserve"> higher for SLP-HCD clients; see the figure below. Interestingly, almost none of this difference is attributable to the conditional type itself—the partial effect in the chart is very small. This means that the difference is largely distributional, and the biggest factor is that mental health tends to affect younger clients. The average age of mental health JS-HCD clients is 7.6 years younger than other JS-HCD clients, and the difference is 4.4 years </w:t>
      </w:r>
      <w:r w:rsidR="00E30E8B">
        <w:rPr>
          <w:rFonts w:eastAsia="Times New Roman"/>
          <w:lang w:eastAsia="en-NZ"/>
        </w:rPr>
        <w:t xml:space="preserve">younger </w:t>
      </w:r>
      <w:r w:rsidRPr="00E30F15">
        <w:rPr>
          <w:rFonts w:eastAsia="Times New Roman"/>
          <w:lang w:eastAsia="en-NZ"/>
        </w:rPr>
        <w:t xml:space="preserve">for SLP-HCD clients. </w:t>
      </w:r>
    </w:p>
    <w:p w:rsidR="00E30F15" w:rsidRPr="00E30F15" w:rsidRDefault="00E30F15" w:rsidP="00E30F15">
      <w:pPr>
        <w:pStyle w:val="Caption"/>
        <w:rPr>
          <w:sz w:val="18"/>
          <w:szCs w:val="18"/>
        </w:rPr>
      </w:pPr>
      <w:r w:rsidRPr="00E30F15">
        <w:rPr>
          <w:sz w:val="18"/>
          <w:szCs w:val="18"/>
        </w:rPr>
        <w:lastRenderedPageBreak/>
        <w:t xml:space="preserve">Figure </w:t>
      </w:r>
      <w:r w:rsidR="000A592F">
        <w:rPr>
          <w:sz w:val="18"/>
          <w:szCs w:val="18"/>
        </w:rPr>
        <w:t>7</w:t>
      </w:r>
      <w:r w:rsidRPr="00E30F15">
        <w:rPr>
          <w:sz w:val="18"/>
          <w:szCs w:val="18"/>
        </w:rPr>
        <w:t>: Average future lifetime cost by benefit and HCD type. Split by mental health partial effect.</w:t>
      </w:r>
    </w:p>
    <w:p w:rsidR="00E30F15" w:rsidRDefault="00E30F15" w:rsidP="00E30F15">
      <w:pPr>
        <w:pStyle w:val="BodyText"/>
      </w:pPr>
      <w:r w:rsidRPr="00332FAC">
        <w:rPr>
          <w:noProof/>
          <w:lang w:eastAsia="en-NZ"/>
        </w:rPr>
        <w:drawing>
          <wp:inline distT="0" distB="0" distL="0" distR="0">
            <wp:extent cx="3185160" cy="1908969"/>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6942" cy="1910037"/>
                    </a:xfrm>
                    <a:prstGeom prst="rect">
                      <a:avLst/>
                    </a:prstGeom>
                    <a:noFill/>
                    <a:ln>
                      <a:noFill/>
                    </a:ln>
                  </pic:spPr>
                </pic:pic>
              </a:graphicData>
            </a:graphic>
          </wp:inline>
        </w:drawing>
      </w:r>
    </w:p>
    <w:p w:rsidR="008F6571" w:rsidRPr="008F6571" w:rsidRDefault="00E30F15" w:rsidP="008F6571">
      <w:pPr>
        <w:suppressAutoHyphens/>
        <w:autoSpaceDE w:val="0"/>
        <w:autoSpaceDN w:val="0"/>
        <w:adjustRightInd w:val="0"/>
        <w:spacing w:before="120" w:after="0" w:line="240" w:lineRule="auto"/>
        <w:textAlignment w:val="center"/>
        <w:rPr>
          <w:rFonts w:eastAsia="Times New Roman"/>
          <w:lang w:eastAsia="en-NZ"/>
        </w:rPr>
      </w:pPr>
      <w:r w:rsidRPr="00E30F15">
        <w:rPr>
          <w:rFonts w:eastAsia="Times New Roman"/>
          <w:lang w:eastAsia="en-NZ"/>
        </w:rPr>
        <w:t>The incidence of mental health incapacity at younger ages has significant implications for longer-term benefit receipt and employment. The increased lifetime benefit system costs aligns with a reduced potential time in emp</w:t>
      </w:r>
      <w:r w:rsidR="004362B0">
        <w:rPr>
          <w:rFonts w:eastAsia="Times New Roman"/>
          <w:lang w:eastAsia="en-NZ"/>
        </w:rPr>
        <w:t>loyment during young and middle-age</w:t>
      </w:r>
      <w:r w:rsidRPr="00E30F15">
        <w:rPr>
          <w:rFonts w:eastAsia="Times New Roman"/>
          <w:lang w:eastAsia="en-NZ"/>
        </w:rPr>
        <w:t xml:space="preserve">, as well as increased healthcare costs over an extended period. </w:t>
      </w:r>
    </w:p>
    <w:p w:rsidR="008F6571" w:rsidRPr="008F6571" w:rsidRDefault="00F21A1A" w:rsidP="008F6571">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Figure 8</w:t>
      </w:r>
      <w:r w:rsidR="0072201E">
        <w:rPr>
          <w:rFonts w:eastAsia="Times New Roman"/>
          <w:lang w:eastAsia="en-NZ"/>
        </w:rPr>
        <w:t xml:space="preserve"> below</w:t>
      </w:r>
      <w:r w:rsidR="008F6571" w:rsidRPr="008F6571">
        <w:rPr>
          <w:rFonts w:eastAsia="Times New Roman"/>
          <w:lang w:eastAsia="en-NZ"/>
        </w:rPr>
        <w:t xml:space="preserve"> shows how the incide</w:t>
      </w:r>
      <w:r w:rsidR="008F6571">
        <w:rPr>
          <w:rFonts w:eastAsia="Times New Roman"/>
          <w:lang w:eastAsia="en-NZ"/>
        </w:rPr>
        <w:t>nce of mental health issues varies</w:t>
      </w:r>
      <w:r w:rsidR="008F6571" w:rsidRPr="008F6571">
        <w:rPr>
          <w:rFonts w:eastAsia="Times New Roman"/>
          <w:lang w:eastAsia="en-NZ"/>
        </w:rPr>
        <w:t xml:space="preserve"> by age and ethnicity. It shows</w:t>
      </w:r>
      <w:r w:rsidR="008F6571">
        <w:rPr>
          <w:rFonts w:eastAsia="Times New Roman"/>
          <w:lang w:eastAsia="en-NZ"/>
        </w:rPr>
        <w:t xml:space="preserve"> that half of HCD clients under </w:t>
      </w:r>
      <w:r w:rsidR="008F6571" w:rsidRPr="008F6571">
        <w:rPr>
          <w:rFonts w:eastAsia="Times New Roman"/>
          <w:lang w:eastAsia="en-NZ"/>
        </w:rPr>
        <w:t>35 have a mental health condition, and less than a third of older clients. The relative incidence is particularly low for older people with Māori, Pacific peoples or Asian ethnicity. Age and ethnicity are not the only factors with distributional differences for mental health clients. There are other important differences by duration (longer term JS-HCD clients are more likely to have mental health conditions), gender (higher incidence for females) and education (relatively more people with higher levels of education attainment).</w:t>
      </w:r>
    </w:p>
    <w:p w:rsidR="008F6571" w:rsidRPr="008F6571" w:rsidRDefault="008F6571" w:rsidP="008F6571">
      <w:pPr>
        <w:pStyle w:val="Caption"/>
        <w:rPr>
          <w:sz w:val="18"/>
          <w:szCs w:val="18"/>
        </w:rPr>
      </w:pPr>
      <w:r w:rsidRPr="008F6571">
        <w:rPr>
          <w:sz w:val="18"/>
          <w:szCs w:val="18"/>
        </w:rPr>
        <w:t xml:space="preserve">Figure </w:t>
      </w:r>
      <w:r w:rsidR="000A592F">
        <w:rPr>
          <w:sz w:val="18"/>
          <w:szCs w:val="18"/>
        </w:rPr>
        <w:t>8</w:t>
      </w:r>
      <w:r w:rsidRPr="008F6571">
        <w:rPr>
          <w:sz w:val="18"/>
          <w:szCs w:val="18"/>
        </w:rPr>
        <w:t>: Proportion of HCD clients (JS and SLP combined) with a mental health condition, by age and ethnicity</w:t>
      </w:r>
    </w:p>
    <w:p w:rsidR="008F6571" w:rsidRPr="008F6571" w:rsidRDefault="008F6571" w:rsidP="008F6571">
      <w:pPr>
        <w:pStyle w:val="BodyText"/>
      </w:pPr>
      <w:r w:rsidRPr="002C1F85">
        <w:rPr>
          <w:noProof/>
          <w:lang w:eastAsia="en-NZ"/>
        </w:rPr>
        <w:drawing>
          <wp:inline distT="0" distB="0" distL="0" distR="0">
            <wp:extent cx="5029200" cy="213360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2133600"/>
                    </a:xfrm>
                    <a:prstGeom prst="rect">
                      <a:avLst/>
                    </a:prstGeom>
                    <a:noFill/>
                    <a:ln>
                      <a:noFill/>
                    </a:ln>
                  </pic:spPr>
                </pic:pic>
              </a:graphicData>
            </a:graphic>
          </wp:inline>
        </w:drawing>
      </w:r>
    </w:p>
    <w:p w:rsidR="005952EA" w:rsidRPr="00DB4E41"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Many clients within this segment are likely to receive a benefit for the rest of their lives, and there are good reasons why they would remain on benefit</w:t>
      </w:r>
      <w:r w:rsidR="00F81A01">
        <w:rPr>
          <w:rFonts w:eastAsia="Times New Roman"/>
          <w:lang w:eastAsia="en-NZ"/>
        </w:rPr>
        <w:t xml:space="preserve">. Conversely, evidence shows that there are a number of clients that </w:t>
      </w:r>
      <w:r w:rsidR="003555D1">
        <w:rPr>
          <w:rFonts w:eastAsia="Times New Roman"/>
          <w:lang w:eastAsia="en-NZ"/>
        </w:rPr>
        <w:t>can and want to work</w:t>
      </w:r>
      <w:r w:rsidRPr="00DB4E41">
        <w:rPr>
          <w:rFonts w:eastAsia="Times New Roman"/>
          <w:lang w:eastAsia="en-NZ"/>
        </w:rPr>
        <w:t>.</w:t>
      </w:r>
    </w:p>
    <w:p w:rsidR="00771071"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Successfully supporting clients from this group into sustainable employment will make a significant contribution to achieving the 2018 BPS 1 target, but will require a co-ordinated effort with other agencies and NGO’s across the social sector.</w:t>
      </w:r>
    </w:p>
    <w:p w:rsidR="00112767" w:rsidRPr="00112767" w:rsidRDefault="00112767" w:rsidP="00112767">
      <w:pPr>
        <w:suppressAutoHyphens/>
        <w:autoSpaceDE w:val="0"/>
        <w:autoSpaceDN w:val="0"/>
        <w:adjustRightInd w:val="0"/>
        <w:spacing w:before="120" w:after="0" w:line="240" w:lineRule="auto"/>
        <w:textAlignment w:val="center"/>
        <w:rPr>
          <w:rFonts w:eastAsia="Times New Roman"/>
          <w:lang w:eastAsia="en-NZ"/>
        </w:rPr>
      </w:pPr>
      <w:r w:rsidRPr="00112767">
        <w:rPr>
          <w:rFonts w:eastAsia="Times New Roman"/>
          <w:lang w:eastAsia="en-NZ"/>
        </w:rPr>
        <w:t>T</w:t>
      </w:r>
      <w:r>
        <w:rPr>
          <w:rFonts w:eastAsia="Times New Roman"/>
          <w:lang w:eastAsia="en-NZ"/>
        </w:rPr>
        <w:t>o help address some of the issues associated with mental health, t</w:t>
      </w:r>
      <w:r w:rsidRPr="00112767">
        <w:rPr>
          <w:rFonts w:eastAsia="Times New Roman"/>
          <w:lang w:eastAsia="en-NZ"/>
        </w:rPr>
        <w:t>he Ministry of Health is leading the development of a cross-agency menta</w:t>
      </w:r>
      <w:r>
        <w:rPr>
          <w:rFonts w:eastAsia="Times New Roman"/>
          <w:lang w:eastAsia="en-NZ"/>
        </w:rPr>
        <w:t>l health strategy. This</w:t>
      </w:r>
      <w:r w:rsidRPr="00112767">
        <w:rPr>
          <w:rFonts w:eastAsia="Times New Roman"/>
          <w:lang w:eastAsia="en-NZ"/>
        </w:rPr>
        <w:t xml:space="preserve"> aims to:</w:t>
      </w:r>
    </w:p>
    <w:p w:rsidR="00112767" w:rsidRPr="00112767" w:rsidRDefault="00112767" w:rsidP="00112767">
      <w:pPr>
        <w:pStyle w:val="ReportBody"/>
        <w:numPr>
          <w:ilvl w:val="0"/>
          <w:numId w:val="10"/>
        </w:numPr>
        <w:tabs>
          <w:tab w:val="left" w:pos="720"/>
        </w:tabs>
        <w:spacing w:before="120" w:after="120"/>
        <w:rPr>
          <w:rFonts w:asciiTheme="minorHAnsi" w:hAnsiTheme="minorHAnsi" w:cstheme="minorHAnsi"/>
        </w:rPr>
      </w:pPr>
      <w:r w:rsidRPr="00112767">
        <w:rPr>
          <w:rFonts w:asciiTheme="minorHAnsi" w:hAnsiTheme="minorHAnsi" w:cstheme="minorHAnsi"/>
        </w:rPr>
        <w:t xml:space="preserve">provide the Government’s direction for mental health and subsequently identify areas for social investment </w:t>
      </w:r>
    </w:p>
    <w:p w:rsidR="00112767" w:rsidRPr="00112767" w:rsidRDefault="00112767" w:rsidP="00112767">
      <w:pPr>
        <w:pStyle w:val="ReportBody"/>
        <w:numPr>
          <w:ilvl w:val="0"/>
          <w:numId w:val="10"/>
        </w:numPr>
        <w:tabs>
          <w:tab w:val="left" w:pos="720"/>
        </w:tabs>
        <w:spacing w:before="120" w:after="120"/>
        <w:rPr>
          <w:rFonts w:asciiTheme="minorHAnsi" w:hAnsiTheme="minorHAnsi" w:cstheme="minorHAnsi"/>
        </w:rPr>
      </w:pPr>
      <w:r w:rsidRPr="00112767">
        <w:rPr>
          <w:rFonts w:asciiTheme="minorHAnsi" w:hAnsiTheme="minorHAnsi" w:cstheme="minorHAnsi"/>
        </w:rPr>
        <w:lastRenderedPageBreak/>
        <w:t>take a more collective, preventative and early intervention approach</w:t>
      </w:r>
    </w:p>
    <w:p w:rsidR="009F7C2D" w:rsidRPr="00112767" w:rsidRDefault="00112767" w:rsidP="00112767">
      <w:pPr>
        <w:pStyle w:val="ReportBody"/>
        <w:numPr>
          <w:ilvl w:val="0"/>
          <w:numId w:val="10"/>
        </w:numPr>
        <w:tabs>
          <w:tab w:val="left" w:pos="720"/>
        </w:tabs>
        <w:spacing w:before="120" w:after="120"/>
        <w:rPr>
          <w:rFonts w:asciiTheme="minorHAnsi" w:hAnsiTheme="minorHAnsi" w:cstheme="minorHAnsi"/>
        </w:rPr>
      </w:pPr>
      <w:proofErr w:type="gramStart"/>
      <w:r w:rsidRPr="00112767">
        <w:rPr>
          <w:rFonts w:asciiTheme="minorHAnsi" w:hAnsiTheme="minorHAnsi" w:cstheme="minorHAnsi"/>
        </w:rPr>
        <w:t>include</w:t>
      </w:r>
      <w:proofErr w:type="gramEnd"/>
      <w:r w:rsidRPr="00112767">
        <w:rPr>
          <w:rFonts w:asciiTheme="minorHAnsi" w:hAnsiTheme="minorHAnsi" w:cstheme="minorHAnsi"/>
        </w:rPr>
        <w:t xml:space="preserve"> the broader social impacts of mental health, such as employment and housing. </w:t>
      </w:r>
    </w:p>
    <w:p w:rsidR="005952EA" w:rsidRPr="00FB1DEB" w:rsidRDefault="005952EA" w:rsidP="00402DC2">
      <w:pPr>
        <w:rPr>
          <w:i/>
        </w:rPr>
      </w:pPr>
      <w:r w:rsidRPr="00FB1DEB">
        <w:rPr>
          <w:i/>
        </w:rPr>
        <w:t>Jobseeker Support Health and Disability</w:t>
      </w:r>
    </w:p>
    <w:p w:rsidR="005952EA"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 xml:space="preserve">JS-HCD clients contribute 10.5 per cent ($8.0 billion) to the total main benefit liability. Clients who have been on JS-HCD for less than one year have an average lifetime cost of $128,000 and those who have been on JS-HCD for more than one year have an average lifetime cost of $149,000. About 45 per cent of JS-HCD clients have a mild to </w:t>
      </w:r>
      <w:r w:rsidR="00402DC2">
        <w:rPr>
          <w:rFonts w:eastAsia="Times New Roman"/>
          <w:lang w:eastAsia="en-NZ"/>
        </w:rPr>
        <w:t>moderate mental health condition</w:t>
      </w:r>
      <w:r w:rsidRPr="00DB4E41">
        <w:rPr>
          <w:rFonts w:eastAsia="Times New Roman"/>
          <w:lang w:eastAsia="en-NZ"/>
        </w:rPr>
        <w:t>, and many could work with the right support. However, when developing interventions to address these clients, it is important to keep in mind that off-benefit outcomes will not always be the end goal –</w:t>
      </w:r>
      <w:r w:rsidR="00192F5C">
        <w:rPr>
          <w:rFonts w:eastAsia="Times New Roman"/>
          <w:lang w:eastAsia="en-NZ"/>
        </w:rPr>
        <w:t xml:space="preserve"> part-time work may be the most appropriate </w:t>
      </w:r>
      <w:r w:rsidRPr="00DB4E41">
        <w:rPr>
          <w:rFonts w:eastAsia="Times New Roman"/>
          <w:lang w:eastAsia="en-NZ"/>
        </w:rPr>
        <w:t xml:space="preserve">outcome. </w:t>
      </w:r>
    </w:p>
    <w:p w:rsidR="0072201E" w:rsidRPr="00DB4E41" w:rsidRDefault="0072201E" w:rsidP="005952EA">
      <w:pPr>
        <w:suppressAutoHyphens/>
        <w:autoSpaceDE w:val="0"/>
        <w:autoSpaceDN w:val="0"/>
        <w:adjustRightInd w:val="0"/>
        <w:spacing w:before="120" w:after="0" w:line="240" w:lineRule="auto"/>
        <w:textAlignment w:val="center"/>
        <w:rPr>
          <w:rFonts w:eastAsia="Times New Roman"/>
          <w:lang w:eastAsia="en-NZ"/>
        </w:rPr>
      </w:pPr>
    </w:p>
    <w:p w:rsidR="005952EA" w:rsidRPr="00FB1DEB" w:rsidRDefault="005952EA" w:rsidP="00402DC2">
      <w:pPr>
        <w:rPr>
          <w:i/>
        </w:rPr>
      </w:pPr>
      <w:r w:rsidRPr="00FB1DEB">
        <w:rPr>
          <w:i/>
        </w:rPr>
        <w:t>Supported Living Payment</w:t>
      </w:r>
      <w:r w:rsidR="00402DC2">
        <w:rPr>
          <w:i/>
        </w:rPr>
        <w:t xml:space="preserve"> Health and Disability</w:t>
      </w:r>
    </w:p>
    <w:p w:rsidR="005952EA" w:rsidRPr="00DB4E41"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 xml:space="preserve">SLP clients contribute 29.1 per cent ($22.2 billion) to the total main benefit liability and have an average life time cost of $195,000. </w:t>
      </w:r>
    </w:p>
    <w:p w:rsidR="000F2068" w:rsidRPr="00DB4E41"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 xml:space="preserve">Compared to JS-HCD </w:t>
      </w:r>
      <w:r w:rsidR="005031E5">
        <w:rPr>
          <w:rFonts w:eastAsia="Times New Roman"/>
          <w:lang w:eastAsia="en-NZ"/>
        </w:rPr>
        <w:t>clients, SLP</w:t>
      </w:r>
      <w:r w:rsidR="006E4B97">
        <w:rPr>
          <w:rFonts w:eastAsia="Times New Roman"/>
          <w:lang w:eastAsia="en-NZ"/>
        </w:rPr>
        <w:t>-HCD</w:t>
      </w:r>
      <w:r w:rsidR="005031E5">
        <w:rPr>
          <w:rFonts w:eastAsia="Times New Roman"/>
          <w:lang w:eastAsia="en-NZ"/>
        </w:rPr>
        <w:t xml:space="preserve"> clients have different reasons for receiving benefits</w:t>
      </w:r>
      <w:r w:rsidRPr="00DB4E41">
        <w:rPr>
          <w:rFonts w:eastAsia="Times New Roman"/>
          <w:lang w:eastAsia="en-NZ"/>
        </w:rPr>
        <w:t>, with average lifetime duration on benefit of 12.4 years due to the permanency of their health condition, injury or disability.</w:t>
      </w:r>
    </w:p>
    <w:p w:rsidR="005952EA" w:rsidRPr="00B7530D" w:rsidRDefault="005952EA" w:rsidP="005952EA">
      <w:pPr>
        <w:suppressAutoHyphens/>
        <w:autoSpaceDE w:val="0"/>
        <w:autoSpaceDN w:val="0"/>
        <w:adjustRightInd w:val="0"/>
        <w:spacing w:before="120" w:after="0" w:line="240" w:lineRule="auto"/>
        <w:textAlignment w:val="center"/>
        <w:rPr>
          <w:rFonts w:eastAsia="Times New Roman"/>
          <w:i/>
          <w:lang w:eastAsia="en-NZ"/>
        </w:rPr>
      </w:pPr>
      <w:r w:rsidRPr="00B7530D">
        <w:rPr>
          <w:rFonts w:eastAsia="Times New Roman"/>
          <w:i/>
          <w:lang w:eastAsia="en-NZ"/>
        </w:rPr>
        <w:t>Māori</w:t>
      </w:r>
    </w:p>
    <w:p w:rsidR="006359DA" w:rsidRDefault="005952EA" w:rsidP="006359D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Māori</w:t>
      </w:r>
      <w:r w:rsidR="006359DA">
        <w:rPr>
          <w:rFonts w:eastAsia="Times New Roman"/>
          <w:lang w:eastAsia="en-NZ"/>
        </w:rPr>
        <w:t xml:space="preserve"> make up a significant proportion of those in both the benefit system and on the social housing register. Although Māori only make up 15 per cent of the population, they account for 31 per cent of the benefit system (where they represent 42 per cent of JS-WR and 48 per cent of SPS </w:t>
      </w:r>
      <w:r w:rsidR="00C675CB">
        <w:rPr>
          <w:rFonts w:eastAsia="Times New Roman"/>
          <w:lang w:eastAsia="en-NZ"/>
        </w:rPr>
        <w:t xml:space="preserve">clients) and 36 per cent of </w:t>
      </w:r>
      <w:r w:rsidR="006359DA">
        <w:rPr>
          <w:rFonts w:eastAsia="Times New Roman"/>
          <w:lang w:eastAsia="en-NZ"/>
        </w:rPr>
        <w:t>social housing</w:t>
      </w:r>
      <w:r w:rsidR="00C675CB">
        <w:rPr>
          <w:rFonts w:eastAsia="Times New Roman"/>
          <w:lang w:eastAsia="en-NZ"/>
        </w:rPr>
        <w:t xml:space="preserve"> recipients</w:t>
      </w:r>
      <w:r w:rsidR="006359DA">
        <w:rPr>
          <w:rFonts w:eastAsia="Times New Roman"/>
          <w:lang w:eastAsia="en-NZ"/>
        </w:rPr>
        <w:t xml:space="preserve">. </w:t>
      </w:r>
    </w:p>
    <w:p w:rsidR="006359DA" w:rsidRDefault="006359DA" w:rsidP="006359D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The 2016 valuation shows that the average future lifetime cost for Māori clients is $55,000 higher (about 50 per cent) than for non-Māori clients. Furthermore, Māori are over-represented in each of the risk factors associated with higher benefit system cost, and when compared to non-Māori, they are:</w:t>
      </w:r>
    </w:p>
    <w:p w:rsidR="006359DA" w:rsidRDefault="006359DA"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1.8 times more likely to have had low educational attainment – achieving NCEA level 1 or lower</w:t>
      </w:r>
    </w:p>
    <w:p w:rsidR="006359DA" w:rsidRDefault="00F86078"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1.5 times more likely to have had a child protection event</w:t>
      </w:r>
    </w:p>
    <w:p w:rsidR="00F86078" w:rsidRDefault="00F86078"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2 times more likely to have had an adult corrections spell (as a result of a criminal conviction)</w:t>
      </w:r>
    </w:p>
    <w:p w:rsidR="00F86078" w:rsidRDefault="00F86078"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1</w:t>
      </w:r>
      <w:r w:rsidR="00C675CB">
        <w:rPr>
          <w:rFonts w:eastAsia="Times New Roman"/>
          <w:lang w:eastAsia="en-NZ"/>
        </w:rPr>
        <w:t>.8 times more likely to have had</w:t>
      </w:r>
      <w:r>
        <w:rPr>
          <w:rFonts w:eastAsia="Times New Roman"/>
          <w:lang w:eastAsia="en-NZ"/>
        </w:rPr>
        <w:t xml:space="preserve"> a parent on benefits for 80 per cent or more of the time during their teenage years</w:t>
      </w:r>
    </w:p>
    <w:p w:rsidR="00F86078" w:rsidRDefault="00F86078"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1.4 times more likely to have spent at least eight quarters on a JS benefit</w:t>
      </w:r>
    </w:p>
    <w:p w:rsidR="00F86078" w:rsidRPr="006359DA" w:rsidRDefault="00F86078" w:rsidP="000B740A">
      <w:pPr>
        <w:pStyle w:val="ListParagraph"/>
        <w:numPr>
          <w:ilvl w:val="0"/>
          <w:numId w:val="6"/>
        </w:numPr>
        <w:suppressAutoHyphens/>
        <w:autoSpaceDE w:val="0"/>
        <w:autoSpaceDN w:val="0"/>
        <w:adjustRightInd w:val="0"/>
        <w:spacing w:before="120" w:after="0" w:line="240" w:lineRule="auto"/>
        <w:ind w:left="709" w:hanging="283"/>
        <w:textAlignment w:val="center"/>
        <w:rPr>
          <w:rFonts w:eastAsia="Times New Roman"/>
          <w:lang w:eastAsia="en-NZ"/>
        </w:rPr>
      </w:pPr>
      <w:r>
        <w:rPr>
          <w:rFonts w:eastAsia="Times New Roman"/>
          <w:lang w:eastAsia="en-NZ"/>
        </w:rPr>
        <w:t>2 times more likely to have had some social housing history.</w:t>
      </w:r>
    </w:p>
    <w:p w:rsidR="005952EA" w:rsidRDefault="00F86078" w:rsidP="005952E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Consequently, </w:t>
      </w:r>
      <w:r w:rsidR="005952EA">
        <w:rPr>
          <w:rFonts w:eastAsia="Times New Roman"/>
          <w:lang w:eastAsia="en-NZ"/>
        </w:rPr>
        <w:t>Māori</w:t>
      </w:r>
      <w:r w:rsidR="005952EA" w:rsidRPr="00B76FCF">
        <w:rPr>
          <w:rFonts w:eastAsia="Times New Roman"/>
          <w:lang w:eastAsia="en-NZ"/>
        </w:rPr>
        <w:t xml:space="preserve"> have a higher forward liability profile </w:t>
      </w:r>
      <w:r w:rsidR="005952EA">
        <w:rPr>
          <w:rFonts w:eastAsia="Times New Roman"/>
          <w:lang w:eastAsia="en-NZ"/>
        </w:rPr>
        <w:t>than</w:t>
      </w:r>
      <w:r w:rsidR="005952EA" w:rsidRPr="00B76FCF">
        <w:rPr>
          <w:rFonts w:eastAsia="Times New Roman"/>
          <w:lang w:eastAsia="en-NZ"/>
        </w:rPr>
        <w:t xml:space="preserve"> any other ethnic group in the welfare system. </w:t>
      </w:r>
      <w:r w:rsidR="005952EA">
        <w:rPr>
          <w:rFonts w:eastAsia="Times New Roman"/>
          <w:lang w:eastAsia="en-NZ"/>
        </w:rPr>
        <w:t>Māori</w:t>
      </w:r>
      <w:r w:rsidR="005952EA" w:rsidRPr="00B76FCF">
        <w:rPr>
          <w:rFonts w:eastAsia="Times New Roman"/>
          <w:lang w:eastAsia="en-NZ"/>
        </w:rPr>
        <w:t xml:space="preserve"> clients are</w:t>
      </w:r>
      <w:r w:rsidR="005952EA">
        <w:rPr>
          <w:rFonts w:eastAsia="Times New Roman"/>
          <w:lang w:eastAsia="en-NZ"/>
        </w:rPr>
        <w:t xml:space="preserve"> </w:t>
      </w:r>
      <w:r w:rsidR="005952EA" w:rsidRPr="0037108C">
        <w:rPr>
          <w:rFonts w:eastAsia="Times New Roman"/>
          <w:lang w:eastAsia="en-NZ"/>
        </w:rPr>
        <w:t>more</w:t>
      </w:r>
      <w:r w:rsidR="005952EA">
        <w:rPr>
          <w:rFonts w:eastAsia="Times New Roman"/>
          <w:lang w:eastAsia="en-NZ"/>
        </w:rPr>
        <w:t xml:space="preserve"> </w:t>
      </w:r>
      <w:r w:rsidR="005952EA" w:rsidRPr="00B76FCF">
        <w:rPr>
          <w:rFonts w:eastAsia="Times New Roman"/>
          <w:lang w:eastAsia="en-NZ"/>
        </w:rPr>
        <w:t>likely to be on benefit for a long time</w:t>
      </w:r>
      <w:r w:rsidR="005952EA">
        <w:rPr>
          <w:rFonts w:eastAsia="Times New Roman"/>
          <w:lang w:eastAsia="en-NZ"/>
        </w:rPr>
        <w:t xml:space="preserve"> and go on and off benefit more regularly than other ethnic groups. </w:t>
      </w:r>
    </w:p>
    <w:p w:rsidR="005952EA" w:rsidRDefault="0099367C" w:rsidP="005952EA">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Although Māori clients receive the same services as non-Māori, we have limited targeted interventions to address the various factors that lead many Māori to be in the benefit system, including intergenerational participation, low education and poor health. Current case management services are not as effective in achieving outcomes for M</w:t>
      </w:r>
      <w:r w:rsidR="00C675CB">
        <w:rPr>
          <w:rFonts w:eastAsia="Times New Roman"/>
          <w:lang w:eastAsia="en-NZ"/>
        </w:rPr>
        <w:t>āori clients as they have been</w:t>
      </w:r>
      <w:r>
        <w:rPr>
          <w:rFonts w:eastAsia="Times New Roman"/>
          <w:lang w:eastAsia="en-NZ"/>
        </w:rPr>
        <w:t xml:space="preserve"> for clients of other ethnicities. M</w:t>
      </w:r>
      <w:r w:rsidR="00C675CB">
        <w:rPr>
          <w:rFonts w:eastAsia="Times New Roman"/>
          <w:lang w:eastAsia="en-NZ"/>
        </w:rPr>
        <w:t>ā</w:t>
      </w:r>
      <w:r>
        <w:rPr>
          <w:rFonts w:eastAsia="Times New Roman"/>
          <w:lang w:eastAsia="en-NZ"/>
        </w:rPr>
        <w:t>ori will be a key priority group for targeted investment in 2017/18.</w:t>
      </w:r>
      <w:r w:rsidR="00F86078">
        <w:rPr>
          <w:rFonts w:eastAsia="Times New Roman"/>
          <w:lang w:eastAsia="en-NZ"/>
        </w:rPr>
        <w:t xml:space="preserve"> </w:t>
      </w:r>
      <w:r w:rsidR="005952EA" w:rsidRPr="002C7B35">
        <w:rPr>
          <w:rFonts w:eastAsia="Times New Roman"/>
          <w:lang w:eastAsia="en-NZ"/>
        </w:rPr>
        <w:t>From the data we collect</w:t>
      </w:r>
      <w:r w:rsidR="005952EA">
        <w:rPr>
          <w:rFonts w:eastAsia="Times New Roman"/>
          <w:lang w:eastAsia="en-NZ"/>
        </w:rPr>
        <w:t>,</w:t>
      </w:r>
      <w:r w:rsidR="005952EA" w:rsidRPr="002C7B35">
        <w:rPr>
          <w:rFonts w:eastAsia="Times New Roman"/>
          <w:lang w:eastAsia="en-NZ"/>
        </w:rPr>
        <w:t xml:space="preserve"> we know</w:t>
      </w:r>
      <w:r w:rsidR="005952EA">
        <w:rPr>
          <w:rFonts w:eastAsia="Times New Roman"/>
          <w:lang w:eastAsia="en-NZ"/>
        </w:rPr>
        <w:t xml:space="preserve"> there is a relatively low level of exits (28 per cent compared to 35.2 per </w:t>
      </w:r>
      <w:r w:rsidR="005952EA">
        <w:rPr>
          <w:rFonts w:eastAsia="Times New Roman"/>
          <w:lang w:eastAsia="en-NZ"/>
        </w:rPr>
        <w:lastRenderedPageBreak/>
        <w:t xml:space="preserve">cent for non-Māori) and less sustainable off-benefits outcomes with exits having less than a 60 per cent likelihood of being sustainable, compared to over 71 per cent for non-Māori. </w:t>
      </w:r>
    </w:p>
    <w:p w:rsidR="00514B67" w:rsidRDefault="005952EA" w:rsidP="00514B6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The lower sustainability rate for Māori is telling – because Māori return to benefit sooner, and in greater numbers, they tend to have higher rates of long-term dependence. Any focus on Māori, therefore, needs to address the sustainability of exits as a means to reduce long-term benefit dependency.</w:t>
      </w:r>
    </w:p>
    <w:p w:rsidR="00514B67" w:rsidRPr="00514B67" w:rsidRDefault="00514B67" w:rsidP="00514B67">
      <w:pPr>
        <w:suppressAutoHyphens/>
        <w:autoSpaceDE w:val="0"/>
        <w:autoSpaceDN w:val="0"/>
        <w:adjustRightInd w:val="0"/>
        <w:spacing w:before="120" w:after="0" w:line="240" w:lineRule="auto"/>
        <w:textAlignment w:val="center"/>
        <w:rPr>
          <w:rFonts w:eastAsia="Times New Roman"/>
          <w:lang w:eastAsia="en-NZ"/>
        </w:rPr>
      </w:pPr>
    </w:p>
    <w:p w:rsidR="005952EA" w:rsidRPr="005952EA" w:rsidRDefault="005952EA" w:rsidP="005952EA">
      <w:pPr>
        <w:rPr>
          <w:i/>
        </w:rPr>
      </w:pPr>
      <w:r>
        <w:rPr>
          <w:i/>
        </w:rPr>
        <w:t>Intergenerational benefit receipt</w:t>
      </w:r>
    </w:p>
    <w:p w:rsidR="005952EA" w:rsidRDefault="005952EA" w:rsidP="005952EA">
      <w:pPr>
        <w:suppressAutoHyphens/>
        <w:autoSpaceDE w:val="0"/>
        <w:autoSpaceDN w:val="0"/>
        <w:adjustRightInd w:val="0"/>
        <w:spacing w:before="120" w:after="0" w:line="240" w:lineRule="auto"/>
        <w:textAlignment w:val="center"/>
        <w:rPr>
          <w:rFonts w:eastAsia="Times New Roman"/>
          <w:lang w:eastAsia="en-NZ"/>
        </w:rPr>
      </w:pPr>
      <w:r w:rsidRPr="00F027A5">
        <w:rPr>
          <w:rFonts w:eastAsia="Times New Roman"/>
          <w:lang w:eastAsia="en-NZ"/>
        </w:rPr>
        <w:t xml:space="preserve">Previous actuarial valuations have identified that intergenerational benefit receipt is a major risk factor for long-term benefit dependency and is associated with higher and more complex barriers to employment (i.e. early contact with the benefit system, difficult childhoods, history of family violence, low education and skills, and mental or physical health problems). </w:t>
      </w:r>
      <w:r>
        <w:rPr>
          <w:rFonts w:eastAsia="Times New Roman"/>
          <w:lang w:eastAsia="en-NZ"/>
        </w:rPr>
        <w:t>Around 75 per cent of the current liability is attributable to those clients that entered the benefit system before the age of 20.</w:t>
      </w:r>
    </w:p>
    <w:p w:rsidR="000A592F" w:rsidRDefault="009B2930" w:rsidP="005952EA">
      <w:pPr>
        <w:suppressAutoHyphens/>
        <w:autoSpaceDE w:val="0"/>
        <w:autoSpaceDN w:val="0"/>
        <w:adjustRightInd w:val="0"/>
        <w:spacing w:before="120" w:after="0" w:line="240" w:lineRule="auto"/>
        <w:textAlignment w:val="center"/>
        <w:rPr>
          <w:rFonts w:eastAsia="Times New Roman"/>
          <w:b/>
          <w:sz w:val="18"/>
          <w:szCs w:val="18"/>
          <w:lang w:eastAsia="en-NZ"/>
        </w:rPr>
      </w:pPr>
      <w:r>
        <w:rPr>
          <w:rFonts w:eastAsia="Times New Roman"/>
          <w:b/>
          <w:sz w:val="18"/>
          <w:szCs w:val="18"/>
          <w:lang w:eastAsia="en-NZ"/>
        </w:rPr>
        <w:t>Table 1: average lifetime cost for clients by age at valuation and age at entry, for clients less than 40</w:t>
      </w:r>
    </w:p>
    <w:tbl>
      <w:tblPr>
        <w:tblW w:w="6460" w:type="dxa"/>
        <w:tblInd w:w="108" w:type="dxa"/>
        <w:tblLook w:val="04A0"/>
      </w:tblPr>
      <w:tblGrid>
        <w:gridCol w:w="1404"/>
        <w:gridCol w:w="864"/>
        <w:gridCol w:w="851"/>
        <w:gridCol w:w="850"/>
        <w:gridCol w:w="851"/>
        <w:gridCol w:w="708"/>
        <w:gridCol w:w="932"/>
      </w:tblGrid>
      <w:tr w:rsidR="000A592F" w:rsidRPr="000A592F" w:rsidTr="005C56A2">
        <w:trPr>
          <w:trHeight w:val="300"/>
        </w:trPr>
        <w:tc>
          <w:tcPr>
            <w:tcW w:w="1404" w:type="dxa"/>
            <w:vMerge w:val="restart"/>
            <w:tcBorders>
              <w:top w:val="nil"/>
              <w:left w:val="nil"/>
              <w:bottom w:val="nil"/>
              <w:right w:val="single" w:sz="8" w:space="0" w:color="FFFFFF"/>
            </w:tcBorders>
            <w:shd w:val="clear" w:color="000000" w:fill="1C75BC"/>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Age at valuation</w:t>
            </w:r>
          </w:p>
        </w:tc>
        <w:tc>
          <w:tcPr>
            <w:tcW w:w="4124" w:type="dxa"/>
            <w:gridSpan w:val="5"/>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Age first entering the system</w:t>
            </w:r>
          </w:p>
        </w:tc>
        <w:tc>
          <w:tcPr>
            <w:tcW w:w="932" w:type="dxa"/>
            <w:vMerge w:val="restart"/>
            <w:tcBorders>
              <w:top w:val="nil"/>
              <w:left w:val="nil"/>
              <w:bottom w:val="nil"/>
              <w:right w:val="single" w:sz="8" w:space="0" w:color="4F81BD" w:themeColor="accent1"/>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Average</w:t>
            </w:r>
          </w:p>
        </w:tc>
      </w:tr>
      <w:tr w:rsidR="000A592F" w:rsidRPr="000A592F" w:rsidTr="005C56A2">
        <w:trPr>
          <w:trHeight w:val="315"/>
        </w:trPr>
        <w:tc>
          <w:tcPr>
            <w:tcW w:w="1404" w:type="dxa"/>
            <w:vMerge/>
            <w:tcBorders>
              <w:top w:val="nil"/>
              <w:left w:val="nil"/>
              <w:bottom w:val="nil"/>
              <w:right w:val="single" w:sz="8" w:space="0" w:color="FFFFFF"/>
            </w:tcBorders>
            <w:vAlign w:val="center"/>
            <w:hideMark/>
          </w:tcPr>
          <w:p w:rsidR="000A592F" w:rsidRPr="000A592F" w:rsidRDefault="000A592F" w:rsidP="000A592F">
            <w:pPr>
              <w:keepNext/>
              <w:spacing w:after="0" w:line="240" w:lineRule="auto"/>
              <w:rPr>
                <w:rFonts w:ascii="Calibri" w:eastAsia="Times New Roman" w:hAnsi="Calibri" w:cs="Times New Roman"/>
                <w:b/>
                <w:color w:val="FFFFFF"/>
                <w:sz w:val="21"/>
                <w:szCs w:val="21"/>
                <w:lang w:val="en-AU" w:eastAsia="en-AU"/>
              </w:rPr>
            </w:pPr>
          </w:p>
        </w:tc>
        <w:tc>
          <w:tcPr>
            <w:tcW w:w="864" w:type="dxa"/>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16-19</w:t>
            </w:r>
          </w:p>
        </w:tc>
        <w:tc>
          <w:tcPr>
            <w:tcW w:w="851" w:type="dxa"/>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20-24</w:t>
            </w:r>
          </w:p>
        </w:tc>
        <w:tc>
          <w:tcPr>
            <w:tcW w:w="850" w:type="dxa"/>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25-29</w:t>
            </w:r>
          </w:p>
        </w:tc>
        <w:tc>
          <w:tcPr>
            <w:tcW w:w="851" w:type="dxa"/>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30-34</w:t>
            </w:r>
          </w:p>
        </w:tc>
        <w:tc>
          <w:tcPr>
            <w:tcW w:w="708" w:type="dxa"/>
            <w:tcBorders>
              <w:top w:val="nil"/>
              <w:left w:val="nil"/>
              <w:bottom w:val="nil"/>
              <w:right w:val="nil"/>
            </w:tcBorders>
            <w:shd w:val="clear" w:color="000000" w:fill="1C75BC"/>
            <w:noWrap/>
            <w:vAlign w:val="center"/>
            <w:hideMark/>
          </w:tcPr>
          <w:p w:rsidR="000A592F" w:rsidRPr="000A592F" w:rsidRDefault="000A592F" w:rsidP="000A592F">
            <w:pPr>
              <w:keepNext/>
              <w:spacing w:after="0" w:line="240" w:lineRule="auto"/>
              <w:jc w:val="center"/>
              <w:rPr>
                <w:rFonts w:ascii="Calibri" w:eastAsia="Times New Roman" w:hAnsi="Calibri" w:cs="Times New Roman"/>
                <w:b/>
                <w:color w:val="FFFFFF"/>
                <w:sz w:val="21"/>
                <w:szCs w:val="21"/>
                <w:lang w:val="en-AU" w:eastAsia="en-AU"/>
              </w:rPr>
            </w:pPr>
            <w:r w:rsidRPr="000A592F">
              <w:rPr>
                <w:rFonts w:ascii="Calibri" w:eastAsia="Times New Roman" w:hAnsi="Calibri" w:cs="Arial"/>
                <w:b/>
                <w:bCs/>
                <w:color w:val="FFFFFF"/>
                <w:sz w:val="21"/>
                <w:lang w:val="en-AU" w:eastAsia="en-AU"/>
              </w:rPr>
              <w:t>35-39</w:t>
            </w:r>
          </w:p>
        </w:tc>
        <w:tc>
          <w:tcPr>
            <w:tcW w:w="932" w:type="dxa"/>
            <w:vMerge/>
            <w:tcBorders>
              <w:top w:val="nil"/>
              <w:left w:val="nil"/>
              <w:bottom w:val="single" w:sz="8" w:space="0" w:color="1C75BC"/>
              <w:right w:val="single" w:sz="8" w:space="0" w:color="4F81BD" w:themeColor="accent1"/>
            </w:tcBorders>
            <w:vAlign w:val="center"/>
            <w:hideMark/>
          </w:tcPr>
          <w:p w:rsidR="000A592F" w:rsidRPr="000A592F" w:rsidRDefault="000A592F" w:rsidP="000A592F">
            <w:pPr>
              <w:keepNext/>
              <w:spacing w:after="0" w:line="240" w:lineRule="auto"/>
              <w:rPr>
                <w:rFonts w:ascii="Calibri" w:eastAsia="Times New Roman" w:hAnsi="Calibri" w:cs="Times New Roman"/>
                <w:b/>
                <w:color w:val="FFFFFF"/>
                <w:sz w:val="21"/>
                <w:szCs w:val="21"/>
                <w:lang w:val="en-AU" w:eastAsia="en-AU"/>
              </w:rPr>
            </w:pPr>
          </w:p>
        </w:tc>
      </w:tr>
      <w:tr w:rsidR="000A592F" w:rsidRPr="000A592F" w:rsidTr="005C56A2">
        <w:trPr>
          <w:trHeight w:val="300"/>
        </w:trPr>
        <w:tc>
          <w:tcPr>
            <w:tcW w:w="1404" w:type="dxa"/>
            <w:tcBorders>
              <w:top w:val="single" w:sz="8" w:space="0" w:color="1C75BC"/>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 </w:t>
            </w:r>
          </w:p>
        </w:tc>
        <w:tc>
          <w:tcPr>
            <w:tcW w:w="864" w:type="dxa"/>
            <w:tcBorders>
              <w:top w:val="single" w:sz="8" w:space="0" w:color="1C75BC"/>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c>
          <w:tcPr>
            <w:tcW w:w="851" w:type="dxa"/>
            <w:tcBorders>
              <w:top w:val="single" w:sz="8" w:space="0" w:color="1C75BC"/>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c>
          <w:tcPr>
            <w:tcW w:w="850" w:type="dxa"/>
            <w:tcBorders>
              <w:top w:val="single" w:sz="8" w:space="0" w:color="1C75BC"/>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c>
          <w:tcPr>
            <w:tcW w:w="851" w:type="dxa"/>
            <w:tcBorders>
              <w:top w:val="single" w:sz="8" w:space="0" w:color="1C75BC"/>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c>
          <w:tcPr>
            <w:tcW w:w="708" w:type="dxa"/>
            <w:tcBorders>
              <w:top w:val="single" w:sz="8" w:space="0" w:color="1C75BC"/>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c>
          <w:tcPr>
            <w:tcW w:w="932" w:type="dxa"/>
            <w:tcBorders>
              <w:top w:val="single" w:sz="8" w:space="0" w:color="1C75BC"/>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Arial"/>
                <w:color w:val="000000"/>
                <w:sz w:val="21"/>
                <w:lang w:val="en-AU" w:eastAsia="en-AU"/>
              </w:rPr>
              <w:t>$k</w:t>
            </w:r>
          </w:p>
        </w:tc>
      </w:tr>
      <w:tr w:rsidR="000A592F" w:rsidRPr="000A592F" w:rsidTr="005C56A2">
        <w:trPr>
          <w:trHeight w:val="300"/>
        </w:trPr>
        <w:tc>
          <w:tcPr>
            <w:tcW w:w="1404" w:type="dxa"/>
            <w:tcBorders>
              <w:top w:val="nil"/>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Times New Roman"/>
                <w:color w:val="000000"/>
                <w:sz w:val="21"/>
                <w:szCs w:val="21"/>
                <w:lang w:val="en-AU" w:eastAsia="en-AU"/>
              </w:rPr>
              <w:t>16-19</w:t>
            </w:r>
          </w:p>
        </w:tc>
        <w:tc>
          <w:tcPr>
            <w:tcW w:w="864"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159</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850"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708"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932" w:type="dxa"/>
            <w:tcBorders>
              <w:top w:val="nil"/>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159</w:t>
            </w:r>
          </w:p>
        </w:tc>
      </w:tr>
      <w:tr w:rsidR="000A592F" w:rsidRPr="000A592F" w:rsidTr="005C56A2">
        <w:trPr>
          <w:trHeight w:val="300"/>
        </w:trPr>
        <w:tc>
          <w:tcPr>
            <w:tcW w:w="1404" w:type="dxa"/>
            <w:tcBorders>
              <w:top w:val="nil"/>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Times New Roman"/>
                <w:color w:val="000000"/>
                <w:sz w:val="21"/>
                <w:szCs w:val="21"/>
                <w:lang w:val="en-AU" w:eastAsia="en-AU"/>
              </w:rPr>
              <w:t>20-24</w:t>
            </w:r>
          </w:p>
        </w:tc>
        <w:tc>
          <w:tcPr>
            <w:tcW w:w="864"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173</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80</w:t>
            </w:r>
          </w:p>
        </w:tc>
        <w:tc>
          <w:tcPr>
            <w:tcW w:w="850"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708"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932" w:type="dxa"/>
            <w:tcBorders>
              <w:top w:val="nil"/>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147</w:t>
            </w:r>
          </w:p>
        </w:tc>
      </w:tr>
      <w:tr w:rsidR="000A592F" w:rsidRPr="000A592F" w:rsidTr="005C56A2">
        <w:trPr>
          <w:trHeight w:val="300"/>
        </w:trPr>
        <w:tc>
          <w:tcPr>
            <w:tcW w:w="1404" w:type="dxa"/>
            <w:tcBorders>
              <w:top w:val="nil"/>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Times New Roman"/>
                <w:color w:val="000000"/>
                <w:sz w:val="21"/>
                <w:szCs w:val="21"/>
                <w:lang w:val="en-AU" w:eastAsia="en-AU"/>
              </w:rPr>
              <w:t>25-29</w:t>
            </w:r>
          </w:p>
        </w:tc>
        <w:tc>
          <w:tcPr>
            <w:tcW w:w="864"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192</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105</w:t>
            </w:r>
          </w:p>
        </w:tc>
        <w:tc>
          <w:tcPr>
            <w:tcW w:w="850"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59</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708"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932" w:type="dxa"/>
            <w:tcBorders>
              <w:top w:val="nil"/>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152</w:t>
            </w:r>
          </w:p>
        </w:tc>
      </w:tr>
      <w:tr w:rsidR="000A592F" w:rsidRPr="000A592F" w:rsidTr="005C56A2">
        <w:trPr>
          <w:trHeight w:val="300"/>
        </w:trPr>
        <w:tc>
          <w:tcPr>
            <w:tcW w:w="1404" w:type="dxa"/>
            <w:tcBorders>
              <w:top w:val="nil"/>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Times New Roman"/>
                <w:color w:val="000000"/>
                <w:sz w:val="21"/>
                <w:szCs w:val="21"/>
                <w:lang w:val="en-AU" w:eastAsia="en-AU"/>
              </w:rPr>
              <w:t>30-34</w:t>
            </w:r>
          </w:p>
        </w:tc>
        <w:tc>
          <w:tcPr>
            <w:tcW w:w="864"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186</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113</w:t>
            </w:r>
          </w:p>
        </w:tc>
        <w:tc>
          <w:tcPr>
            <w:tcW w:w="850"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70</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50</w:t>
            </w:r>
          </w:p>
        </w:tc>
        <w:tc>
          <w:tcPr>
            <w:tcW w:w="708"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 </w:t>
            </w:r>
          </w:p>
        </w:tc>
        <w:tc>
          <w:tcPr>
            <w:tcW w:w="932" w:type="dxa"/>
            <w:tcBorders>
              <w:top w:val="nil"/>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145</w:t>
            </w:r>
          </w:p>
        </w:tc>
      </w:tr>
      <w:tr w:rsidR="000A592F" w:rsidRPr="000A592F" w:rsidTr="005C56A2">
        <w:trPr>
          <w:trHeight w:val="300"/>
        </w:trPr>
        <w:tc>
          <w:tcPr>
            <w:tcW w:w="1404" w:type="dxa"/>
            <w:tcBorders>
              <w:top w:val="nil"/>
              <w:left w:val="single" w:sz="8" w:space="0" w:color="1C75BC"/>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rPr>
                <w:rFonts w:ascii="Calibri" w:eastAsia="Times New Roman" w:hAnsi="Calibri" w:cs="Times New Roman"/>
                <w:color w:val="000000"/>
                <w:sz w:val="21"/>
                <w:szCs w:val="21"/>
                <w:lang w:val="en-AU" w:eastAsia="en-AU"/>
              </w:rPr>
            </w:pPr>
            <w:r w:rsidRPr="000A592F">
              <w:rPr>
                <w:rFonts w:ascii="Calibri" w:eastAsia="Times New Roman" w:hAnsi="Calibri" w:cs="Times New Roman"/>
                <w:color w:val="000000"/>
                <w:sz w:val="21"/>
                <w:szCs w:val="21"/>
                <w:lang w:val="en-AU" w:eastAsia="en-AU"/>
              </w:rPr>
              <w:t>35-39</w:t>
            </w:r>
          </w:p>
        </w:tc>
        <w:tc>
          <w:tcPr>
            <w:tcW w:w="864"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175</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109</w:t>
            </w:r>
          </w:p>
        </w:tc>
        <w:tc>
          <w:tcPr>
            <w:tcW w:w="850"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86</w:t>
            </w:r>
          </w:p>
        </w:tc>
        <w:tc>
          <w:tcPr>
            <w:tcW w:w="851"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61</w:t>
            </w:r>
          </w:p>
        </w:tc>
        <w:tc>
          <w:tcPr>
            <w:tcW w:w="708" w:type="dxa"/>
            <w:tcBorders>
              <w:top w:val="nil"/>
              <w:left w:val="nil"/>
              <w:bottom w:val="nil"/>
              <w:right w:val="nil"/>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49</w:t>
            </w:r>
          </w:p>
        </w:tc>
        <w:tc>
          <w:tcPr>
            <w:tcW w:w="932" w:type="dxa"/>
            <w:tcBorders>
              <w:top w:val="nil"/>
              <w:left w:val="nil"/>
              <w:bottom w:val="nil"/>
              <w:right w:val="single" w:sz="8" w:space="0" w:color="1C75BC"/>
            </w:tcBorders>
            <w:shd w:val="clear" w:color="000000" w:fill="FFFFFF"/>
            <w:noWrap/>
            <w:vAlign w:val="center"/>
            <w:hideMark/>
          </w:tcPr>
          <w:p w:rsidR="000A592F" w:rsidRPr="000A592F" w:rsidRDefault="000A592F" w:rsidP="000A592F">
            <w:pPr>
              <w:keepNext/>
              <w:spacing w:after="0" w:line="240" w:lineRule="auto"/>
              <w:jc w:val="center"/>
              <w:rPr>
                <w:rFonts w:ascii="Calibri" w:eastAsia="Times New Roman" w:hAnsi="Calibri" w:cs="Times New Roman"/>
                <w:color w:val="000000"/>
                <w:sz w:val="21"/>
                <w:szCs w:val="21"/>
                <w:lang w:val="en-AU" w:eastAsia="en-AU"/>
              </w:rPr>
            </w:pPr>
            <w:r w:rsidRPr="000A592F">
              <w:rPr>
                <w:rFonts w:ascii="Calibri" w:eastAsia="Times New Roman" w:hAnsi="Calibri" w:cs="Calibri"/>
                <w:color w:val="000000"/>
                <w:sz w:val="21"/>
                <w:szCs w:val="21"/>
                <w:lang w:val="en-AU" w:eastAsia="en-AU"/>
              </w:rPr>
              <w:t>140</w:t>
            </w:r>
          </w:p>
        </w:tc>
      </w:tr>
      <w:tr w:rsidR="000A592F" w:rsidRPr="000A592F" w:rsidTr="005C56A2">
        <w:trPr>
          <w:trHeight w:val="315"/>
        </w:trPr>
        <w:tc>
          <w:tcPr>
            <w:tcW w:w="1404" w:type="dxa"/>
            <w:tcBorders>
              <w:top w:val="nil"/>
              <w:left w:val="single" w:sz="8" w:space="0" w:color="1C75BC"/>
              <w:bottom w:val="single" w:sz="8" w:space="0" w:color="1C75BC"/>
              <w:right w:val="single" w:sz="8" w:space="0" w:color="1C75BC"/>
            </w:tcBorders>
            <w:shd w:val="clear" w:color="000000" w:fill="FFFFFF"/>
            <w:noWrap/>
            <w:vAlign w:val="center"/>
            <w:hideMark/>
          </w:tcPr>
          <w:p w:rsidR="000A592F" w:rsidRPr="000A592F" w:rsidRDefault="000A592F" w:rsidP="000A592F">
            <w:pPr>
              <w:spacing w:after="0" w:line="240" w:lineRule="auto"/>
              <w:rPr>
                <w:rFonts w:ascii="Calibri" w:eastAsia="Times New Roman" w:hAnsi="Calibri" w:cs="Times New Roman"/>
                <w:b/>
                <w:color w:val="000000"/>
                <w:sz w:val="21"/>
                <w:szCs w:val="21"/>
                <w:lang w:val="en-AU" w:eastAsia="en-AU"/>
              </w:rPr>
            </w:pPr>
            <w:r w:rsidRPr="000A592F">
              <w:rPr>
                <w:rFonts w:ascii="Calibri" w:eastAsia="Times New Roman" w:hAnsi="Calibri" w:cs="Times New Roman"/>
                <w:b/>
                <w:color w:val="000000"/>
                <w:sz w:val="21"/>
                <w:szCs w:val="21"/>
                <w:lang w:val="en-AU" w:eastAsia="en-AU"/>
              </w:rPr>
              <w:t>Average</w:t>
            </w:r>
          </w:p>
        </w:tc>
        <w:tc>
          <w:tcPr>
            <w:tcW w:w="864" w:type="dxa"/>
            <w:tcBorders>
              <w:top w:val="nil"/>
              <w:left w:val="nil"/>
              <w:bottom w:val="single" w:sz="8" w:space="0" w:color="1C75BC"/>
              <w:right w:val="nil"/>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178</w:t>
            </w:r>
          </w:p>
        </w:tc>
        <w:tc>
          <w:tcPr>
            <w:tcW w:w="851" w:type="dxa"/>
            <w:tcBorders>
              <w:top w:val="nil"/>
              <w:left w:val="nil"/>
              <w:bottom w:val="single" w:sz="8" w:space="0" w:color="1C75BC"/>
              <w:right w:val="nil"/>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98</w:t>
            </w:r>
          </w:p>
        </w:tc>
        <w:tc>
          <w:tcPr>
            <w:tcW w:w="850" w:type="dxa"/>
            <w:tcBorders>
              <w:top w:val="nil"/>
              <w:left w:val="nil"/>
              <w:bottom w:val="single" w:sz="8" w:space="0" w:color="1C75BC"/>
              <w:right w:val="nil"/>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69</w:t>
            </w:r>
          </w:p>
        </w:tc>
        <w:tc>
          <w:tcPr>
            <w:tcW w:w="851" w:type="dxa"/>
            <w:tcBorders>
              <w:top w:val="nil"/>
              <w:left w:val="nil"/>
              <w:bottom w:val="single" w:sz="8" w:space="0" w:color="1C75BC"/>
              <w:right w:val="nil"/>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55</w:t>
            </w:r>
          </w:p>
        </w:tc>
        <w:tc>
          <w:tcPr>
            <w:tcW w:w="708" w:type="dxa"/>
            <w:tcBorders>
              <w:top w:val="nil"/>
              <w:left w:val="nil"/>
              <w:bottom w:val="single" w:sz="8" w:space="0" w:color="1C75BC"/>
              <w:right w:val="nil"/>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49</w:t>
            </w:r>
          </w:p>
        </w:tc>
        <w:tc>
          <w:tcPr>
            <w:tcW w:w="932" w:type="dxa"/>
            <w:tcBorders>
              <w:top w:val="nil"/>
              <w:left w:val="nil"/>
              <w:bottom w:val="single" w:sz="8" w:space="0" w:color="1C75BC"/>
              <w:right w:val="single" w:sz="8" w:space="0" w:color="1C75BC"/>
            </w:tcBorders>
            <w:shd w:val="clear" w:color="000000" w:fill="FFFFFF"/>
            <w:noWrap/>
            <w:vAlign w:val="center"/>
            <w:hideMark/>
          </w:tcPr>
          <w:p w:rsidR="000A592F" w:rsidRPr="000A592F" w:rsidRDefault="000A592F" w:rsidP="000A592F">
            <w:pPr>
              <w:spacing w:after="0" w:line="240" w:lineRule="auto"/>
              <w:jc w:val="center"/>
              <w:rPr>
                <w:rFonts w:ascii="Calibri" w:eastAsia="Times New Roman" w:hAnsi="Calibri" w:cs="Times New Roman"/>
                <w:b/>
                <w:color w:val="000000"/>
                <w:sz w:val="21"/>
                <w:szCs w:val="21"/>
                <w:lang w:val="en-AU" w:eastAsia="en-AU"/>
              </w:rPr>
            </w:pPr>
            <w:r w:rsidRPr="000A592F">
              <w:rPr>
                <w:rFonts w:ascii="Calibri" w:eastAsia="Times New Roman" w:hAnsi="Calibri" w:cs="Calibri"/>
                <w:b/>
                <w:color w:val="000000"/>
                <w:sz w:val="21"/>
                <w:szCs w:val="21"/>
                <w:lang w:val="en-AU" w:eastAsia="en-AU"/>
              </w:rPr>
              <w:t>147</w:t>
            </w:r>
          </w:p>
        </w:tc>
      </w:tr>
    </w:tbl>
    <w:p w:rsidR="00D9507D" w:rsidRPr="00D9507D" w:rsidRDefault="009B2930" w:rsidP="00D9507D">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T</w:t>
      </w:r>
      <w:r w:rsidR="00D9507D" w:rsidRPr="00D9507D">
        <w:rPr>
          <w:rFonts w:eastAsia="Times New Roman"/>
          <w:lang w:eastAsia="en-NZ"/>
        </w:rPr>
        <w:t xml:space="preserve">able </w:t>
      </w:r>
      <w:r>
        <w:rPr>
          <w:rFonts w:eastAsia="Times New Roman"/>
          <w:lang w:eastAsia="en-NZ"/>
        </w:rPr>
        <w:t xml:space="preserve">1 above </w:t>
      </w:r>
      <w:r w:rsidR="00D9507D" w:rsidRPr="00D9507D">
        <w:rPr>
          <w:rFonts w:eastAsia="Times New Roman"/>
          <w:lang w:eastAsia="en-NZ"/>
        </w:rPr>
        <w:t>shows that more variation in average lifetime cost is seen across age of entry, compared to age at valuation date. The future liability for clients currently aged 35-39 but entering in the 16-19 age ban</w:t>
      </w:r>
      <w:r w:rsidR="00C675CB">
        <w:rPr>
          <w:rFonts w:eastAsia="Times New Roman"/>
          <w:lang w:eastAsia="en-NZ"/>
        </w:rPr>
        <w:t>d (about $175,000) is almost 60 per cent</w:t>
      </w:r>
      <w:r w:rsidR="00D9507D" w:rsidRPr="00D9507D">
        <w:rPr>
          <w:rFonts w:eastAsia="Times New Roman"/>
          <w:lang w:eastAsia="en-NZ"/>
        </w:rPr>
        <w:t xml:space="preserve"> higher than those entering in the 20-24 band (about $109,000), more than double those entering in the 25-29 age band (about $86,000) and more than triple the average liability for those entering age 35-39 (about $49,000). On this simple tabulation, age of entry is in fact more predictive than current age in determining future cost.</w:t>
      </w:r>
    </w:p>
    <w:p w:rsidR="005952EA" w:rsidRDefault="005952EA" w:rsidP="005952EA">
      <w:pPr>
        <w:suppressAutoHyphens/>
        <w:autoSpaceDE w:val="0"/>
        <w:autoSpaceDN w:val="0"/>
        <w:adjustRightInd w:val="0"/>
        <w:spacing w:before="120" w:after="0" w:line="240" w:lineRule="auto"/>
        <w:textAlignment w:val="center"/>
        <w:rPr>
          <w:rFonts w:eastAsia="Times New Roman"/>
          <w:lang w:eastAsia="en-NZ"/>
        </w:rPr>
      </w:pPr>
      <w:proofErr w:type="gramStart"/>
      <w:r w:rsidRPr="00F027A5">
        <w:rPr>
          <w:rFonts w:eastAsia="Times New Roman"/>
          <w:lang w:eastAsia="en-NZ"/>
        </w:rPr>
        <w:t>These</w:t>
      </w:r>
      <w:proofErr w:type="gramEnd"/>
      <w:r w:rsidRPr="00F027A5">
        <w:rPr>
          <w:rFonts w:eastAsia="Times New Roman"/>
          <w:lang w:eastAsia="en-NZ"/>
        </w:rPr>
        <w:t xml:space="preserve"> </w:t>
      </w:r>
      <w:r w:rsidR="003E55DD">
        <w:rPr>
          <w:rFonts w:eastAsia="Times New Roman"/>
          <w:lang w:eastAsia="en-NZ"/>
        </w:rPr>
        <w:t xml:space="preserve">18-24 year-old </w:t>
      </w:r>
      <w:r w:rsidR="00784C40">
        <w:rPr>
          <w:rFonts w:eastAsia="Times New Roman"/>
          <w:lang w:eastAsia="en-NZ"/>
        </w:rPr>
        <w:t xml:space="preserve">NEET </w:t>
      </w:r>
      <w:r w:rsidRPr="00F027A5">
        <w:rPr>
          <w:rFonts w:eastAsia="Times New Roman"/>
          <w:lang w:eastAsia="en-NZ"/>
        </w:rPr>
        <w:t>clients are often distant from the labour market</w:t>
      </w:r>
      <w:r>
        <w:rPr>
          <w:rFonts w:eastAsia="Times New Roman"/>
          <w:lang w:eastAsia="en-NZ"/>
        </w:rPr>
        <w:t>, as they generally lack the education or skill levels to m</w:t>
      </w:r>
      <w:r w:rsidR="004D155F">
        <w:rPr>
          <w:rFonts w:eastAsia="Times New Roman"/>
          <w:lang w:eastAsia="en-NZ"/>
        </w:rPr>
        <w:t>ake them employable</w:t>
      </w:r>
      <w:r>
        <w:rPr>
          <w:rFonts w:eastAsia="Times New Roman"/>
          <w:lang w:eastAsia="en-NZ"/>
        </w:rPr>
        <w:t xml:space="preserve"> – </w:t>
      </w:r>
      <w:r w:rsidR="004D155F">
        <w:rPr>
          <w:rFonts w:eastAsia="Times New Roman"/>
          <w:lang w:eastAsia="en-NZ"/>
        </w:rPr>
        <w:t>getting them closer to the labour market is a crucial step towards employment and this requires working on their employability</w:t>
      </w:r>
      <w:r w:rsidRPr="00F027A5">
        <w:rPr>
          <w:rFonts w:eastAsia="Times New Roman"/>
          <w:lang w:eastAsia="en-NZ"/>
        </w:rPr>
        <w:t xml:space="preserve">. </w:t>
      </w:r>
    </w:p>
    <w:p w:rsidR="00263966" w:rsidRPr="002F56A0" w:rsidRDefault="00263966" w:rsidP="00D63BA5">
      <w:pPr>
        <w:suppressAutoHyphens/>
        <w:autoSpaceDE w:val="0"/>
        <w:autoSpaceDN w:val="0"/>
        <w:adjustRightInd w:val="0"/>
        <w:spacing w:before="120" w:after="0" w:line="240" w:lineRule="auto"/>
        <w:textAlignment w:val="center"/>
        <w:rPr>
          <w:rFonts w:eastAsia="Times New Roman"/>
          <w:lang w:eastAsia="en-NZ"/>
        </w:rPr>
      </w:pPr>
      <w:r w:rsidRPr="00263966">
        <w:rPr>
          <w:rFonts w:eastAsia="Times New Roman"/>
          <w:b/>
          <w:sz w:val="28"/>
          <w:lang w:eastAsia="en-NZ"/>
        </w:rPr>
        <w:t>Performance of the System</w:t>
      </w:r>
    </w:p>
    <w:p w:rsidR="00263966" w:rsidRPr="00263966" w:rsidRDefault="00DC2253" w:rsidP="00263966">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The setting of the Work Programme</w:t>
      </w:r>
      <w:r w:rsidR="00263966" w:rsidRPr="00263966">
        <w:rPr>
          <w:rFonts w:eastAsia="Times New Roman"/>
          <w:lang w:eastAsia="en-NZ"/>
        </w:rPr>
        <w:t xml:space="preserve"> requires an understanding of what works and what does not work. Trials are an important component of the investment approach, and the evaluation of trials will continue to provide the insights as to </w:t>
      </w:r>
      <w:r w:rsidR="00F7497E">
        <w:rPr>
          <w:rFonts w:eastAsia="Times New Roman"/>
          <w:lang w:eastAsia="en-NZ"/>
        </w:rPr>
        <w:t>the impacts a trial is having on client outcomes</w:t>
      </w:r>
      <w:r w:rsidR="00263966" w:rsidRPr="00263966">
        <w:rPr>
          <w:rFonts w:eastAsia="Times New Roman"/>
          <w:lang w:eastAsia="en-NZ"/>
        </w:rPr>
        <w:t xml:space="preserve"> – at which time MSD will decide whether to stop, continue or expand, and make trade-off decisions against existing interventions.</w:t>
      </w:r>
    </w:p>
    <w:p w:rsidR="00773381" w:rsidRDefault="00C1396E" w:rsidP="00263966">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The performance of the system is essentially encompassed in the effectiveness of our employment-related interventions funded through the MCA. Determining the effectiveness of all the supports and services funded through </w:t>
      </w:r>
      <w:r w:rsidR="00F4386C">
        <w:rPr>
          <w:rFonts w:eastAsia="Times New Roman"/>
          <w:lang w:eastAsia="en-NZ"/>
        </w:rPr>
        <w:t xml:space="preserve">MCA </w:t>
      </w:r>
      <w:r>
        <w:rPr>
          <w:rFonts w:eastAsia="Times New Roman"/>
          <w:lang w:eastAsia="en-NZ"/>
        </w:rPr>
        <w:t xml:space="preserve">requires a diverse </w:t>
      </w:r>
      <w:r w:rsidR="00252134">
        <w:rPr>
          <w:rFonts w:eastAsia="Times New Roman"/>
          <w:lang w:eastAsia="en-NZ"/>
        </w:rPr>
        <w:t>range</w:t>
      </w:r>
      <w:r>
        <w:rPr>
          <w:rFonts w:eastAsia="Times New Roman"/>
          <w:lang w:eastAsia="en-NZ"/>
        </w:rPr>
        <w:t xml:space="preserve"> of tools, chief amongst them a Return on Investment (</w:t>
      </w:r>
      <w:proofErr w:type="spellStart"/>
      <w:r>
        <w:rPr>
          <w:rFonts w:eastAsia="Times New Roman"/>
          <w:lang w:eastAsia="en-NZ"/>
        </w:rPr>
        <w:t>RoI</w:t>
      </w:r>
      <w:proofErr w:type="spellEnd"/>
      <w:r>
        <w:rPr>
          <w:rFonts w:eastAsia="Times New Roman"/>
          <w:lang w:eastAsia="en-NZ"/>
        </w:rPr>
        <w:t xml:space="preserve">) framework. There is </w:t>
      </w:r>
      <w:r w:rsidR="00252134">
        <w:rPr>
          <w:rFonts w:eastAsia="Times New Roman"/>
          <w:lang w:eastAsia="en-NZ"/>
        </w:rPr>
        <w:t xml:space="preserve">a </w:t>
      </w:r>
      <w:r>
        <w:rPr>
          <w:rFonts w:eastAsia="Times New Roman"/>
          <w:lang w:eastAsia="en-NZ"/>
        </w:rPr>
        <w:t xml:space="preserve">significant amount of work </w:t>
      </w:r>
      <w:r w:rsidR="00252134">
        <w:rPr>
          <w:rFonts w:eastAsia="Times New Roman"/>
          <w:lang w:eastAsia="en-NZ"/>
        </w:rPr>
        <w:t xml:space="preserve">underway </w:t>
      </w:r>
      <w:r>
        <w:rPr>
          <w:rFonts w:eastAsia="Times New Roman"/>
          <w:lang w:eastAsia="en-NZ"/>
        </w:rPr>
        <w:t>across MSD to align its existing effectiveness measurement tools with additional ones to enable a more precise and timely assessment of how well our interventions are performing.</w:t>
      </w:r>
    </w:p>
    <w:p w:rsidR="00263966" w:rsidRPr="00263966" w:rsidRDefault="00773381" w:rsidP="00773381">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lastRenderedPageBreak/>
        <w:t xml:space="preserve">A key piece of future work to help assess the impact of our interventions in improving client outcomes is the </w:t>
      </w:r>
      <w:proofErr w:type="spellStart"/>
      <w:r>
        <w:rPr>
          <w:rFonts w:eastAsia="Times New Roman"/>
          <w:lang w:eastAsia="en-NZ"/>
        </w:rPr>
        <w:t>RoI</w:t>
      </w:r>
      <w:proofErr w:type="spellEnd"/>
      <w:r>
        <w:rPr>
          <w:rFonts w:eastAsia="Times New Roman"/>
          <w:lang w:eastAsia="en-NZ"/>
        </w:rPr>
        <w:t xml:space="preserve"> work being developed by </w:t>
      </w:r>
      <w:proofErr w:type="spellStart"/>
      <w:r>
        <w:rPr>
          <w:rFonts w:eastAsia="Times New Roman"/>
          <w:lang w:eastAsia="en-NZ"/>
        </w:rPr>
        <w:t>iMSD</w:t>
      </w:r>
      <w:proofErr w:type="spellEnd"/>
      <w:r>
        <w:rPr>
          <w:rFonts w:eastAsia="Times New Roman"/>
          <w:lang w:eastAsia="en-NZ"/>
        </w:rPr>
        <w:t xml:space="preserve"> together with the actuaries and the Planning and Analysis team.</w:t>
      </w:r>
    </w:p>
    <w:p w:rsidR="00947FDA" w:rsidRPr="00D12E95" w:rsidRDefault="00947FDA" w:rsidP="00947FDA">
      <w:pPr>
        <w:suppressAutoHyphens/>
        <w:autoSpaceDE w:val="0"/>
        <w:autoSpaceDN w:val="0"/>
        <w:adjustRightInd w:val="0"/>
        <w:spacing w:before="120" w:after="0" w:line="240" w:lineRule="auto"/>
        <w:textAlignment w:val="center"/>
        <w:rPr>
          <w:rFonts w:eastAsia="Times New Roman"/>
          <w:i/>
          <w:lang w:eastAsia="en-NZ"/>
        </w:rPr>
      </w:pPr>
      <w:r w:rsidRPr="00D12E95">
        <w:rPr>
          <w:rFonts w:eastAsia="Times New Roman"/>
          <w:i/>
          <w:lang w:eastAsia="en-NZ"/>
        </w:rPr>
        <w:t>Return on Investment</w:t>
      </w:r>
    </w:p>
    <w:p w:rsidR="00947FDA" w:rsidRPr="005952EA" w:rsidRDefault="00947FDA" w:rsidP="00947FDA">
      <w:pPr>
        <w:suppressAutoHyphens/>
        <w:autoSpaceDE w:val="0"/>
        <w:autoSpaceDN w:val="0"/>
        <w:adjustRightInd w:val="0"/>
        <w:spacing w:before="120" w:after="0" w:line="240" w:lineRule="auto"/>
        <w:textAlignment w:val="center"/>
        <w:rPr>
          <w:rFonts w:eastAsia="Times New Roman"/>
          <w:lang w:eastAsia="en-NZ"/>
        </w:rPr>
      </w:pPr>
      <w:r w:rsidRPr="005952EA">
        <w:rPr>
          <w:rFonts w:eastAsia="Times New Roman"/>
          <w:lang w:eastAsia="en-NZ"/>
        </w:rPr>
        <w:t xml:space="preserve">Knowing the effectiveness of </w:t>
      </w:r>
      <w:r>
        <w:rPr>
          <w:rFonts w:eastAsia="Times New Roman"/>
          <w:lang w:eastAsia="en-NZ"/>
        </w:rPr>
        <w:t>employment assistance (</w:t>
      </w:r>
      <w:r w:rsidRPr="005952EA">
        <w:rPr>
          <w:rFonts w:eastAsia="Times New Roman"/>
          <w:lang w:eastAsia="en-NZ"/>
        </w:rPr>
        <w:t>EA</w:t>
      </w:r>
      <w:r>
        <w:rPr>
          <w:rFonts w:eastAsia="Times New Roman"/>
          <w:lang w:eastAsia="en-NZ"/>
        </w:rPr>
        <w:t>)</w:t>
      </w:r>
      <w:r w:rsidRPr="005952EA">
        <w:rPr>
          <w:rFonts w:eastAsia="Times New Roman"/>
          <w:lang w:eastAsia="en-NZ"/>
        </w:rPr>
        <w:t xml:space="preserve"> interventions is a pre-condition for calcul</w:t>
      </w:r>
      <w:r w:rsidR="00773381">
        <w:rPr>
          <w:rFonts w:eastAsia="Times New Roman"/>
          <w:lang w:eastAsia="en-NZ"/>
        </w:rPr>
        <w:t xml:space="preserve">ating the </w:t>
      </w:r>
      <w:proofErr w:type="spellStart"/>
      <w:r w:rsidR="00773381">
        <w:rPr>
          <w:rFonts w:eastAsia="Times New Roman"/>
          <w:lang w:eastAsia="en-NZ"/>
        </w:rPr>
        <w:t>RoI</w:t>
      </w:r>
      <w:proofErr w:type="spellEnd"/>
      <w:r w:rsidRPr="005952EA">
        <w:rPr>
          <w:rFonts w:eastAsia="Times New Roman"/>
          <w:lang w:eastAsia="en-NZ"/>
        </w:rPr>
        <w:t xml:space="preserve">. Now that we have built a strong evidence base on EA effectiveness, the next stage is to build our capability to calculate the </w:t>
      </w:r>
      <w:proofErr w:type="spellStart"/>
      <w:r w:rsidRPr="005952EA">
        <w:rPr>
          <w:rFonts w:eastAsia="Times New Roman"/>
          <w:lang w:eastAsia="en-NZ"/>
        </w:rPr>
        <w:t>RoI</w:t>
      </w:r>
      <w:proofErr w:type="spellEnd"/>
      <w:r w:rsidRPr="005952EA">
        <w:rPr>
          <w:rFonts w:eastAsia="Times New Roman"/>
          <w:lang w:eastAsia="en-NZ"/>
        </w:rPr>
        <w:t xml:space="preserve"> for EA interventions. We plan to take a staged approach:</w:t>
      </w:r>
    </w:p>
    <w:p w:rsidR="00947FDA" w:rsidRPr="005952EA" w:rsidRDefault="00947FDA" w:rsidP="000B740A">
      <w:pPr>
        <w:pStyle w:val="BodyText1"/>
        <w:numPr>
          <w:ilvl w:val="0"/>
          <w:numId w:val="4"/>
        </w:numPr>
        <w:ind w:left="709" w:hanging="283"/>
        <w:rPr>
          <w:rFonts w:ascii="Calibri" w:hAnsi="Calibri" w:cs="Calibri"/>
          <w:sz w:val="22"/>
          <w:szCs w:val="22"/>
        </w:rPr>
      </w:pPr>
      <w:r w:rsidRPr="005952EA">
        <w:rPr>
          <w:rFonts w:ascii="Calibri" w:hAnsi="Calibri" w:cs="Calibri"/>
          <w:i/>
          <w:iCs/>
          <w:sz w:val="22"/>
          <w:szCs w:val="22"/>
        </w:rPr>
        <w:t>Welfare Return on Investment</w:t>
      </w:r>
      <w:r w:rsidRPr="005952EA">
        <w:rPr>
          <w:rFonts w:ascii="Calibri" w:hAnsi="Calibri" w:cs="Calibri"/>
          <w:sz w:val="22"/>
          <w:szCs w:val="22"/>
        </w:rPr>
        <w:t xml:space="preserve">: working with the MSD actuaries, we are developing a measure of the actuarial </w:t>
      </w:r>
      <w:proofErr w:type="spellStart"/>
      <w:r w:rsidRPr="005952EA">
        <w:rPr>
          <w:rFonts w:ascii="Calibri" w:hAnsi="Calibri" w:cs="Calibri"/>
          <w:sz w:val="22"/>
          <w:szCs w:val="22"/>
        </w:rPr>
        <w:t>RoI</w:t>
      </w:r>
      <w:proofErr w:type="spellEnd"/>
      <w:r w:rsidRPr="005952EA">
        <w:rPr>
          <w:rFonts w:ascii="Calibri" w:hAnsi="Calibri" w:cs="Calibri"/>
          <w:sz w:val="22"/>
          <w:szCs w:val="22"/>
        </w:rPr>
        <w:t xml:space="preserve"> from a purely welfare perspective for each of the EA interventions. This measure will be in line with that reported in the Benefit System Performance Report, and will be included in this year’s annual effectiveness of MSD employment assistance report which is expected to be available mid-2017.</w:t>
      </w:r>
    </w:p>
    <w:p w:rsidR="00947FDA" w:rsidRPr="00947FDA" w:rsidRDefault="00947FDA" w:rsidP="000B740A">
      <w:pPr>
        <w:pStyle w:val="BodyText1"/>
        <w:numPr>
          <w:ilvl w:val="0"/>
          <w:numId w:val="4"/>
        </w:numPr>
        <w:ind w:left="709" w:hanging="283"/>
        <w:rPr>
          <w:rFonts w:ascii="Calibri" w:hAnsi="Calibri" w:cs="Calibri"/>
          <w:i/>
          <w:iCs/>
          <w:sz w:val="22"/>
          <w:szCs w:val="22"/>
        </w:rPr>
      </w:pPr>
      <w:r w:rsidRPr="005952EA">
        <w:rPr>
          <w:rFonts w:ascii="Calibri" w:hAnsi="Calibri" w:cs="Calibri"/>
          <w:i/>
          <w:iCs/>
          <w:sz w:val="22"/>
          <w:szCs w:val="22"/>
        </w:rPr>
        <w:t>Social Return on Investment</w:t>
      </w:r>
      <w:r w:rsidRPr="005952EA">
        <w:rPr>
          <w:rFonts w:ascii="Calibri" w:hAnsi="Calibri" w:cs="Calibri"/>
          <w:sz w:val="22"/>
          <w:szCs w:val="22"/>
        </w:rPr>
        <w:t xml:space="preserve">: our ultimate goal is to be able to assess the </w:t>
      </w:r>
      <w:proofErr w:type="spellStart"/>
      <w:r w:rsidRPr="005952EA">
        <w:rPr>
          <w:rFonts w:ascii="Calibri" w:hAnsi="Calibri" w:cs="Calibri"/>
          <w:sz w:val="22"/>
          <w:szCs w:val="22"/>
        </w:rPr>
        <w:t>RoI</w:t>
      </w:r>
      <w:proofErr w:type="spellEnd"/>
      <w:r w:rsidRPr="005952EA">
        <w:rPr>
          <w:rFonts w:ascii="Calibri" w:hAnsi="Calibri" w:cs="Calibri"/>
          <w:sz w:val="22"/>
          <w:szCs w:val="22"/>
        </w:rPr>
        <w:t xml:space="preserve"> of </w:t>
      </w:r>
      <w:r w:rsidR="00F4386C">
        <w:rPr>
          <w:rFonts w:ascii="Calibri" w:hAnsi="Calibri" w:cs="Calibri"/>
          <w:sz w:val="22"/>
          <w:szCs w:val="22"/>
        </w:rPr>
        <w:t>EA interventions from a society-</w:t>
      </w:r>
      <w:r w:rsidRPr="005952EA">
        <w:rPr>
          <w:rFonts w:ascii="Calibri" w:hAnsi="Calibri" w:cs="Calibri"/>
          <w:sz w:val="22"/>
          <w:szCs w:val="22"/>
        </w:rPr>
        <w:t xml:space="preserve">wide perspective. The Social </w:t>
      </w:r>
      <w:proofErr w:type="spellStart"/>
      <w:r w:rsidRPr="005952EA">
        <w:rPr>
          <w:rFonts w:ascii="Calibri" w:hAnsi="Calibri" w:cs="Calibri"/>
          <w:sz w:val="22"/>
          <w:szCs w:val="22"/>
        </w:rPr>
        <w:t>RoI</w:t>
      </w:r>
      <w:proofErr w:type="spellEnd"/>
      <w:r w:rsidRPr="005952EA">
        <w:rPr>
          <w:rFonts w:ascii="Calibri" w:hAnsi="Calibri" w:cs="Calibri"/>
          <w:sz w:val="22"/>
          <w:szCs w:val="22"/>
        </w:rPr>
        <w:t xml:space="preserve"> will help MSD understand and quantify a broader spectrum of social costs and benefits e.g. taxable earnings, justice and health outcomes. The Social </w:t>
      </w:r>
      <w:proofErr w:type="spellStart"/>
      <w:r w:rsidRPr="005952EA">
        <w:rPr>
          <w:rFonts w:ascii="Calibri" w:hAnsi="Calibri" w:cs="Calibri"/>
          <w:sz w:val="22"/>
          <w:szCs w:val="22"/>
        </w:rPr>
        <w:t>RoI</w:t>
      </w:r>
      <w:proofErr w:type="spellEnd"/>
      <w:r w:rsidRPr="005952EA">
        <w:rPr>
          <w:rFonts w:ascii="Calibri" w:hAnsi="Calibri" w:cs="Calibri"/>
          <w:sz w:val="22"/>
          <w:szCs w:val="22"/>
        </w:rPr>
        <w:t xml:space="preserve"> will be developed in collaboration with the MSD actuarial team, The Treasury and other agencies to ensure consistency across the social sector in measuring and valuing social impacts. We intend to be able to include the Social </w:t>
      </w:r>
      <w:proofErr w:type="spellStart"/>
      <w:r w:rsidRPr="005952EA">
        <w:rPr>
          <w:rFonts w:ascii="Calibri" w:hAnsi="Calibri" w:cs="Calibri"/>
          <w:sz w:val="22"/>
          <w:szCs w:val="22"/>
        </w:rPr>
        <w:t>RoI</w:t>
      </w:r>
      <w:proofErr w:type="spellEnd"/>
      <w:r w:rsidRPr="005952EA">
        <w:rPr>
          <w:rFonts w:ascii="Calibri" w:hAnsi="Calibri" w:cs="Calibri"/>
          <w:sz w:val="22"/>
          <w:szCs w:val="22"/>
        </w:rPr>
        <w:t xml:space="preserve"> in the </w:t>
      </w:r>
      <w:r w:rsidR="00765FBA">
        <w:rPr>
          <w:rFonts w:ascii="Calibri" w:hAnsi="Calibri" w:cs="Calibri"/>
          <w:sz w:val="22"/>
          <w:szCs w:val="22"/>
        </w:rPr>
        <w:t xml:space="preserve">Cost-Effectiveness </w:t>
      </w:r>
      <w:r w:rsidRPr="005952EA">
        <w:rPr>
          <w:rFonts w:ascii="Calibri" w:hAnsi="Calibri" w:cs="Calibri"/>
          <w:sz w:val="22"/>
          <w:szCs w:val="22"/>
        </w:rPr>
        <w:t>2018 report.</w:t>
      </w:r>
    </w:p>
    <w:p w:rsidR="00263966" w:rsidRPr="00263966" w:rsidRDefault="00D0577E" w:rsidP="00263966">
      <w:pPr>
        <w:suppressAutoHyphens/>
        <w:autoSpaceDE w:val="0"/>
        <w:autoSpaceDN w:val="0"/>
        <w:adjustRightInd w:val="0"/>
        <w:spacing w:before="120" w:after="0" w:line="240" w:lineRule="auto"/>
        <w:textAlignment w:val="center"/>
        <w:rPr>
          <w:rFonts w:eastAsia="Times New Roman"/>
          <w:b/>
          <w:i/>
          <w:lang w:eastAsia="en-NZ"/>
        </w:rPr>
      </w:pPr>
      <w:r>
        <w:rPr>
          <w:rFonts w:eastAsia="Times New Roman"/>
          <w:b/>
          <w:i/>
          <w:lang w:eastAsia="en-NZ"/>
        </w:rPr>
        <w:t>Employment Outcomes Multi-Category Appropriation</w:t>
      </w:r>
    </w:p>
    <w:p w:rsidR="007E12D1" w:rsidRDefault="004F7457" w:rsidP="00D63BA5">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MSD’s employment and income support activities are funded through the</w:t>
      </w:r>
      <w:r w:rsidR="006938B5">
        <w:rPr>
          <w:rFonts w:eastAsia="Times New Roman"/>
          <w:lang w:eastAsia="en-NZ"/>
        </w:rPr>
        <w:t xml:space="preserve"> MCA</w:t>
      </w:r>
      <w:r w:rsidR="00263966" w:rsidRPr="00263966">
        <w:rPr>
          <w:rFonts w:eastAsia="Times New Roman"/>
          <w:lang w:eastAsia="en-NZ"/>
        </w:rPr>
        <w:t xml:space="preserve">. </w:t>
      </w:r>
      <w:r w:rsidR="0067032A">
        <w:rPr>
          <w:rFonts w:eastAsia="Times New Roman"/>
          <w:lang w:eastAsia="en-NZ"/>
        </w:rPr>
        <w:t xml:space="preserve">The funding flexibility provided by the MCA structure and the delegation of decision-making rights from Ministers to the </w:t>
      </w:r>
      <w:r w:rsidR="00263966" w:rsidRPr="00263966">
        <w:rPr>
          <w:rFonts w:eastAsia="Times New Roman"/>
          <w:lang w:eastAsia="en-NZ"/>
        </w:rPr>
        <w:t xml:space="preserve">MSD </w:t>
      </w:r>
      <w:r w:rsidR="0067032A">
        <w:rPr>
          <w:rFonts w:eastAsia="Times New Roman"/>
          <w:lang w:eastAsia="en-NZ"/>
        </w:rPr>
        <w:t xml:space="preserve">Chief Executive </w:t>
      </w:r>
      <w:proofErr w:type="gramStart"/>
      <w:r w:rsidR="0067032A">
        <w:rPr>
          <w:rFonts w:eastAsia="Times New Roman"/>
          <w:lang w:eastAsia="en-NZ"/>
        </w:rPr>
        <w:t>are</w:t>
      </w:r>
      <w:proofErr w:type="gramEnd"/>
      <w:r w:rsidR="0067032A">
        <w:rPr>
          <w:rFonts w:eastAsia="Times New Roman"/>
          <w:lang w:eastAsia="en-NZ"/>
        </w:rPr>
        <w:t xml:space="preserve"> key </w:t>
      </w:r>
      <w:r w:rsidR="002C1828">
        <w:rPr>
          <w:rFonts w:eastAsia="Times New Roman"/>
          <w:lang w:eastAsia="en-NZ"/>
        </w:rPr>
        <w:t>components to</w:t>
      </w:r>
      <w:r w:rsidR="0067032A">
        <w:rPr>
          <w:rFonts w:eastAsia="Times New Roman"/>
          <w:lang w:eastAsia="en-NZ"/>
        </w:rPr>
        <w:t xml:space="preserve"> the investment approach. </w:t>
      </w:r>
      <w:r w:rsidR="002C1828">
        <w:rPr>
          <w:rFonts w:eastAsia="Times New Roman"/>
          <w:lang w:eastAsia="en-NZ"/>
        </w:rPr>
        <w:t>Understanding the effectiveness of current spend under the MCA allows MSD to shift funding to where it will have the highest impact on clients.</w:t>
      </w:r>
    </w:p>
    <w:p w:rsidR="006938B5" w:rsidRDefault="004F7457" w:rsidP="006938B5">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In the 2016/17 year, around $384 million, or 57 per cent, of total MCA funding was spent on employme</w:t>
      </w:r>
      <w:r w:rsidR="00F4386C">
        <w:rPr>
          <w:rFonts w:eastAsia="Times New Roman"/>
          <w:lang w:eastAsia="en-NZ"/>
        </w:rPr>
        <w:t>nt activities, with the remainder</w:t>
      </w:r>
      <w:r>
        <w:rPr>
          <w:rFonts w:eastAsia="Times New Roman"/>
          <w:lang w:eastAsia="en-NZ"/>
        </w:rPr>
        <w:t xml:space="preserve"> spent on income support. As we move into 2017/18, total MCA funding </w:t>
      </w:r>
      <w:r w:rsidR="00F4386C">
        <w:rPr>
          <w:rFonts w:eastAsia="Times New Roman"/>
          <w:lang w:eastAsia="en-NZ"/>
        </w:rPr>
        <w:t>is forecast to reduce</w:t>
      </w:r>
      <w:r>
        <w:rPr>
          <w:rFonts w:eastAsia="Times New Roman"/>
          <w:lang w:eastAsia="en-NZ"/>
        </w:rPr>
        <w:t xml:space="preserve"> to $644 million, with the reduction principally occurring in income support activities, as transactional acti</w:t>
      </w:r>
      <w:r w:rsidR="00B728EF">
        <w:rPr>
          <w:rFonts w:eastAsia="Times New Roman"/>
          <w:lang w:eastAsia="en-NZ"/>
        </w:rPr>
        <w:t>vities from the Simplification P</w:t>
      </w:r>
      <w:r>
        <w:rPr>
          <w:rFonts w:eastAsia="Times New Roman"/>
          <w:lang w:eastAsia="en-NZ"/>
        </w:rPr>
        <w:t xml:space="preserve">rogramme flow through to a reduced cost to serve in this area. Employment investment remains relatively constant. </w:t>
      </w:r>
    </w:p>
    <w:p w:rsidR="00C675CB" w:rsidRPr="00046578" w:rsidRDefault="004F7457" w:rsidP="004F7457">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MCA funding movements between 2016/17 and 2017/18 are sum</w:t>
      </w:r>
      <w:r w:rsidR="00FD356D">
        <w:rPr>
          <w:rFonts w:eastAsia="Times New Roman"/>
          <w:lang w:eastAsia="en-NZ"/>
        </w:rPr>
        <w:t>marised in Figure 9</w:t>
      </w:r>
      <w:r w:rsidR="006177C8">
        <w:rPr>
          <w:rFonts w:eastAsia="Times New Roman"/>
          <w:lang w:eastAsia="en-NZ"/>
        </w:rPr>
        <w:t xml:space="preserve"> </w:t>
      </w:r>
      <w:proofErr w:type="spellStart"/>
      <w:r w:rsidR="006177C8">
        <w:rPr>
          <w:rFonts w:eastAsia="Times New Roman"/>
          <w:lang w:eastAsia="en-NZ"/>
        </w:rPr>
        <w:t>overpage</w:t>
      </w:r>
      <w:proofErr w:type="spellEnd"/>
      <w:r w:rsidR="00D60F4D">
        <w:rPr>
          <w:rFonts w:eastAsia="Times New Roman"/>
          <w:lang w:eastAsia="en-NZ"/>
        </w:rPr>
        <w:t>.</w:t>
      </w:r>
      <w:r>
        <w:rPr>
          <w:rFonts w:eastAsia="Times New Roman"/>
          <w:lang w:eastAsia="en-NZ"/>
        </w:rPr>
        <w:t xml:space="preserve"> </w:t>
      </w: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FD356D" w:rsidRDefault="00FD356D"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514B67" w:rsidRDefault="00514B67" w:rsidP="004F7457">
      <w:pPr>
        <w:suppressAutoHyphens/>
        <w:autoSpaceDE w:val="0"/>
        <w:autoSpaceDN w:val="0"/>
        <w:adjustRightInd w:val="0"/>
        <w:spacing w:before="120" w:after="0" w:line="240" w:lineRule="auto"/>
        <w:textAlignment w:val="center"/>
        <w:rPr>
          <w:rFonts w:eastAsia="Times New Roman"/>
          <w:b/>
          <w:sz w:val="18"/>
          <w:szCs w:val="18"/>
          <w:lang w:eastAsia="en-NZ"/>
        </w:rPr>
      </w:pPr>
    </w:p>
    <w:p w:rsidR="004F7457" w:rsidRPr="002B545E" w:rsidRDefault="004F7457" w:rsidP="004F7457">
      <w:pPr>
        <w:suppressAutoHyphens/>
        <w:autoSpaceDE w:val="0"/>
        <w:autoSpaceDN w:val="0"/>
        <w:adjustRightInd w:val="0"/>
        <w:spacing w:before="120" w:after="0" w:line="240" w:lineRule="auto"/>
        <w:textAlignment w:val="center"/>
        <w:rPr>
          <w:rFonts w:eastAsia="Times New Roman"/>
          <w:b/>
          <w:sz w:val="18"/>
          <w:szCs w:val="18"/>
          <w:lang w:eastAsia="en-NZ"/>
        </w:rPr>
      </w:pPr>
      <w:r>
        <w:rPr>
          <w:rFonts w:eastAsia="Times New Roman"/>
          <w:b/>
          <w:sz w:val="18"/>
          <w:szCs w:val="18"/>
          <w:lang w:eastAsia="en-NZ"/>
        </w:rPr>
        <w:lastRenderedPageBreak/>
        <w:t xml:space="preserve">Figure </w:t>
      </w:r>
      <w:r w:rsidR="00FD356D">
        <w:rPr>
          <w:rFonts w:eastAsia="Times New Roman"/>
          <w:b/>
          <w:sz w:val="18"/>
          <w:szCs w:val="18"/>
          <w:lang w:eastAsia="en-NZ"/>
        </w:rPr>
        <w:t>9</w:t>
      </w:r>
      <w:r>
        <w:rPr>
          <w:rFonts w:eastAsia="Times New Roman"/>
          <w:b/>
          <w:sz w:val="18"/>
          <w:szCs w:val="18"/>
          <w:lang w:eastAsia="en-NZ"/>
        </w:rPr>
        <w:t>: Consolid</w:t>
      </w:r>
      <w:r w:rsidR="00514B67">
        <w:rPr>
          <w:rFonts w:eastAsia="Times New Roman"/>
          <w:b/>
          <w:sz w:val="18"/>
          <w:szCs w:val="18"/>
          <w:lang w:eastAsia="en-NZ"/>
        </w:rPr>
        <w:t xml:space="preserve">ation of Movements from 2016/17 </w:t>
      </w:r>
      <w:r>
        <w:rPr>
          <w:rFonts w:eastAsia="Times New Roman"/>
          <w:b/>
          <w:sz w:val="18"/>
          <w:szCs w:val="18"/>
          <w:lang w:eastAsia="en-NZ"/>
        </w:rPr>
        <w:t>to 2017/18</w:t>
      </w:r>
    </w:p>
    <w:p w:rsidR="00DD36AC" w:rsidRDefault="00514B67" w:rsidP="006938B5">
      <w:pPr>
        <w:suppressAutoHyphens/>
        <w:autoSpaceDE w:val="0"/>
        <w:autoSpaceDN w:val="0"/>
        <w:adjustRightInd w:val="0"/>
        <w:spacing w:before="120" w:after="0" w:line="240" w:lineRule="auto"/>
        <w:textAlignment w:val="center"/>
        <w:rPr>
          <w:noProof/>
          <w:lang w:eastAsia="en-NZ"/>
        </w:rPr>
      </w:pPr>
      <w:r w:rsidRPr="00514B67">
        <w:rPr>
          <w:noProof/>
          <w:lang w:eastAsia="en-NZ"/>
        </w:rPr>
        <w:drawing>
          <wp:inline distT="0" distB="0" distL="0" distR="0">
            <wp:extent cx="5736213" cy="3413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3411339"/>
                    </a:xfrm>
                    <a:prstGeom prst="rect">
                      <a:avLst/>
                    </a:prstGeom>
                    <a:noFill/>
                    <a:ln>
                      <a:noFill/>
                    </a:ln>
                  </pic:spPr>
                </pic:pic>
              </a:graphicData>
            </a:graphic>
          </wp:inline>
        </w:drawing>
      </w:r>
    </w:p>
    <w:p w:rsidR="004F7457" w:rsidRPr="00D60F4D" w:rsidRDefault="00FD356D" w:rsidP="006938B5">
      <w:pPr>
        <w:suppressAutoHyphens/>
        <w:autoSpaceDE w:val="0"/>
        <w:autoSpaceDN w:val="0"/>
        <w:adjustRightInd w:val="0"/>
        <w:spacing w:before="120" w:after="0" w:line="240" w:lineRule="auto"/>
        <w:textAlignment w:val="center"/>
        <w:rPr>
          <w:rFonts w:eastAsia="Times New Roman"/>
          <w:lang w:eastAsia="en-NZ"/>
        </w:rPr>
      </w:pPr>
      <w:r>
        <w:rPr>
          <w:rFonts w:cstheme="minorHAnsi"/>
        </w:rPr>
        <w:t xml:space="preserve">Figure 10 </w:t>
      </w:r>
      <w:r w:rsidR="00514B67">
        <w:rPr>
          <w:rFonts w:cstheme="minorHAnsi"/>
        </w:rPr>
        <w:t>below</w:t>
      </w:r>
      <w:r w:rsidR="004F7457">
        <w:rPr>
          <w:rFonts w:cstheme="minorHAnsi"/>
        </w:rPr>
        <w:t xml:space="preserve"> summarises 2016/17 investment and proposed 2017/18 investment assuming no change to the mix of clients receiving employment services.</w:t>
      </w:r>
    </w:p>
    <w:p w:rsidR="002C1828" w:rsidRPr="002C1828" w:rsidRDefault="002C1828" w:rsidP="006938B5">
      <w:pPr>
        <w:suppressAutoHyphens/>
        <w:autoSpaceDE w:val="0"/>
        <w:autoSpaceDN w:val="0"/>
        <w:adjustRightInd w:val="0"/>
        <w:spacing w:before="120" w:after="0" w:line="240" w:lineRule="auto"/>
        <w:textAlignment w:val="center"/>
        <w:rPr>
          <w:rFonts w:cstheme="minorHAnsi"/>
          <w:b/>
          <w:sz w:val="18"/>
          <w:szCs w:val="18"/>
        </w:rPr>
      </w:pPr>
      <w:r>
        <w:rPr>
          <w:rFonts w:cstheme="minorHAnsi"/>
          <w:b/>
          <w:sz w:val="18"/>
          <w:szCs w:val="18"/>
        </w:rPr>
        <w:t xml:space="preserve">Figure </w:t>
      </w:r>
      <w:r w:rsidR="00FD356D">
        <w:rPr>
          <w:rFonts w:cstheme="minorHAnsi"/>
          <w:b/>
          <w:sz w:val="18"/>
          <w:szCs w:val="18"/>
        </w:rPr>
        <w:t>10</w:t>
      </w:r>
      <w:r w:rsidRPr="00D63BA5">
        <w:rPr>
          <w:rFonts w:cstheme="minorHAnsi"/>
          <w:b/>
          <w:sz w:val="18"/>
          <w:szCs w:val="18"/>
        </w:rPr>
        <w:t>: Consolidated MCA Fin</w:t>
      </w:r>
      <w:r>
        <w:rPr>
          <w:rFonts w:cstheme="minorHAnsi"/>
          <w:b/>
          <w:sz w:val="18"/>
          <w:szCs w:val="18"/>
        </w:rPr>
        <w:t>ancial Spend Comparison (2016/17 to 2017/18</w:t>
      </w:r>
      <w:r w:rsidRPr="00D63BA5">
        <w:rPr>
          <w:rFonts w:cstheme="minorHAnsi"/>
          <w:b/>
          <w:sz w:val="18"/>
          <w:szCs w:val="18"/>
        </w:rPr>
        <w:t>)</w:t>
      </w:r>
      <w:r w:rsidRPr="00D63BA5">
        <w:rPr>
          <w:rStyle w:val="FootnoteReference"/>
          <w:rFonts w:asciiTheme="minorHAnsi" w:hAnsiTheme="minorHAnsi" w:cstheme="minorHAnsi"/>
          <w:b/>
        </w:rPr>
        <w:footnoteReference w:id="2"/>
      </w:r>
      <w:r w:rsidRPr="00D63BA5">
        <w:rPr>
          <w:rFonts w:cstheme="minorHAnsi"/>
          <w:b/>
          <w:sz w:val="18"/>
          <w:szCs w:val="18"/>
        </w:rPr>
        <w:t xml:space="preserve"> </w:t>
      </w:r>
    </w:p>
    <w:p w:rsidR="004477E4" w:rsidRPr="004477E4" w:rsidRDefault="004477E4" w:rsidP="00D53C9F">
      <w:pPr>
        <w:suppressAutoHyphens/>
        <w:autoSpaceDE w:val="0"/>
        <w:autoSpaceDN w:val="0"/>
        <w:adjustRightInd w:val="0"/>
        <w:spacing w:before="120" w:after="0" w:line="240" w:lineRule="auto"/>
        <w:textAlignment w:val="center"/>
        <w:rPr>
          <w:rFonts w:eastAsia="Times New Roman"/>
          <w:lang w:eastAsia="en-NZ"/>
        </w:rPr>
      </w:pPr>
      <w:r w:rsidRPr="004477E4">
        <w:rPr>
          <w:noProof/>
          <w:lang w:eastAsia="en-NZ"/>
        </w:rPr>
        <w:drawing>
          <wp:inline distT="0" distB="0" distL="0" distR="0">
            <wp:extent cx="6225540" cy="4000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5540" cy="4000500"/>
                    </a:xfrm>
                    <a:prstGeom prst="rect">
                      <a:avLst/>
                    </a:prstGeom>
                    <a:noFill/>
                    <a:ln>
                      <a:noFill/>
                    </a:ln>
                  </pic:spPr>
                </pic:pic>
              </a:graphicData>
            </a:graphic>
          </wp:inline>
        </w:drawing>
      </w:r>
    </w:p>
    <w:p w:rsidR="00D12E95" w:rsidRDefault="004F7457" w:rsidP="00D53C9F">
      <w:pPr>
        <w:suppressAutoHyphens/>
        <w:autoSpaceDE w:val="0"/>
        <w:autoSpaceDN w:val="0"/>
        <w:adjustRightInd w:val="0"/>
        <w:spacing w:before="120" w:after="0" w:line="240" w:lineRule="auto"/>
        <w:textAlignment w:val="center"/>
        <w:rPr>
          <w:rFonts w:eastAsia="Times New Roman"/>
          <w:i/>
          <w:lang w:eastAsia="en-NZ"/>
        </w:rPr>
      </w:pPr>
      <w:r>
        <w:rPr>
          <w:rFonts w:eastAsia="Times New Roman"/>
          <w:i/>
          <w:lang w:eastAsia="en-NZ"/>
        </w:rPr>
        <w:lastRenderedPageBreak/>
        <w:t>Nature of costs that make up the MCA</w:t>
      </w:r>
    </w:p>
    <w:p w:rsidR="00FC13D8" w:rsidRDefault="00FC13D8" w:rsidP="00FC13D8">
      <w:pPr>
        <w:suppressAutoHyphens/>
        <w:autoSpaceDE w:val="0"/>
        <w:autoSpaceDN w:val="0"/>
        <w:adjustRightInd w:val="0"/>
        <w:spacing w:before="120" w:after="0" w:line="240" w:lineRule="auto"/>
        <w:textAlignment w:val="center"/>
        <w:rPr>
          <w:rFonts w:eastAsia="Times New Roman"/>
          <w:lang w:eastAsia="en-NZ"/>
        </w:rPr>
      </w:pPr>
      <w:r w:rsidRPr="006177C8">
        <w:rPr>
          <w:rFonts w:eastAsia="Times New Roman"/>
          <w:lang w:eastAsia="en-NZ"/>
        </w:rPr>
        <w:t>Overall the MCA reduces by $35 million in 2017/18, entirely in the Income Support category. This largely reflects the continuing impact of the Simplification programme, which is driving an increasing proportion of income support activity towards digital channels, with a corresponding reduction in cost.</w:t>
      </w:r>
    </w:p>
    <w:p w:rsidR="004F7457" w:rsidRDefault="00765FBA" w:rsidP="00D53C9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It is </w:t>
      </w:r>
      <w:r w:rsidR="007D2C33">
        <w:rPr>
          <w:rFonts w:eastAsia="Times New Roman"/>
          <w:lang w:eastAsia="en-NZ"/>
        </w:rPr>
        <w:t xml:space="preserve">important to </w:t>
      </w:r>
      <w:r>
        <w:rPr>
          <w:rFonts w:eastAsia="Times New Roman"/>
          <w:lang w:eastAsia="en-NZ"/>
        </w:rPr>
        <w:t>note</w:t>
      </w:r>
      <w:r w:rsidR="004F7457">
        <w:rPr>
          <w:rFonts w:eastAsia="Times New Roman"/>
          <w:lang w:eastAsia="en-NZ"/>
        </w:rPr>
        <w:t xml:space="preserve"> that in 2016/17, around 46 per cent of total costs underlying the MCA comprised direct personnel and administration costs relating to 3,750 staff, around 29 per cent related to third-party contracted services</w:t>
      </w:r>
      <w:r w:rsidR="00947FDA">
        <w:rPr>
          <w:rFonts w:eastAsia="Times New Roman"/>
          <w:lang w:eastAsia="en-NZ"/>
        </w:rPr>
        <w:t xml:space="preserve"> such as Training for Work and Flexi-Wage, and the remaining 25 per cent is supporting infrastructure, such as IT, property and corporate support costs.</w:t>
      </w:r>
    </w:p>
    <w:p w:rsidR="0067032A" w:rsidRPr="009B7EB6" w:rsidRDefault="003A4C68" w:rsidP="004621E7">
      <w:pPr>
        <w:suppressAutoHyphens/>
        <w:autoSpaceDE w:val="0"/>
        <w:autoSpaceDN w:val="0"/>
        <w:adjustRightInd w:val="0"/>
        <w:spacing w:before="120" w:after="0" w:line="240" w:lineRule="auto"/>
        <w:textAlignment w:val="center"/>
        <w:rPr>
          <w:b/>
          <w:i/>
        </w:rPr>
      </w:pPr>
      <w:r>
        <w:rPr>
          <w:b/>
        </w:rPr>
        <w:t>2017/18</w:t>
      </w:r>
      <w:r w:rsidR="005F386F">
        <w:rPr>
          <w:b/>
        </w:rPr>
        <w:t xml:space="preserve"> </w:t>
      </w:r>
      <w:r w:rsidR="00C93689">
        <w:rPr>
          <w:b/>
          <w:i/>
        </w:rPr>
        <w:t xml:space="preserve">MCA </w:t>
      </w:r>
      <w:r w:rsidR="009B7EB6">
        <w:rPr>
          <w:b/>
          <w:i/>
        </w:rPr>
        <w:t>Investmen</w:t>
      </w:r>
      <w:r w:rsidR="00947FDA">
        <w:rPr>
          <w:b/>
          <w:i/>
        </w:rPr>
        <w:t>t Mix</w:t>
      </w:r>
    </w:p>
    <w:p w:rsidR="00E13DDE" w:rsidRDefault="001A420C" w:rsidP="00E13DDE">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As MSD continues to strive to achieve</w:t>
      </w:r>
      <w:r w:rsidR="00E13DDE">
        <w:rPr>
          <w:rFonts w:eastAsia="Times New Roman"/>
          <w:lang w:eastAsia="en-NZ"/>
        </w:rPr>
        <w:t xml:space="preserve"> BPS 1,</w:t>
      </w:r>
      <w:r>
        <w:rPr>
          <w:rFonts w:eastAsia="Times New Roman"/>
          <w:lang w:eastAsia="en-NZ"/>
        </w:rPr>
        <w:t xml:space="preserve"> we have</w:t>
      </w:r>
      <w:r w:rsidR="00E13DDE" w:rsidRPr="00263966">
        <w:rPr>
          <w:rFonts w:eastAsia="Times New Roman"/>
          <w:lang w:eastAsia="en-NZ"/>
        </w:rPr>
        <w:t xml:space="preserve"> to increasingly </w:t>
      </w:r>
      <w:r>
        <w:rPr>
          <w:rFonts w:eastAsia="Times New Roman"/>
          <w:lang w:eastAsia="en-NZ"/>
        </w:rPr>
        <w:t>invest in</w:t>
      </w:r>
      <w:r w:rsidR="00E13DDE" w:rsidRPr="00263966">
        <w:rPr>
          <w:rFonts w:eastAsia="Times New Roman"/>
          <w:lang w:eastAsia="en-NZ"/>
        </w:rPr>
        <w:t xml:space="preserve"> clients with </w:t>
      </w:r>
      <w:r w:rsidR="00434EDC">
        <w:rPr>
          <w:rFonts w:eastAsia="Times New Roman"/>
          <w:lang w:eastAsia="en-NZ"/>
        </w:rPr>
        <w:t>high barriers to employment</w:t>
      </w:r>
      <w:r w:rsidR="00E13DDE" w:rsidRPr="00263966">
        <w:rPr>
          <w:rFonts w:eastAsia="Times New Roman"/>
          <w:lang w:eastAsia="en-NZ"/>
        </w:rPr>
        <w:t xml:space="preserve"> </w:t>
      </w:r>
      <w:proofErr w:type="gramStart"/>
      <w:r w:rsidR="00E13DDE" w:rsidRPr="00263966">
        <w:rPr>
          <w:rFonts w:eastAsia="Times New Roman"/>
          <w:lang w:eastAsia="en-NZ"/>
        </w:rPr>
        <w:t>who</w:t>
      </w:r>
      <w:proofErr w:type="gramEnd"/>
      <w:r w:rsidR="00E13DDE" w:rsidRPr="00263966">
        <w:rPr>
          <w:rFonts w:eastAsia="Times New Roman"/>
          <w:lang w:eastAsia="en-NZ"/>
        </w:rPr>
        <w:t xml:space="preserve"> are generally furth</w:t>
      </w:r>
      <w:r w:rsidR="00434EDC">
        <w:rPr>
          <w:rFonts w:eastAsia="Times New Roman"/>
          <w:lang w:eastAsia="en-NZ"/>
        </w:rPr>
        <w:t>er away from the labour market. Current interventions are not worki</w:t>
      </w:r>
      <w:r w:rsidR="00046578">
        <w:rPr>
          <w:rFonts w:eastAsia="Times New Roman"/>
          <w:lang w:eastAsia="en-NZ"/>
        </w:rPr>
        <w:t>ng for all these clients, requiring</w:t>
      </w:r>
      <w:r w:rsidR="00434EDC">
        <w:rPr>
          <w:rFonts w:eastAsia="Times New Roman"/>
          <w:lang w:eastAsia="en-NZ"/>
        </w:rPr>
        <w:t xml:space="preserve"> new ways of working with clients that have health con</w:t>
      </w:r>
      <w:r w:rsidR="00046578">
        <w:rPr>
          <w:rFonts w:eastAsia="Times New Roman"/>
          <w:lang w:eastAsia="en-NZ"/>
        </w:rPr>
        <w:t>ditions or disabilities, and</w:t>
      </w:r>
      <w:r w:rsidR="00434EDC">
        <w:rPr>
          <w:rFonts w:eastAsia="Times New Roman"/>
          <w:lang w:eastAsia="en-NZ"/>
        </w:rPr>
        <w:t xml:space="preserve"> NEET clients (many of which are Māori</w:t>
      </w:r>
      <w:r w:rsidR="00B90F41">
        <w:rPr>
          <w:rFonts w:eastAsia="Times New Roman"/>
          <w:lang w:eastAsia="en-NZ"/>
        </w:rPr>
        <w:t>)</w:t>
      </w:r>
      <w:r w:rsidR="00E13DDE" w:rsidRPr="00263966">
        <w:rPr>
          <w:rFonts w:eastAsia="Times New Roman"/>
          <w:lang w:eastAsia="en-NZ"/>
        </w:rPr>
        <w:t>.</w:t>
      </w:r>
    </w:p>
    <w:p w:rsidR="002D5BFC" w:rsidRPr="00263966" w:rsidRDefault="002D5BFC" w:rsidP="00E13DDE">
      <w:pPr>
        <w:suppressAutoHyphens/>
        <w:autoSpaceDE w:val="0"/>
        <w:autoSpaceDN w:val="0"/>
        <w:adjustRightInd w:val="0"/>
        <w:spacing w:before="120" w:after="0" w:line="240" w:lineRule="auto"/>
        <w:textAlignment w:val="center"/>
        <w:rPr>
          <w:rFonts w:eastAsia="Times New Roman"/>
          <w:lang w:eastAsia="en-NZ"/>
        </w:rPr>
      </w:pPr>
      <w:r w:rsidRPr="006177C8">
        <w:rPr>
          <w:rFonts w:eastAsia="Times New Roman"/>
          <w:lang w:eastAsia="en-NZ"/>
        </w:rPr>
        <w:t>The proposed percentage spend on employment and work-readiness interventions has increased compared to 2016/17 to reflect the increased focus on the supports and services that will enable us to achieve improved employment outcomes for the clients that are the focus of the 2017/18 Strategy.</w:t>
      </w:r>
    </w:p>
    <w:p w:rsidR="006C6D62" w:rsidRDefault="006C6D62" w:rsidP="00E13DDE">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In the 2016/17 Strategy, MSD set out a new </w:t>
      </w:r>
      <w:r w:rsidR="00D60F4D">
        <w:rPr>
          <w:rFonts w:eastAsia="Times New Roman"/>
          <w:lang w:eastAsia="en-NZ"/>
        </w:rPr>
        <w:t xml:space="preserve">contract </w:t>
      </w:r>
      <w:r>
        <w:rPr>
          <w:rFonts w:eastAsia="Times New Roman"/>
          <w:lang w:eastAsia="en-NZ"/>
        </w:rPr>
        <w:t>funding mix to reflect a different approach to investing in clients, essentially:</w:t>
      </w:r>
    </w:p>
    <w:p w:rsidR="006C6D62" w:rsidRPr="006C6D62" w:rsidRDefault="000C34FB" w:rsidP="000B740A">
      <w:pPr>
        <w:pStyle w:val="ListParagraph"/>
        <w:numPr>
          <w:ilvl w:val="0"/>
          <w:numId w:val="7"/>
        </w:num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JS</w:t>
      </w:r>
      <w:r w:rsidR="00BA06CB">
        <w:rPr>
          <w:rFonts w:eastAsia="Times New Roman"/>
          <w:lang w:eastAsia="en-NZ"/>
        </w:rPr>
        <w:t>-WR</w:t>
      </w:r>
      <w:r>
        <w:rPr>
          <w:rFonts w:eastAsia="Times New Roman"/>
          <w:lang w:eastAsia="en-NZ"/>
        </w:rPr>
        <w:t>: 50 per cent</w:t>
      </w:r>
    </w:p>
    <w:p w:rsidR="006C6D62" w:rsidRPr="006C6D62" w:rsidRDefault="000C34FB" w:rsidP="000B740A">
      <w:pPr>
        <w:pStyle w:val="ListParagraph"/>
        <w:numPr>
          <w:ilvl w:val="0"/>
          <w:numId w:val="7"/>
        </w:num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SPS: 30 per cent</w:t>
      </w:r>
    </w:p>
    <w:p w:rsidR="006C6D62" w:rsidRPr="006C6D62" w:rsidRDefault="00765FBA" w:rsidP="000B740A">
      <w:pPr>
        <w:pStyle w:val="ListParagraph"/>
        <w:numPr>
          <w:ilvl w:val="0"/>
          <w:numId w:val="7"/>
        </w:num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JS-</w:t>
      </w:r>
      <w:r w:rsidR="000C34FB">
        <w:rPr>
          <w:rFonts w:eastAsia="Times New Roman"/>
          <w:lang w:eastAsia="en-NZ"/>
        </w:rPr>
        <w:t>HCD</w:t>
      </w:r>
      <w:r>
        <w:rPr>
          <w:rFonts w:eastAsia="Times New Roman"/>
          <w:lang w:eastAsia="en-NZ"/>
        </w:rPr>
        <w:t xml:space="preserve"> and SLP-HCD</w:t>
      </w:r>
      <w:r w:rsidR="000C34FB">
        <w:rPr>
          <w:rFonts w:eastAsia="Times New Roman"/>
          <w:lang w:eastAsia="en-NZ"/>
        </w:rPr>
        <w:t>: 20 per cent</w:t>
      </w:r>
    </w:p>
    <w:p w:rsidR="00BA06CB" w:rsidRPr="00BA06CB" w:rsidRDefault="00BA06CB" w:rsidP="00BA06CB">
      <w:pPr>
        <w:suppressAutoHyphens/>
        <w:autoSpaceDE w:val="0"/>
        <w:autoSpaceDN w:val="0"/>
        <w:adjustRightInd w:val="0"/>
        <w:spacing w:before="120" w:after="0" w:line="240" w:lineRule="auto"/>
        <w:textAlignment w:val="center"/>
        <w:rPr>
          <w:rFonts w:eastAsia="Times New Roman"/>
          <w:lang w:eastAsia="en-NZ"/>
        </w:rPr>
      </w:pPr>
      <w:r w:rsidRPr="006177C8">
        <w:rPr>
          <w:rFonts w:eastAsia="Times New Roman"/>
          <w:lang w:eastAsia="en-NZ"/>
        </w:rPr>
        <w:t xml:space="preserve">Reducing the proportion of spend on JS-WR without </w:t>
      </w:r>
      <w:r w:rsidR="007E5BFA" w:rsidRPr="006177C8">
        <w:rPr>
          <w:rFonts w:eastAsia="Times New Roman"/>
          <w:lang w:eastAsia="en-NZ"/>
        </w:rPr>
        <w:t xml:space="preserve">an </w:t>
      </w:r>
      <w:r w:rsidRPr="006177C8">
        <w:rPr>
          <w:rFonts w:eastAsia="Times New Roman"/>
          <w:lang w:eastAsia="en-NZ"/>
        </w:rPr>
        <w:t xml:space="preserve">adverse effect to </w:t>
      </w:r>
      <w:r w:rsidR="007E5BFA" w:rsidRPr="006177C8">
        <w:rPr>
          <w:rFonts w:eastAsia="Times New Roman"/>
          <w:lang w:eastAsia="en-NZ"/>
        </w:rPr>
        <w:t xml:space="preserve">the </w:t>
      </w:r>
      <w:r w:rsidRPr="006177C8">
        <w:rPr>
          <w:rFonts w:eastAsia="Times New Roman"/>
          <w:lang w:eastAsia="en-NZ"/>
        </w:rPr>
        <w:t>overall liability does take time to</w:t>
      </w:r>
      <w:r w:rsidR="007E5BFA" w:rsidRPr="006177C8">
        <w:rPr>
          <w:rFonts w:eastAsia="Times New Roman"/>
          <w:lang w:eastAsia="en-NZ"/>
        </w:rPr>
        <w:t xml:space="preserve"> implement, as although this client segment has</w:t>
      </w:r>
      <w:r w:rsidRPr="006177C8">
        <w:rPr>
          <w:rFonts w:eastAsia="Times New Roman"/>
          <w:lang w:eastAsia="en-NZ"/>
        </w:rPr>
        <w:t xml:space="preserve"> shorter durations </w:t>
      </w:r>
      <w:r w:rsidR="007E5BFA" w:rsidRPr="006177C8">
        <w:rPr>
          <w:rFonts w:eastAsia="Times New Roman"/>
          <w:lang w:eastAsia="en-NZ"/>
        </w:rPr>
        <w:t>on benefit, large num</w:t>
      </w:r>
      <w:r w:rsidRPr="006177C8">
        <w:rPr>
          <w:rFonts w:eastAsia="Times New Roman"/>
          <w:lang w:eastAsia="en-NZ"/>
        </w:rPr>
        <w:t>b</w:t>
      </w:r>
      <w:r w:rsidR="007E5BFA" w:rsidRPr="006177C8">
        <w:rPr>
          <w:rFonts w:eastAsia="Times New Roman"/>
          <w:lang w:eastAsia="en-NZ"/>
        </w:rPr>
        <w:t>ers of people flow through benefit category</w:t>
      </w:r>
      <w:r w:rsidRPr="006177C8">
        <w:rPr>
          <w:rFonts w:eastAsia="Times New Roman"/>
          <w:lang w:eastAsia="en-NZ"/>
        </w:rPr>
        <w:t>.</w:t>
      </w:r>
      <w:r w:rsidRPr="00BA06CB">
        <w:rPr>
          <w:rFonts w:eastAsia="Times New Roman"/>
          <w:lang w:eastAsia="en-NZ"/>
        </w:rPr>
        <w:t xml:space="preserve">  </w:t>
      </w:r>
    </w:p>
    <w:p w:rsidR="000C34FB" w:rsidRDefault="006C6D62" w:rsidP="00E13DDE">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This new structure was a significant </w:t>
      </w:r>
      <w:r w:rsidR="00BF01D9">
        <w:rPr>
          <w:rFonts w:eastAsia="Times New Roman"/>
          <w:lang w:eastAsia="en-NZ"/>
        </w:rPr>
        <w:t xml:space="preserve">shift in </w:t>
      </w:r>
      <w:r w:rsidR="000C34FB">
        <w:rPr>
          <w:rFonts w:eastAsia="Times New Roman"/>
          <w:lang w:eastAsia="en-NZ"/>
        </w:rPr>
        <w:t xml:space="preserve">contracted services for regions and specifically for providers. Regions have been working with providers to ensure the right clients are receiving all the available support to ensure improved employment outcomes. Regions and their providers are still learning about how to </w:t>
      </w:r>
      <w:r w:rsidR="00D60F4D">
        <w:rPr>
          <w:rFonts w:eastAsia="Times New Roman"/>
          <w:lang w:eastAsia="en-NZ"/>
        </w:rPr>
        <w:t xml:space="preserve">best </w:t>
      </w:r>
      <w:r w:rsidR="000C34FB">
        <w:rPr>
          <w:rFonts w:eastAsia="Times New Roman"/>
          <w:lang w:eastAsia="en-NZ"/>
        </w:rPr>
        <w:t xml:space="preserve">manage this </w:t>
      </w:r>
      <w:r>
        <w:rPr>
          <w:rFonts w:eastAsia="Times New Roman"/>
          <w:lang w:eastAsia="en-NZ"/>
        </w:rPr>
        <w:t>increase</w:t>
      </w:r>
      <w:r w:rsidR="000C34FB">
        <w:rPr>
          <w:rFonts w:eastAsia="Times New Roman"/>
          <w:lang w:eastAsia="en-NZ"/>
        </w:rPr>
        <w:t xml:space="preserve"> in contracted funding for HCD clients, </w:t>
      </w:r>
      <w:r w:rsidR="001A420C">
        <w:rPr>
          <w:rFonts w:eastAsia="Times New Roman"/>
          <w:lang w:eastAsia="en-NZ"/>
        </w:rPr>
        <w:t xml:space="preserve">building provider capability and understanding what the right interventions are to successfully work with this cohort. </w:t>
      </w:r>
    </w:p>
    <w:p w:rsidR="000C34FB" w:rsidRPr="000C34FB" w:rsidRDefault="000C34FB" w:rsidP="000C34FB">
      <w:pPr>
        <w:pStyle w:val="BodyText1"/>
        <w:rPr>
          <w:rFonts w:asciiTheme="minorHAnsi" w:eastAsia="Times New Roman" w:hAnsiTheme="minorHAnsi" w:cstheme="minorBidi"/>
          <w:sz w:val="22"/>
          <w:szCs w:val="22"/>
        </w:rPr>
      </w:pPr>
      <w:r w:rsidRPr="000C34FB">
        <w:rPr>
          <w:rFonts w:asciiTheme="minorHAnsi" w:eastAsia="Times New Roman" w:hAnsiTheme="minorHAnsi" w:cstheme="minorBidi"/>
          <w:sz w:val="22"/>
          <w:szCs w:val="22"/>
        </w:rPr>
        <w:t xml:space="preserve">Consistently </w:t>
      </w:r>
      <w:r w:rsidR="007D2C33">
        <w:rPr>
          <w:rFonts w:asciiTheme="minorHAnsi" w:eastAsia="Times New Roman" w:hAnsiTheme="minorHAnsi" w:cstheme="minorBidi"/>
          <w:sz w:val="22"/>
          <w:szCs w:val="22"/>
        </w:rPr>
        <w:t>achieving the 20 per cent spend on the right clients</w:t>
      </w:r>
      <w:r w:rsidRPr="000C34FB">
        <w:rPr>
          <w:rFonts w:asciiTheme="minorHAnsi" w:eastAsia="Times New Roman" w:hAnsiTheme="minorHAnsi" w:cstheme="minorBidi"/>
          <w:sz w:val="22"/>
          <w:szCs w:val="22"/>
        </w:rPr>
        <w:t xml:space="preserve"> </w:t>
      </w:r>
      <w:r w:rsidR="001A420C">
        <w:rPr>
          <w:rFonts w:asciiTheme="minorHAnsi" w:eastAsia="Times New Roman" w:hAnsiTheme="minorHAnsi" w:cstheme="minorBidi"/>
          <w:sz w:val="22"/>
          <w:szCs w:val="22"/>
        </w:rPr>
        <w:t xml:space="preserve">(which includes JS-HCD and SLP-HCD, some of which have permanent, severe disabilities) </w:t>
      </w:r>
      <w:r w:rsidRPr="000C34FB">
        <w:rPr>
          <w:rFonts w:asciiTheme="minorHAnsi" w:eastAsia="Times New Roman" w:hAnsiTheme="minorHAnsi" w:cstheme="minorBidi"/>
          <w:sz w:val="22"/>
          <w:szCs w:val="22"/>
        </w:rPr>
        <w:t>across all regions will require more time</w:t>
      </w:r>
      <w:r>
        <w:rPr>
          <w:rFonts w:asciiTheme="minorHAnsi" w:eastAsia="Times New Roman" w:hAnsiTheme="minorHAnsi" w:cstheme="minorBidi"/>
          <w:sz w:val="22"/>
          <w:szCs w:val="22"/>
        </w:rPr>
        <w:t>,</w:t>
      </w:r>
      <w:r w:rsidR="006C6D62" w:rsidRPr="000C34FB">
        <w:rPr>
          <w:rFonts w:asciiTheme="minorHAnsi" w:eastAsia="Times New Roman" w:hAnsiTheme="minorHAnsi" w:cstheme="minorBidi"/>
          <w:sz w:val="22"/>
          <w:szCs w:val="22"/>
        </w:rPr>
        <w:t xml:space="preserve"> </w:t>
      </w:r>
      <w:r w:rsidRPr="000C34FB">
        <w:rPr>
          <w:rFonts w:asciiTheme="minorHAnsi" w:eastAsia="Times New Roman" w:hAnsiTheme="minorHAnsi" w:cstheme="minorBidi"/>
          <w:sz w:val="22"/>
          <w:szCs w:val="22"/>
        </w:rPr>
        <w:t xml:space="preserve">so it is proposed that the contracted funding split continue at the same levels as in 2016/17. </w:t>
      </w:r>
      <w:r>
        <w:rPr>
          <w:rFonts w:asciiTheme="minorHAnsi" w:eastAsia="Times New Roman" w:hAnsiTheme="minorHAnsi" w:cstheme="minorBidi"/>
          <w:sz w:val="22"/>
          <w:szCs w:val="22"/>
        </w:rPr>
        <w:t xml:space="preserve">We </w:t>
      </w:r>
      <w:r w:rsidR="00D60F4D">
        <w:rPr>
          <w:rFonts w:asciiTheme="minorHAnsi" w:eastAsia="Times New Roman" w:hAnsiTheme="minorHAnsi" w:cstheme="minorBidi"/>
          <w:sz w:val="22"/>
          <w:szCs w:val="22"/>
        </w:rPr>
        <w:t xml:space="preserve">expect more accountability by </w:t>
      </w:r>
      <w:r w:rsidR="007D2C33">
        <w:rPr>
          <w:rFonts w:asciiTheme="minorHAnsi" w:eastAsia="Times New Roman" w:hAnsiTheme="minorHAnsi" w:cstheme="minorBidi"/>
          <w:sz w:val="22"/>
          <w:szCs w:val="22"/>
        </w:rPr>
        <w:t>regions in meeting the different spend</w:t>
      </w:r>
      <w:r w:rsidR="00D60F4D">
        <w:rPr>
          <w:rFonts w:asciiTheme="minorHAnsi" w:eastAsia="Times New Roman" w:hAnsiTheme="minorHAnsi" w:cstheme="minorBidi"/>
          <w:sz w:val="22"/>
          <w:szCs w:val="22"/>
        </w:rPr>
        <w:t>. T</w:t>
      </w:r>
      <w:r>
        <w:rPr>
          <w:rFonts w:asciiTheme="minorHAnsi" w:eastAsia="Times New Roman" w:hAnsiTheme="minorHAnsi" w:cstheme="minorBidi"/>
          <w:sz w:val="22"/>
          <w:szCs w:val="22"/>
        </w:rPr>
        <w:t>o that end</w:t>
      </w:r>
      <w:r w:rsidR="00D60F4D">
        <w:rPr>
          <w:rFonts w:asciiTheme="minorHAnsi" w:eastAsia="Times New Roman" w:hAnsiTheme="minorHAnsi" w:cstheme="minorBidi"/>
          <w:sz w:val="22"/>
          <w:szCs w:val="22"/>
        </w:rPr>
        <w:t>,</w:t>
      </w:r>
      <w:r>
        <w:rPr>
          <w:rFonts w:asciiTheme="minorHAnsi" w:eastAsia="Times New Roman" w:hAnsiTheme="minorHAnsi" w:cstheme="minorBidi"/>
          <w:sz w:val="22"/>
          <w:szCs w:val="22"/>
        </w:rPr>
        <w:t xml:space="preserve"> r</w:t>
      </w:r>
      <w:r w:rsidRPr="000C34FB">
        <w:rPr>
          <w:rFonts w:asciiTheme="minorHAnsi" w:eastAsia="Times New Roman" w:hAnsiTheme="minorHAnsi" w:cstheme="minorBidi"/>
          <w:sz w:val="22"/>
          <w:szCs w:val="22"/>
        </w:rPr>
        <w:t>egions will report the expected s</w:t>
      </w:r>
      <w:r w:rsidR="007D2C33">
        <w:rPr>
          <w:rFonts w:asciiTheme="minorHAnsi" w:eastAsia="Times New Roman" w:hAnsiTheme="minorHAnsi" w:cstheme="minorBidi"/>
          <w:sz w:val="22"/>
          <w:szCs w:val="22"/>
        </w:rPr>
        <w:t xml:space="preserve">pend and volume for each </w:t>
      </w:r>
      <w:r w:rsidRPr="000C34FB">
        <w:rPr>
          <w:rFonts w:asciiTheme="minorHAnsi" w:eastAsia="Times New Roman" w:hAnsiTheme="minorHAnsi" w:cstheme="minorBidi"/>
          <w:sz w:val="22"/>
          <w:szCs w:val="22"/>
        </w:rPr>
        <w:t>group within their plans.</w:t>
      </w:r>
      <w:r>
        <w:rPr>
          <w:rFonts w:asciiTheme="minorHAnsi" w:eastAsia="Times New Roman" w:hAnsiTheme="minorHAnsi" w:cstheme="minorBidi"/>
          <w:sz w:val="22"/>
          <w:szCs w:val="22"/>
        </w:rPr>
        <w:t xml:space="preserve"> Further, </w:t>
      </w:r>
      <w:r w:rsidRPr="000C34FB">
        <w:rPr>
          <w:rFonts w:asciiTheme="minorHAnsi" w:eastAsia="Times New Roman" w:hAnsiTheme="minorHAnsi" w:cstheme="minorBidi"/>
          <w:sz w:val="22"/>
          <w:szCs w:val="22"/>
        </w:rPr>
        <w:t>National Office will report and measure the volume and investment for each cohort by region.</w:t>
      </w:r>
    </w:p>
    <w:p w:rsidR="00CE6A5F" w:rsidRDefault="00CE6A5F" w:rsidP="00E13DDE">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However, achieving BPS 1 is likely to require a bigger shift towards working with HCD or higher liability clients. To try and determine what a reasonable shift would be, different scenarios were calculated showing what increasing</w:t>
      </w:r>
      <w:r w:rsidR="00B728EF">
        <w:rPr>
          <w:rFonts w:eastAsia="Times New Roman"/>
          <w:lang w:eastAsia="en-NZ"/>
        </w:rPr>
        <w:t xml:space="preserve"> the number of </w:t>
      </w:r>
      <w:r>
        <w:rPr>
          <w:rFonts w:eastAsia="Times New Roman"/>
          <w:lang w:eastAsia="en-NZ"/>
        </w:rPr>
        <w:t xml:space="preserve">HCD clients streamed into active case </w:t>
      </w:r>
      <w:r w:rsidR="00D60F4D">
        <w:rPr>
          <w:rFonts w:eastAsia="Times New Roman"/>
          <w:lang w:eastAsia="en-NZ"/>
        </w:rPr>
        <w:t xml:space="preserve">management </w:t>
      </w:r>
      <w:r>
        <w:rPr>
          <w:rFonts w:eastAsia="Times New Roman"/>
          <w:lang w:eastAsia="en-NZ"/>
        </w:rPr>
        <w:t>would achieve</w:t>
      </w:r>
      <w:r w:rsidR="001A420C">
        <w:rPr>
          <w:rFonts w:eastAsia="Times New Roman"/>
          <w:lang w:eastAsia="en-NZ"/>
        </w:rPr>
        <w:t>,</w:t>
      </w:r>
      <w:r>
        <w:rPr>
          <w:rFonts w:eastAsia="Times New Roman"/>
          <w:lang w:eastAsia="en-NZ"/>
        </w:rPr>
        <w:t xml:space="preserve"> in terms of increased exits and actuarial release.</w:t>
      </w:r>
    </w:p>
    <w:p w:rsidR="002C6AAC" w:rsidRDefault="002C6AAC" w:rsidP="00CE6A5F">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Currently, we stream around 33 per cent of HCD clients into active case management</w:t>
      </w:r>
      <w:r w:rsidR="001A420C">
        <w:rPr>
          <w:rFonts w:eastAsia="Times New Roman"/>
          <w:lang w:eastAsia="en-NZ"/>
        </w:rPr>
        <w:t xml:space="preserve"> (this is equivalent to around 20,000 clients)</w:t>
      </w:r>
      <w:r w:rsidR="00D60F4D">
        <w:rPr>
          <w:rFonts w:eastAsia="Times New Roman"/>
          <w:lang w:eastAsia="en-NZ"/>
        </w:rPr>
        <w:t>. T</w:t>
      </w:r>
      <w:r>
        <w:rPr>
          <w:rFonts w:eastAsia="Times New Roman"/>
          <w:lang w:eastAsia="en-NZ"/>
        </w:rPr>
        <w:t xml:space="preserve">he different scenarios we have developed are based on an increase from </w:t>
      </w:r>
      <w:r w:rsidR="00B728EF">
        <w:rPr>
          <w:rFonts w:eastAsia="Times New Roman"/>
          <w:lang w:eastAsia="en-NZ"/>
        </w:rPr>
        <w:t>this 33 per cent</w:t>
      </w:r>
      <w:r>
        <w:rPr>
          <w:rFonts w:eastAsia="Times New Roman"/>
          <w:lang w:eastAsia="en-NZ"/>
        </w:rPr>
        <w:t xml:space="preserve">. For example, </w:t>
      </w:r>
      <w:r w:rsidR="00D60F4D">
        <w:rPr>
          <w:rFonts w:eastAsia="Times New Roman"/>
          <w:lang w:eastAsia="en-NZ"/>
        </w:rPr>
        <w:t>based on past experience</w:t>
      </w:r>
      <w:r w:rsidR="00B728EF">
        <w:rPr>
          <w:rFonts w:eastAsia="Times New Roman"/>
          <w:lang w:eastAsia="en-NZ"/>
        </w:rPr>
        <w:t>,</w:t>
      </w:r>
      <w:r w:rsidR="00D60F4D">
        <w:rPr>
          <w:rFonts w:eastAsia="Times New Roman"/>
          <w:lang w:eastAsia="en-NZ"/>
        </w:rPr>
        <w:t xml:space="preserve"> </w:t>
      </w:r>
      <w:r>
        <w:rPr>
          <w:rFonts w:eastAsia="Times New Roman"/>
          <w:lang w:eastAsia="en-NZ"/>
        </w:rPr>
        <w:t xml:space="preserve">if we compare the “status quo” </w:t>
      </w:r>
      <w:r w:rsidR="00B728EF">
        <w:rPr>
          <w:rFonts w:eastAsia="Times New Roman"/>
          <w:lang w:eastAsia="en-NZ"/>
        </w:rPr>
        <w:t>(</w:t>
      </w:r>
      <w:r>
        <w:rPr>
          <w:rFonts w:eastAsia="Times New Roman"/>
          <w:lang w:eastAsia="en-NZ"/>
        </w:rPr>
        <w:t>i.e. streaming the same number of clients in each segment</w:t>
      </w:r>
      <w:r w:rsidR="00B728EF">
        <w:rPr>
          <w:rFonts w:eastAsia="Times New Roman"/>
          <w:lang w:eastAsia="en-NZ"/>
        </w:rPr>
        <w:t>)</w:t>
      </w:r>
      <w:r>
        <w:rPr>
          <w:rFonts w:eastAsia="Times New Roman"/>
          <w:lang w:eastAsia="en-NZ"/>
        </w:rPr>
        <w:t xml:space="preserve">, with an increase to 40 per cent of </w:t>
      </w:r>
      <w:r>
        <w:rPr>
          <w:rFonts w:eastAsia="Times New Roman"/>
          <w:lang w:eastAsia="en-NZ"/>
        </w:rPr>
        <w:lastRenderedPageBreak/>
        <w:t>HCD clients into active case mana</w:t>
      </w:r>
      <w:r w:rsidR="00D60F4D">
        <w:rPr>
          <w:rFonts w:eastAsia="Times New Roman"/>
          <w:lang w:eastAsia="en-NZ"/>
        </w:rPr>
        <w:t>gement, we would expect</w:t>
      </w:r>
      <w:r>
        <w:rPr>
          <w:rFonts w:eastAsia="Times New Roman"/>
          <w:lang w:eastAsia="en-NZ"/>
        </w:rPr>
        <w:t xml:space="preserve"> 100</w:t>
      </w:r>
      <w:r w:rsidR="00D60F4D">
        <w:rPr>
          <w:rFonts w:eastAsia="Times New Roman"/>
          <w:lang w:eastAsia="en-NZ"/>
        </w:rPr>
        <w:t xml:space="preserve"> less exits</w:t>
      </w:r>
      <w:r>
        <w:rPr>
          <w:rFonts w:eastAsia="Times New Roman"/>
          <w:lang w:eastAsia="en-NZ"/>
        </w:rPr>
        <w:t xml:space="preserve"> and $5 million less in actuarial releas</w:t>
      </w:r>
      <w:r w:rsidR="00D60F4D">
        <w:rPr>
          <w:rFonts w:eastAsia="Times New Roman"/>
          <w:lang w:eastAsia="en-NZ"/>
        </w:rPr>
        <w:t>e</w:t>
      </w:r>
      <w:r>
        <w:rPr>
          <w:rFonts w:eastAsia="Times New Roman"/>
          <w:lang w:eastAsia="en-NZ"/>
        </w:rPr>
        <w:t xml:space="preserve">. The comparison is even </w:t>
      </w:r>
      <w:r w:rsidR="00784C40">
        <w:rPr>
          <w:rFonts w:eastAsia="Times New Roman"/>
          <w:lang w:eastAsia="en-NZ"/>
        </w:rPr>
        <w:t>starker</w:t>
      </w:r>
      <w:r>
        <w:rPr>
          <w:rFonts w:eastAsia="Times New Roman"/>
          <w:lang w:eastAsia="en-NZ"/>
        </w:rPr>
        <w:t xml:space="preserve"> when viewed against an increase to 50 per cent </w:t>
      </w:r>
      <w:r w:rsidR="00B728EF">
        <w:rPr>
          <w:rFonts w:eastAsia="Times New Roman"/>
          <w:lang w:eastAsia="en-NZ"/>
        </w:rPr>
        <w:t xml:space="preserve">of </w:t>
      </w:r>
      <w:r>
        <w:rPr>
          <w:rFonts w:eastAsia="Times New Roman"/>
          <w:lang w:eastAsia="en-NZ"/>
        </w:rPr>
        <w:t>HCD clients into active case management</w:t>
      </w:r>
      <w:r w:rsidR="00D60F4D">
        <w:rPr>
          <w:rFonts w:eastAsia="Times New Roman"/>
          <w:lang w:eastAsia="en-NZ"/>
        </w:rPr>
        <w:t>, where we estimate achieving</w:t>
      </w:r>
      <w:r>
        <w:rPr>
          <w:rFonts w:eastAsia="Times New Roman"/>
          <w:lang w:eastAsia="en-NZ"/>
        </w:rPr>
        <w:t xml:space="preserve"> 230 less exits and $10 million less in</w:t>
      </w:r>
      <w:r w:rsidR="00D60F4D">
        <w:rPr>
          <w:rFonts w:eastAsia="Times New Roman"/>
          <w:lang w:eastAsia="en-NZ"/>
        </w:rPr>
        <w:t xml:space="preserve"> actuarial release.</w:t>
      </w:r>
    </w:p>
    <w:p w:rsidR="007963AA" w:rsidRDefault="007963AA" w:rsidP="007A55AC">
      <w:pPr>
        <w:suppressAutoHyphens/>
        <w:autoSpaceDE w:val="0"/>
        <w:autoSpaceDN w:val="0"/>
        <w:adjustRightInd w:val="0"/>
        <w:spacing w:before="120" w:after="0" w:line="240" w:lineRule="auto"/>
        <w:textAlignment w:val="center"/>
        <w:rPr>
          <w:rFonts w:eastAsia="Times New Roman"/>
          <w:lang w:eastAsia="en-NZ"/>
        </w:rPr>
      </w:pPr>
      <w:r w:rsidRPr="007963AA">
        <w:rPr>
          <w:rFonts w:eastAsia="Times New Roman"/>
          <w:lang w:eastAsia="en-NZ"/>
        </w:rPr>
        <w:t>These estimates use average exit rates over the last 4 years which had higher outcomes for JS-WR.  Over the last 2 years’ experience</w:t>
      </w:r>
      <w:r>
        <w:rPr>
          <w:rFonts w:eastAsia="Times New Roman"/>
          <w:lang w:eastAsia="en-NZ"/>
        </w:rPr>
        <w:t>,</w:t>
      </w:r>
      <w:r w:rsidRPr="007963AA">
        <w:rPr>
          <w:rFonts w:eastAsia="Times New Roman"/>
          <w:lang w:eastAsia="en-NZ"/>
        </w:rPr>
        <w:t xml:space="preserve"> th</w:t>
      </w:r>
      <w:r w:rsidR="00D60F4D">
        <w:rPr>
          <w:rFonts w:eastAsia="Times New Roman"/>
          <w:lang w:eastAsia="en-NZ"/>
        </w:rPr>
        <w:t>e exit differences are closer</w:t>
      </w:r>
      <w:r w:rsidRPr="007963AA">
        <w:rPr>
          <w:rFonts w:eastAsia="Times New Roman"/>
          <w:lang w:eastAsia="en-NZ"/>
        </w:rPr>
        <w:t xml:space="preserve"> between JS-WR, JS-HCD and SPS, which i</w:t>
      </w:r>
      <w:r w:rsidR="00D60F4D">
        <w:rPr>
          <w:rFonts w:eastAsia="Times New Roman"/>
          <w:lang w:eastAsia="en-NZ"/>
        </w:rPr>
        <w:t>ndicates that there could</w:t>
      </w:r>
      <w:r w:rsidRPr="007963AA">
        <w:rPr>
          <w:rFonts w:eastAsia="Times New Roman"/>
          <w:lang w:eastAsia="en-NZ"/>
        </w:rPr>
        <w:t xml:space="preserve"> be small gains in BPS results if more HCD </w:t>
      </w:r>
      <w:r w:rsidR="00D60F4D">
        <w:rPr>
          <w:rFonts w:eastAsia="Times New Roman"/>
          <w:lang w:eastAsia="en-NZ"/>
        </w:rPr>
        <w:t xml:space="preserve">clients </w:t>
      </w:r>
      <w:r w:rsidRPr="007963AA">
        <w:rPr>
          <w:rFonts w:eastAsia="Times New Roman"/>
          <w:lang w:eastAsia="en-NZ"/>
        </w:rPr>
        <w:t>are streamed to one-to-one case management services</w:t>
      </w:r>
      <w:r>
        <w:rPr>
          <w:rFonts w:eastAsia="Times New Roman"/>
          <w:lang w:eastAsia="en-NZ"/>
        </w:rPr>
        <w:t>.</w:t>
      </w:r>
    </w:p>
    <w:p w:rsidR="002D5BFC" w:rsidRPr="006177C8" w:rsidRDefault="002D5BFC" w:rsidP="002D5BFC">
      <w:pPr>
        <w:suppressAutoHyphens/>
        <w:autoSpaceDE w:val="0"/>
        <w:autoSpaceDN w:val="0"/>
        <w:adjustRightInd w:val="0"/>
        <w:spacing w:before="120" w:after="0" w:line="240" w:lineRule="auto"/>
        <w:textAlignment w:val="center"/>
        <w:rPr>
          <w:rFonts w:eastAsia="Times New Roman"/>
          <w:lang w:eastAsia="en-NZ"/>
        </w:rPr>
      </w:pPr>
      <w:r w:rsidRPr="006177C8">
        <w:rPr>
          <w:rFonts w:eastAsia="Times New Roman"/>
          <w:lang w:eastAsia="en-NZ"/>
        </w:rPr>
        <w:t xml:space="preserve">In line with this proposed shift, the MCA spending profile for 2017/18 accounts for an increased focus on HCD clients where MSD aims to achieve improved off-benefit outcomes. MSD has set an internal target to reduce clients with a medical barrier to employment from 148,476 to 147,244, which equates to a decrease of 1,232 clients (or 0.8 per cent decrease). </w:t>
      </w:r>
    </w:p>
    <w:p w:rsidR="00514B67" w:rsidRPr="002D5BFC" w:rsidRDefault="002D5BFC" w:rsidP="00865139">
      <w:pPr>
        <w:suppressAutoHyphens/>
        <w:autoSpaceDE w:val="0"/>
        <w:autoSpaceDN w:val="0"/>
        <w:adjustRightInd w:val="0"/>
        <w:spacing w:before="120" w:after="0" w:line="240" w:lineRule="auto"/>
        <w:textAlignment w:val="center"/>
      </w:pPr>
      <w:r w:rsidRPr="006177C8">
        <w:t>MSD also aims to align the proportion of M</w:t>
      </w:r>
      <w:r w:rsidRPr="006177C8">
        <w:rPr>
          <w:rFonts w:cstheme="minorHAnsi"/>
        </w:rPr>
        <w:t>āori clients on benefit with the proportion of the total population, as well as reducing the number of 18-24 year-olds in receipt of a benefit (from 44,496 to 42,690) and reduce the number of children growing up in benefit dependent households.</w:t>
      </w:r>
    </w:p>
    <w:p w:rsidR="00865139" w:rsidRPr="00865139" w:rsidRDefault="00865139" w:rsidP="00865139">
      <w:pPr>
        <w:suppressAutoHyphens/>
        <w:autoSpaceDE w:val="0"/>
        <w:autoSpaceDN w:val="0"/>
        <w:adjustRightInd w:val="0"/>
        <w:spacing w:before="120" w:after="0" w:line="240" w:lineRule="auto"/>
        <w:textAlignment w:val="center"/>
        <w:rPr>
          <w:b/>
          <w:sz w:val="24"/>
          <w:szCs w:val="24"/>
        </w:rPr>
      </w:pPr>
      <w:r w:rsidRPr="00865139">
        <w:rPr>
          <w:b/>
          <w:sz w:val="24"/>
          <w:szCs w:val="24"/>
        </w:rPr>
        <w:t>Future Focus and Areas of Opportunity</w:t>
      </w:r>
    </w:p>
    <w:p w:rsidR="0068739B" w:rsidRPr="00865139" w:rsidRDefault="00B06B56" w:rsidP="00865139">
      <w:pPr>
        <w:suppressAutoHyphens/>
        <w:autoSpaceDE w:val="0"/>
        <w:autoSpaceDN w:val="0"/>
        <w:adjustRightInd w:val="0"/>
        <w:spacing w:before="120" w:after="0" w:line="240" w:lineRule="auto"/>
        <w:textAlignment w:val="center"/>
        <w:rPr>
          <w:i/>
        </w:rPr>
      </w:pPr>
      <w:r>
        <w:rPr>
          <w:i/>
        </w:rPr>
        <w:t xml:space="preserve">Encouraging </w:t>
      </w:r>
      <w:r w:rsidR="007A679F" w:rsidRPr="00865139">
        <w:rPr>
          <w:i/>
        </w:rPr>
        <w:t xml:space="preserve">Innovation </w:t>
      </w:r>
    </w:p>
    <w:p w:rsidR="00B06B56" w:rsidRPr="006616A5" w:rsidRDefault="00B06B56" w:rsidP="00B06B56">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In order to improve outcomes for clients with complex barriers to employment, MSD will need to be more innovative in the range of interventions it offers.</w:t>
      </w:r>
      <w:r w:rsidRPr="00B06B56">
        <w:rPr>
          <w:rFonts w:eastAsia="Times New Roman"/>
          <w:lang w:eastAsia="en-NZ"/>
        </w:rPr>
        <w:t xml:space="preserve"> </w:t>
      </w:r>
      <w:r>
        <w:rPr>
          <w:rFonts w:eastAsia="Times New Roman"/>
          <w:lang w:eastAsia="en-NZ"/>
        </w:rPr>
        <w:t>The 2016/17 Strategy outlined the need for MSD</w:t>
      </w:r>
      <w:r w:rsidRPr="006616A5">
        <w:rPr>
          <w:rFonts w:eastAsia="Times New Roman"/>
          <w:lang w:eastAsia="en-NZ"/>
        </w:rPr>
        <w:t xml:space="preserve"> to ensure there is a systematic</w:t>
      </w:r>
      <w:r>
        <w:rPr>
          <w:rFonts w:eastAsia="Times New Roman"/>
          <w:lang w:eastAsia="en-NZ"/>
        </w:rPr>
        <w:t>, inclusive</w:t>
      </w:r>
      <w:r w:rsidRPr="006616A5">
        <w:rPr>
          <w:rFonts w:eastAsia="Times New Roman"/>
          <w:lang w:eastAsia="en-NZ"/>
        </w:rPr>
        <w:t xml:space="preserve"> process in place </w:t>
      </w:r>
      <w:r>
        <w:rPr>
          <w:rFonts w:eastAsia="Times New Roman"/>
          <w:lang w:eastAsia="en-NZ"/>
        </w:rPr>
        <w:t xml:space="preserve">which encourages contestability in </w:t>
      </w:r>
      <w:r w:rsidRPr="006616A5">
        <w:rPr>
          <w:rFonts w:eastAsia="Times New Roman"/>
          <w:lang w:eastAsia="en-NZ"/>
        </w:rPr>
        <w:t>the generation, development and te</w:t>
      </w:r>
      <w:r>
        <w:rPr>
          <w:rFonts w:eastAsia="Times New Roman"/>
          <w:lang w:eastAsia="en-NZ"/>
        </w:rPr>
        <w:t xml:space="preserve">sting of ideas for reducing </w:t>
      </w:r>
      <w:r w:rsidRPr="006616A5">
        <w:rPr>
          <w:rFonts w:eastAsia="Times New Roman"/>
          <w:lang w:eastAsia="en-NZ"/>
        </w:rPr>
        <w:t xml:space="preserve">liability. MSD </w:t>
      </w:r>
      <w:r>
        <w:rPr>
          <w:rFonts w:eastAsia="Times New Roman"/>
          <w:lang w:eastAsia="en-NZ"/>
        </w:rPr>
        <w:t>needs</w:t>
      </w:r>
      <w:r w:rsidRPr="006616A5">
        <w:rPr>
          <w:rFonts w:eastAsia="Times New Roman"/>
          <w:lang w:eastAsia="en-NZ"/>
        </w:rPr>
        <w:t xml:space="preserve"> to </w:t>
      </w:r>
      <w:r>
        <w:rPr>
          <w:rFonts w:eastAsia="Times New Roman"/>
          <w:lang w:eastAsia="en-NZ"/>
        </w:rPr>
        <w:t xml:space="preserve">gather and encourage the </w:t>
      </w:r>
      <w:r w:rsidRPr="006616A5">
        <w:rPr>
          <w:rFonts w:eastAsia="Times New Roman"/>
          <w:lang w:eastAsia="en-NZ"/>
        </w:rPr>
        <w:t>generat</w:t>
      </w:r>
      <w:r>
        <w:rPr>
          <w:rFonts w:eastAsia="Times New Roman"/>
          <w:lang w:eastAsia="en-NZ"/>
        </w:rPr>
        <w:t>ion of</w:t>
      </w:r>
      <w:r w:rsidRPr="006616A5">
        <w:rPr>
          <w:rFonts w:eastAsia="Times New Roman"/>
          <w:lang w:eastAsia="en-NZ"/>
        </w:rPr>
        <w:t xml:space="preserve"> ideas from as diverse a range of sources as possible, including other government agencies, NGOs, academia and the private sector. </w:t>
      </w:r>
    </w:p>
    <w:p w:rsidR="00B06B56" w:rsidRPr="006616A5" w:rsidRDefault="00B06B56" w:rsidP="00B06B56">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This has been a strong focus for MSD over the first half of the 2016</w:t>
      </w:r>
      <w:r w:rsidR="00AE3503">
        <w:rPr>
          <w:rFonts w:eastAsia="Times New Roman"/>
          <w:lang w:eastAsia="en-NZ"/>
        </w:rPr>
        <w:t>/17 year, and good progress has</w:t>
      </w:r>
      <w:r>
        <w:rPr>
          <w:rFonts w:eastAsia="Times New Roman"/>
          <w:lang w:eastAsia="en-NZ"/>
        </w:rPr>
        <w:t xml:space="preserve"> been made in d</w:t>
      </w:r>
      <w:r w:rsidRPr="006616A5">
        <w:rPr>
          <w:rFonts w:eastAsia="Times New Roman"/>
          <w:lang w:eastAsia="en-NZ"/>
        </w:rPr>
        <w:t xml:space="preserve">eveloping approaches that are effective for </w:t>
      </w:r>
      <w:r>
        <w:rPr>
          <w:rFonts w:eastAsia="Times New Roman"/>
          <w:lang w:eastAsia="en-NZ"/>
        </w:rPr>
        <w:t>Māori and HCD clients in line with the focus areas of the Strategy</w:t>
      </w:r>
      <w:r w:rsidRPr="006616A5">
        <w:rPr>
          <w:rFonts w:eastAsia="Times New Roman"/>
          <w:lang w:eastAsia="en-NZ"/>
        </w:rPr>
        <w:t xml:space="preserve">.  </w:t>
      </w:r>
    </w:p>
    <w:p w:rsidR="00B06B56" w:rsidRPr="006E24A2" w:rsidRDefault="00B06B56" w:rsidP="00B06B56">
      <w:pPr>
        <w:suppressAutoHyphens/>
        <w:autoSpaceDE w:val="0"/>
        <w:autoSpaceDN w:val="0"/>
        <w:adjustRightInd w:val="0"/>
        <w:spacing w:before="120" w:after="0" w:line="240" w:lineRule="auto"/>
        <w:textAlignment w:val="center"/>
        <w:rPr>
          <w:rFonts w:eastAsia="Times New Roman"/>
          <w:lang w:eastAsia="en-NZ"/>
        </w:rPr>
      </w:pPr>
      <w:r w:rsidRPr="006E24A2">
        <w:rPr>
          <w:rFonts w:eastAsia="Times New Roman"/>
          <w:lang w:eastAsia="en-NZ"/>
        </w:rPr>
        <w:t>MSD has been increasingly working with a range of organisations (such as Non-Government Organisations</w:t>
      </w:r>
      <w:r w:rsidR="00B728EF">
        <w:rPr>
          <w:rFonts w:eastAsia="Times New Roman"/>
          <w:lang w:eastAsia="en-NZ"/>
        </w:rPr>
        <w:t xml:space="preserve"> (NGO)</w:t>
      </w:r>
      <w:r w:rsidRPr="006E24A2">
        <w:rPr>
          <w:rFonts w:eastAsia="Times New Roman"/>
          <w:lang w:eastAsia="en-NZ"/>
        </w:rPr>
        <w:t>, District Health Boards and Primary Health Organisations) over the last year to identify a commonality of clients and new ways of working with these clients. These working relationships confirm that the clients identified in the 2016/17 Investment Strategy are the correct ones to target more closely; and that their high barriers to employment – meaning they are increasingly more distant from the labour mark</w:t>
      </w:r>
      <w:r w:rsidR="00B728EF">
        <w:rPr>
          <w:rFonts w:eastAsia="Times New Roman"/>
          <w:lang w:eastAsia="en-NZ"/>
        </w:rPr>
        <w:t>et – require</w:t>
      </w:r>
      <w:r w:rsidRPr="006E24A2">
        <w:rPr>
          <w:rFonts w:eastAsia="Times New Roman"/>
          <w:lang w:eastAsia="en-NZ"/>
        </w:rPr>
        <w:t xml:space="preserve"> more intensive support and innovative ways of working with them.</w:t>
      </w:r>
    </w:p>
    <w:p w:rsidR="00D53F6B" w:rsidRDefault="00B06B56" w:rsidP="00D53F6B">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We are in the process of establishing a strategic partnership with the Health Research Council </w:t>
      </w:r>
      <w:r w:rsidRPr="006E24A2">
        <w:rPr>
          <w:rFonts w:eastAsia="Times New Roman"/>
          <w:lang w:eastAsia="en-NZ"/>
        </w:rPr>
        <w:t xml:space="preserve">to engage the research community to test innovative ideas to help </w:t>
      </w:r>
      <w:proofErr w:type="gramStart"/>
      <w:r w:rsidRPr="006E24A2">
        <w:rPr>
          <w:rFonts w:eastAsia="Times New Roman"/>
          <w:lang w:eastAsia="en-NZ"/>
        </w:rPr>
        <w:t>clients</w:t>
      </w:r>
      <w:proofErr w:type="gramEnd"/>
      <w:r w:rsidRPr="006E24A2">
        <w:rPr>
          <w:rFonts w:eastAsia="Times New Roman"/>
          <w:lang w:eastAsia="en-NZ"/>
        </w:rPr>
        <w:t xml:space="preserve"> live better </w:t>
      </w:r>
      <w:r w:rsidR="00C675CB">
        <w:rPr>
          <w:rFonts w:eastAsia="Times New Roman"/>
          <w:lang w:eastAsia="en-NZ"/>
        </w:rPr>
        <w:t>lives by achieving</w:t>
      </w:r>
      <w:r w:rsidRPr="006E24A2">
        <w:rPr>
          <w:rFonts w:eastAsia="Times New Roman"/>
          <w:lang w:eastAsia="en-NZ"/>
        </w:rPr>
        <w:t xml:space="preserve"> employment outcomes and to fill knowledge gaps related to client</w:t>
      </w:r>
      <w:r>
        <w:rPr>
          <w:rFonts w:eastAsia="Times New Roman"/>
          <w:lang w:eastAsia="en-NZ"/>
        </w:rPr>
        <w:t>s with mental health conditions</w:t>
      </w:r>
      <w:r w:rsidR="00D53F6B">
        <w:rPr>
          <w:rFonts w:eastAsia="Times New Roman"/>
          <w:lang w:eastAsia="en-NZ"/>
        </w:rPr>
        <w:t>.</w:t>
      </w:r>
    </w:p>
    <w:p w:rsidR="00B06B56" w:rsidRPr="006E24A2" w:rsidRDefault="0095520C" w:rsidP="00D53F6B">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Additional on-going work aimed at understanding approaches that will help achieve improved outcomes for HCD clients is the </w:t>
      </w:r>
      <w:r w:rsidR="00B06B56" w:rsidRPr="006E24A2">
        <w:rPr>
          <w:rFonts w:eastAsia="Times New Roman"/>
          <w:lang w:eastAsia="en-NZ"/>
        </w:rPr>
        <w:t xml:space="preserve">Proof of Concept </w:t>
      </w:r>
      <w:r>
        <w:rPr>
          <w:rFonts w:eastAsia="Times New Roman"/>
          <w:lang w:eastAsia="en-NZ"/>
        </w:rPr>
        <w:t>with Orion Health, which</w:t>
      </w:r>
      <w:r w:rsidR="00B06B56" w:rsidRPr="006E24A2">
        <w:rPr>
          <w:rFonts w:eastAsia="Times New Roman"/>
          <w:lang w:eastAsia="en-NZ"/>
        </w:rPr>
        <w:t xml:space="preserve"> test</w:t>
      </w:r>
      <w:r>
        <w:rPr>
          <w:rFonts w:eastAsia="Times New Roman"/>
          <w:lang w:eastAsia="en-NZ"/>
        </w:rPr>
        <w:t>s</w:t>
      </w:r>
      <w:r w:rsidR="00B06B56" w:rsidRPr="006E24A2">
        <w:rPr>
          <w:rFonts w:eastAsia="Times New Roman"/>
          <w:lang w:eastAsia="en-NZ"/>
        </w:rPr>
        <w:t xml:space="preserve"> </w:t>
      </w:r>
      <w:r w:rsidR="00D7150B">
        <w:rPr>
          <w:rFonts w:eastAsia="Times New Roman"/>
          <w:lang w:eastAsia="en-NZ"/>
        </w:rPr>
        <w:t>whether integrating health and welfare</w:t>
      </w:r>
      <w:r w:rsidR="00B06B56" w:rsidRPr="006E24A2">
        <w:rPr>
          <w:rFonts w:eastAsia="Times New Roman"/>
          <w:lang w:eastAsia="en-NZ"/>
        </w:rPr>
        <w:t xml:space="preserve"> data </w:t>
      </w:r>
      <w:r w:rsidR="00D7150B">
        <w:rPr>
          <w:rFonts w:eastAsia="Times New Roman"/>
          <w:lang w:eastAsia="en-NZ"/>
        </w:rPr>
        <w:t xml:space="preserve">helps achieve improved </w:t>
      </w:r>
      <w:r w:rsidR="00192F5C">
        <w:rPr>
          <w:rFonts w:eastAsia="Times New Roman"/>
          <w:lang w:eastAsia="en-NZ"/>
        </w:rPr>
        <w:t xml:space="preserve">outcomes </w:t>
      </w:r>
      <w:r w:rsidR="00D7150B">
        <w:rPr>
          <w:rFonts w:eastAsia="Times New Roman"/>
          <w:lang w:eastAsia="en-NZ"/>
        </w:rPr>
        <w:t>for mutual clients</w:t>
      </w:r>
      <w:r>
        <w:rPr>
          <w:rFonts w:eastAsia="Times New Roman"/>
          <w:lang w:eastAsia="en-NZ"/>
        </w:rPr>
        <w:t>;</w:t>
      </w:r>
      <w:r w:rsidR="00D7150B">
        <w:rPr>
          <w:rFonts w:eastAsia="Times New Roman"/>
          <w:lang w:eastAsia="en-NZ"/>
        </w:rPr>
        <w:t xml:space="preserve"> </w:t>
      </w:r>
      <w:r w:rsidR="00B06B56" w:rsidRPr="006E24A2">
        <w:rPr>
          <w:rFonts w:eastAsia="Times New Roman"/>
          <w:lang w:eastAsia="en-NZ"/>
        </w:rPr>
        <w:t xml:space="preserve">and the work with the National </w:t>
      </w:r>
      <w:proofErr w:type="spellStart"/>
      <w:r w:rsidR="00B06B56" w:rsidRPr="006E24A2">
        <w:rPr>
          <w:rFonts w:eastAsia="Times New Roman"/>
          <w:lang w:eastAsia="en-NZ"/>
        </w:rPr>
        <w:t>Hauora</w:t>
      </w:r>
      <w:proofErr w:type="spellEnd"/>
      <w:r w:rsidR="00B06B56" w:rsidRPr="006E24A2">
        <w:rPr>
          <w:rFonts w:eastAsia="Times New Roman"/>
          <w:lang w:eastAsia="en-NZ"/>
        </w:rPr>
        <w:t xml:space="preserve"> Coalition</w:t>
      </w:r>
      <w:r w:rsidR="00B06B56">
        <w:rPr>
          <w:rFonts w:eastAsia="Times New Roman"/>
          <w:lang w:eastAsia="en-NZ"/>
        </w:rPr>
        <w:t xml:space="preserve"> </w:t>
      </w:r>
      <w:r w:rsidR="00D53F6B">
        <w:rPr>
          <w:rFonts w:eastAsia="Times New Roman"/>
          <w:lang w:eastAsia="en-NZ"/>
        </w:rPr>
        <w:t xml:space="preserve">that </w:t>
      </w:r>
      <w:r w:rsidR="00D53F6B" w:rsidRPr="00D53F6B">
        <w:rPr>
          <w:rFonts w:eastAsia="Times New Roman"/>
          <w:lang w:eastAsia="en-NZ"/>
        </w:rPr>
        <w:t>tests new approaches around the provision of Work Capac</w:t>
      </w:r>
      <w:r w:rsidR="00D53F6B">
        <w:rPr>
          <w:rFonts w:eastAsia="Times New Roman"/>
          <w:lang w:eastAsia="en-NZ"/>
        </w:rPr>
        <w:t>ity Medical Certificates by GPs</w:t>
      </w:r>
      <w:r w:rsidR="00D53F6B" w:rsidRPr="00D53F6B">
        <w:rPr>
          <w:rFonts w:eastAsia="Times New Roman"/>
          <w:lang w:eastAsia="en-NZ"/>
        </w:rPr>
        <w:t xml:space="preserve"> and associated interventions to support mutual clients to return to work sooner. </w:t>
      </w:r>
    </w:p>
    <w:p w:rsidR="003826FF" w:rsidRDefault="003826FF" w:rsidP="003826FF">
      <w:pPr>
        <w:suppressAutoHyphens/>
        <w:autoSpaceDE w:val="0"/>
        <w:autoSpaceDN w:val="0"/>
        <w:adjustRightInd w:val="0"/>
        <w:spacing w:before="120" w:after="0" w:line="240" w:lineRule="auto"/>
        <w:textAlignment w:val="center"/>
        <w:rPr>
          <w:rFonts w:eastAsia="Times New Roman"/>
          <w:lang w:eastAsia="en-NZ"/>
        </w:rPr>
      </w:pPr>
      <w:r w:rsidRPr="006E24A2">
        <w:rPr>
          <w:rFonts w:eastAsia="Times New Roman"/>
          <w:lang w:eastAsia="en-NZ"/>
        </w:rPr>
        <w:t xml:space="preserve">MSD will continue to build on its growing relationships with </w:t>
      </w:r>
      <w:r w:rsidR="00B728EF">
        <w:rPr>
          <w:rFonts w:eastAsia="Times New Roman"/>
          <w:lang w:eastAsia="en-NZ"/>
        </w:rPr>
        <w:t>NGOs. W</w:t>
      </w:r>
      <w:r w:rsidR="00C675CB">
        <w:rPr>
          <w:rFonts w:eastAsia="Times New Roman"/>
          <w:lang w:eastAsia="en-NZ"/>
        </w:rPr>
        <w:t>here there are existing</w:t>
      </w:r>
      <w:r w:rsidRPr="006E24A2">
        <w:rPr>
          <w:rFonts w:eastAsia="Times New Roman"/>
          <w:lang w:eastAsia="en-NZ"/>
        </w:rPr>
        <w:t xml:space="preserve"> joint relationships in place, </w:t>
      </w:r>
      <w:r w:rsidR="00B728EF">
        <w:rPr>
          <w:rFonts w:eastAsia="Times New Roman"/>
          <w:lang w:eastAsia="en-NZ"/>
        </w:rPr>
        <w:t xml:space="preserve">MSD will </w:t>
      </w:r>
      <w:r w:rsidRPr="006E24A2">
        <w:rPr>
          <w:rFonts w:eastAsia="Times New Roman"/>
          <w:lang w:eastAsia="en-NZ"/>
        </w:rPr>
        <w:t>alert these agencies of the upcoming p</w:t>
      </w:r>
      <w:r w:rsidR="00B728EF">
        <w:rPr>
          <w:rFonts w:eastAsia="Times New Roman"/>
          <w:lang w:eastAsia="en-NZ"/>
        </w:rPr>
        <w:t>ublic release of the Strategies</w:t>
      </w:r>
      <w:r w:rsidRPr="006E24A2">
        <w:rPr>
          <w:rFonts w:eastAsia="Times New Roman"/>
          <w:lang w:eastAsia="en-NZ"/>
        </w:rPr>
        <w:t xml:space="preserve"> and use these existing relationships to help MSD tap into a wider pool of organisations to ensure as wide </w:t>
      </w:r>
      <w:r w:rsidR="006177C8" w:rsidRPr="006E24A2">
        <w:rPr>
          <w:rFonts w:eastAsia="Times New Roman"/>
          <w:lang w:eastAsia="en-NZ"/>
        </w:rPr>
        <w:t>coverage</w:t>
      </w:r>
      <w:r w:rsidRPr="006E24A2">
        <w:rPr>
          <w:rFonts w:eastAsia="Times New Roman"/>
          <w:lang w:eastAsia="en-NZ"/>
        </w:rPr>
        <w:t xml:space="preserve"> as possible of new and innovati</w:t>
      </w:r>
      <w:r>
        <w:rPr>
          <w:rFonts w:eastAsia="Times New Roman"/>
          <w:lang w:eastAsia="en-NZ"/>
        </w:rPr>
        <w:t xml:space="preserve">ve ideas to help achieve BPS 1. </w:t>
      </w:r>
    </w:p>
    <w:p w:rsidR="006177C8" w:rsidRDefault="006177C8" w:rsidP="00B06B56">
      <w:pPr>
        <w:suppressAutoHyphens/>
        <w:autoSpaceDE w:val="0"/>
        <w:autoSpaceDN w:val="0"/>
        <w:adjustRightInd w:val="0"/>
        <w:spacing w:before="120" w:after="0" w:line="240" w:lineRule="auto"/>
        <w:textAlignment w:val="center"/>
        <w:rPr>
          <w:rFonts w:eastAsia="Times New Roman"/>
          <w:i/>
          <w:lang w:eastAsia="en-NZ"/>
        </w:rPr>
      </w:pPr>
    </w:p>
    <w:p w:rsidR="0054098C" w:rsidRPr="0054098C" w:rsidRDefault="0054098C" w:rsidP="00B06B56">
      <w:pPr>
        <w:suppressAutoHyphens/>
        <w:autoSpaceDE w:val="0"/>
        <w:autoSpaceDN w:val="0"/>
        <w:adjustRightInd w:val="0"/>
        <w:spacing w:before="120" w:after="0" w:line="240" w:lineRule="auto"/>
        <w:textAlignment w:val="center"/>
        <w:rPr>
          <w:rFonts w:eastAsia="Times New Roman"/>
          <w:i/>
          <w:lang w:eastAsia="en-NZ"/>
        </w:rPr>
      </w:pPr>
      <w:r>
        <w:rPr>
          <w:rFonts w:eastAsia="Times New Roman"/>
          <w:i/>
          <w:lang w:eastAsia="en-NZ"/>
        </w:rPr>
        <w:lastRenderedPageBreak/>
        <w:t>Testing our approach and ideas</w:t>
      </w:r>
    </w:p>
    <w:p w:rsidR="00B06B56" w:rsidRDefault="00B06B56" w:rsidP="00B06B56">
      <w:pPr>
        <w:suppressAutoHyphens/>
        <w:autoSpaceDE w:val="0"/>
        <w:autoSpaceDN w:val="0"/>
        <w:adjustRightInd w:val="0"/>
        <w:spacing w:before="120" w:after="0" w:line="240" w:lineRule="auto"/>
        <w:textAlignment w:val="center"/>
        <w:rPr>
          <w:rFonts w:eastAsia="Times New Roman"/>
          <w:lang w:eastAsia="en-NZ"/>
        </w:rPr>
      </w:pPr>
      <w:r>
        <w:rPr>
          <w:rFonts w:eastAsia="Times New Roman"/>
          <w:lang w:eastAsia="en-NZ"/>
        </w:rPr>
        <w:t xml:space="preserve">In terms of testing </w:t>
      </w:r>
      <w:r w:rsidR="0079034C">
        <w:rPr>
          <w:rFonts w:eastAsia="Times New Roman"/>
          <w:lang w:eastAsia="en-NZ"/>
        </w:rPr>
        <w:t>any new and innovative approach</w:t>
      </w:r>
      <w:r w:rsidR="00064186">
        <w:rPr>
          <w:rFonts w:eastAsia="Times New Roman"/>
          <w:lang w:eastAsia="en-NZ"/>
        </w:rPr>
        <w:t>es</w:t>
      </w:r>
      <w:r w:rsidR="0095520C">
        <w:rPr>
          <w:rFonts w:eastAsia="Times New Roman"/>
          <w:lang w:eastAsia="en-NZ"/>
        </w:rPr>
        <w:t>, MSD</w:t>
      </w:r>
      <w:r>
        <w:rPr>
          <w:rFonts w:eastAsia="Times New Roman"/>
          <w:lang w:eastAsia="en-NZ"/>
        </w:rPr>
        <w:t xml:space="preserve"> set up a BPS 1</w:t>
      </w:r>
      <w:r w:rsidRPr="006E24A2">
        <w:rPr>
          <w:rFonts w:eastAsia="Times New Roman"/>
          <w:lang w:eastAsia="en-NZ"/>
        </w:rPr>
        <w:t xml:space="preserve"> Senior Officials’ Group (SOG)</w:t>
      </w:r>
      <w:r w:rsidR="0095520C">
        <w:rPr>
          <w:rFonts w:eastAsia="Times New Roman"/>
          <w:lang w:eastAsia="en-NZ"/>
        </w:rPr>
        <w:t xml:space="preserve"> to test any </w:t>
      </w:r>
      <w:r w:rsidR="00064186">
        <w:rPr>
          <w:rFonts w:eastAsia="Times New Roman"/>
          <w:lang w:eastAsia="en-NZ"/>
        </w:rPr>
        <w:t>different</w:t>
      </w:r>
      <w:r w:rsidR="0095520C">
        <w:rPr>
          <w:rFonts w:eastAsia="Times New Roman"/>
          <w:lang w:eastAsia="en-NZ"/>
        </w:rPr>
        <w:t xml:space="preserve"> </w:t>
      </w:r>
      <w:r w:rsidR="00064186">
        <w:rPr>
          <w:rFonts w:eastAsia="Times New Roman"/>
          <w:lang w:eastAsia="en-NZ"/>
        </w:rPr>
        <w:t>approach</w:t>
      </w:r>
      <w:r w:rsidR="0095520C">
        <w:rPr>
          <w:rFonts w:eastAsia="Times New Roman"/>
          <w:lang w:eastAsia="en-NZ"/>
        </w:rPr>
        <w:t xml:space="preserve"> to working with clients that have complex needs. The idea is that the SOG</w:t>
      </w:r>
      <w:r w:rsidRPr="006E24A2">
        <w:rPr>
          <w:rFonts w:eastAsia="Times New Roman"/>
          <w:lang w:eastAsia="en-NZ"/>
        </w:rPr>
        <w:t xml:space="preserve"> will act as a sounding board </w:t>
      </w:r>
      <w:r w:rsidR="0095520C">
        <w:rPr>
          <w:rFonts w:eastAsia="Times New Roman"/>
          <w:lang w:eastAsia="en-NZ"/>
        </w:rPr>
        <w:t>to ensure</w:t>
      </w:r>
      <w:r w:rsidRPr="006E24A2">
        <w:rPr>
          <w:rFonts w:eastAsia="Times New Roman"/>
          <w:lang w:eastAsia="en-NZ"/>
        </w:rPr>
        <w:t xml:space="preserve"> the </w:t>
      </w:r>
      <w:r w:rsidR="00326313">
        <w:rPr>
          <w:rFonts w:eastAsia="Times New Roman"/>
          <w:lang w:eastAsia="en-NZ"/>
        </w:rPr>
        <w:t>cohort</w:t>
      </w:r>
      <w:r w:rsidR="0095520C">
        <w:rPr>
          <w:rFonts w:eastAsia="Times New Roman"/>
          <w:lang w:eastAsia="en-NZ"/>
        </w:rPr>
        <w:t>s</w:t>
      </w:r>
      <w:r w:rsidR="00326313">
        <w:rPr>
          <w:rFonts w:eastAsia="Times New Roman"/>
          <w:lang w:eastAsia="en-NZ"/>
        </w:rPr>
        <w:t xml:space="preserve"> of clients identified within the</w:t>
      </w:r>
      <w:r w:rsidR="0095520C">
        <w:rPr>
          <w:rFonts w:eastAsia="Times New Roman"/>
          <w:lang w:eastAsia="en-NZ"/>
        </w:rPr>
        <w:t xml:space="preserve"> Strategy are the right ones</w:t>
      </w:r>
      <w:r w:rsidR="00064186">
        <w:rPr>
          <w:rFonts w:eastAsia="Times New Roman"/>
          <w:lang w:eastAsia="en-NZ"/>
        </w:rPr>
        <w:t xml:space="preserve">, </w:t>
      </w:r>
      <w:r w:rsidR="00326313">
        <w:rPr>
          <w:rFonts w:eastAsia="Times New Roman"/>
          <w:lang w:eastAsia="en-NZ"/>
        </w:rPr>
        <w:t xml:space="preserve">to help determine where there may </w:t>
      </w:r>
      <w:r w:rsidR="00B728EF">
        <w:rPr>
          <w:rFonts w:eastAsia="Times New Roman"/>
          <w:lang w:eastAsia="en-NZ"/>
        </w:rPr>
        <w:t xml:space="preserve">be </w:t>
      </w:r>
      <w:r w:rsidR="00326313">
        <w:rPr>
          <w:rFonts w:eastAsia="Times New Roman"/>
          <w:lang w:eastAsia="en-NZ"/>
        </w:rPr>
        <w:t>a crossover of interest</w:t>
      </w:r>
      <w:r w:rsidR="00064186">
        <w:rPr>
          <w:rFonts w:eastAsia="Times New Roman"/>
          <w:lang w:eastAsia="en-NZ"/>
        </w:rPr>
        <w:t xml:space="preserve"> and to help implement where appropriate</w:t>
      </w:r>
      <w:r w:rsidRPr="006E24A2">
        <w:rPr>
          <w:rFonts w:eastAsia="Times New Roman"/>
          <w:lang w:eastAsia="en-NZ"/>
        </w:rPr>
        <w:t>.</w:t>
      </w:r>
      <w:r w:rsidRPr="0078305D">
        <w:rPr>
          <w:rFonts w:eastAsia="Times New Roman"/>
          <w:lang w:eastAsia="en-NZ"/>
        </w:rPr>
        <w:t xml:space="preserve"> </w:t>
      </w:r>
      <w:r w:rsidR="00F96F66" w:rsidRPr="00064186">
        <w:rPr>
          <w:rFonts w:eastAsia="Times New Roman"/>
          <w:lang w:eastAsia="en-NZ"/>
        </w:rPr>
        <w:t>We will outline the contents of the Strategy at the May 2017 SOG meeting.</w:t>
      </w:r>
    </w:p>
    <w:p w:rsidR="00B06B56" w:rsidRPr="006E24A2" w:rsidRDefault="00B06B56" w:rsidP="00B06B56">
      <w:pPr>
        <w:suppressAutoHyphens/>
        <w:autoSpaceDE w:val="0"/>
        <w:autoSpaceDN w:val="0"/>
        <w:adjustRightInd w:val="0"/>
        <w:spacing w:before="120" w:after="0" w:line="240" w:lineRule="auto"/>
        <w:textAlignment w:val="center"/>
        <w:rPr>
          <w:rFonts w:eastAsia="Times New Roman"/>
          <w:lang w:eastAsia="en-NZ"/>
        </w:rPr>
      </w:pPr>
      <w:r w:rsidRPr="006E24A2">
        <w:rPr>
          <w:rFonts w:eastAsia="Times New Roman"/>
          <w:lang w:eastAsia="en-NZ"/>
        </w:rPr>
        <w:t xml:space="preserve">MSD </w:t>
      </w:r>
      <w:r w:rsidR="0095520C">
        <w:rPr>
          <w:rFonts w:eastAsia="Times New Roman"/>
          <w:lang w:eastAsia="en-NZ"/>
        </w:rPr>
        <w:t>will also engage</w:t>
      </w:r>
      <w:r w:rsidRPr="006E24A2">
        <w:rPr>
          <w:rFonts w:eastAsia="Times New Roman"/>
          <w:lang w:eastAsia="en-NZ"/>
        </w:rPr>
        <w:t xml:space="preserve"> with existing reference groups to test the S</w:t>
      </w:r>
      <w:r w:rsidR="00D7150B">
        <w:rPr>
          <w:rFonts w:eastAsia="Times New Roman"/>
          <w:lang w:eastAsia="en-NZ"/>
        </w:rPr>
        <w:t>trategy, for example with the Mā</w:t>
      </w:r>
      <w:r w:rsidRPr="006E24A2">
        <w:rPr>
          <w:rFonts w:eastAsia="Times New Roman"/>
          <w:lang w:eastAsia="en-NZ"/>
        </w:rPr>
        <w:t xml:space="preserve">ori Innovation Reference Group – a group consisting of prominent </w:t>
      </w:r>
      <w:r w:rsidR="00D7150B">
        <w:rPr>
          <w:rFonts w:eastAsia="Times New Roman"/>
          <w:lang w:eastAsia="en-NZ"/>
        </w:rPr>
        <w:t>Mā</w:t>
      </w:r>
      <w:r w:rsidR="00D7150B" w:rsidRPr="006E24A2">
        <w:rPr>
          <w:rFonts w:eastAsia="Times New Roman"/>
          <w:lang w:eastAsia="en-NZ"/>
        </w:rPr>
        <w:t xml:space="preserve">ori </w:t>
      </w:r>
      <w:r w:rsidRPr="006E24A2">
        <w:rPr>
          <w:rFonts w:eastAsia="Times New Roman"/>
          <w:lang w:eastAsia="en-NZ"/>
        </w:rPr>
        <w:t xml:space="preserve">leaders from across </w:t>
      </w:r>
      <w:r>
        <w:rPr>
          <w:rFonts w:eastAsia="Times New Roman"/>
          <w:lang w:eastAsia="en-NZ"/>
        </w:rPr>
        <w:t xml:space="preserve">the New Zealand private sector. </w:t>
      </w:r>
      <w:r w:rsidR="00F96F66" w:rsidRPr="00064186">
        <w:rPr>
          <w:rFonts w:eastAsia="Times New Roman"/>
          <w:lang w:eastAsia="en-NZ"/>
        </w:rPr>
        <w:t xml:space="preserve">We expect to share the </w:t>
      </w:r>
      <w:r w:rsidR="00064186">
        <w:rPr>
          <w:rFonts w:eastAsia="Times New Roman"/>
          <w:lang w:eastAsia="en-NZ"/>
        </w:rPr>
        <w:t xml:space="preserve">contents of the Strategy, especially how it relates </w:t>
      </w:r>
      <w:r w:rsidR="00F96F66" w:rsidRPr="00064186">
        <w:rPr>
          <w:rFonts w:eastAsia="Times New Roman"/>
          <w:lang w:eastAsia="en-NZ"/>
        </w:rPr>
        <w:t>to Māori</w:t>
      </w:r>
      <w:r w:rsidR="008150FC" w:rsidRPr="00064186">
        <w:rPr>
          <w:rFonts w:eastAsia="Times New Roman"/>
          <w:lang w:eastAsia="en-NZ"/>
        </w:rPr>
        <w:t>, at the next meeting which is likely to be in June 2017.</w:t>
      </w:r>
    </w:p>
    <w:p w:rsidR="00444A9D" w:rsidRDefault="00444A9D" w:rsidP="00444A9D">
      <w:pPr>
        <w:autoSpaceDE w:val="0"/>
        <w:autoSpaceDN w:val="0"/>
        <w:spacing w:before="120"/>
        <w:textAlignment w:val="center"/>
        <w:rPr>
          <w:b/>
          <w:bCs/>
          <w:i/>
          <w:iCs/>
          <w:lang w:eastAsia="en-NZ"/>
        </w:rPr>
      </w:pPr>
      <w:r>
        <w:rPr>
          <w:b/>
          <w:bCs/>
          <w:i/>
          <w:iCs/>
          <w:lang w:eastAsia="en-NZ"/>
        </w:rPr>
        <w:t>Taking an investment approach to social housing</w:t>
      </w:r>
    </w:p>
    <w:p w:rsidR="00444A9D" w:rsidRPr="00DB4E41" w:rsidRDefault="00444A9D" w:rsidP="00DB4E41">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MSD established its social housing function in 2014, with the transition of social housing needs assessments and associated functions from Housing New Zealand. Since then, MSD’s primary focus in this area has been on assessing people’s need for social housing, securing the supply of social and emergency housing places and managing social housing demand. In October 2016, MSD secured funding to develop an investment approach and strategic purchaser function for social housing. MSD is now in the process of putting the building blocks for an investment approach to social housing in place, which will enable us to take a more strategic approac</w:t>
      </w:r>
      <w:r w:rsidR="001F6B01">
        <w:rPr>
          <w:rFonts w:eastAsia="Times New Roman"/>
          <w:lang w:eastAsia="en-NZ"/>
        </w:rPr>
        <w:t>h to social housing and utilise</w:t>
      </w:r>
      <w:r w:rsidRPr="00DB4E41">
        <w:rPr>
          <w:rFonts w:eastAsia="Times New Roman"/>
          <w:lang w:eastAsia="en-NZ"/>
        </w:rPr>
        <w:t xml:space="preserve"> social housing to achieve wider social outcomes, such as improved health, further education and training and sustainable employment.</w:t>
      </w:r>
    </w:p>
    <w:p w:rsidR="00444A9D" w:rsidRDefault="00444A9D" w:rsidP="00DB4E41">
      <w:pPr>
        <w:suppressAutoHyphens/>
        <w:autoSpaceDE w:val="0"/>
        <w:autoSpaceDN w:val="0"/>
        <w:adjustRightInd w:val="0"/>
        <w:spacing w:before="120" w:after="0" w:line="240" w:lineRule="auto"/>
        <w:textAlignment w:val="center"/>
        <w:rPr>
          <w:color w:val="000000"/>
          <w:lang w:eastAsia="en-NZ"/>
        </w:rPr>
      </w:pPr>
      <w:r w:rsidRPr="00DB4E41">
        <w:rPr>
          <w:rFonts w:eastAsia="Times New Roman"/>
          <w:lang w:eastAsia="en-NZ"/>
        </w:rPr>
        <w:t>The first Housing Investment Strategy will be a starting point based on the information that is currently available – housing data is challenging and complex due to unreliable elements and the underlying complexity of the system; much of it is also managed manually as the systems that hold this data are not yet well integrated. In addition, a number of the building blocks for an investment approach are not yet in place and will be developed in tandem with the first Strategy. MSD’s</w:t>
      </w:r>
      <w:r>
        <w:rPr>
          <w:color w:val="000000"/>
          <w:lang w:eastAsia="en-NZ"/>
        </w:rPr>
        <w:t xml:space="preserve"> approach wi</w:t>
      </w:r>
      <w:r w:rsidR="00CE61C2">
        <w:rPr>
          <w:color w:val="000000"/>
          <w:lang w:eastAsia="en-NZ"/>
        </w:rPr>
        <w:t>ll mature over time as new data</w:t>
      </w:r>
      <w:r>
        <w:rPr>
          <w:color w:val="000000"/>
          <w:lang w:eastAsia="en-NZ"/>
        </w:rPr>
        <w:t>, subsequent evaluations and an understanding of cross-sector impacts enable MSD to hone its approach.  </w:t>
      </w:r>
    </w:p>
    <w:p w:rsidR="00B65C90" w:rsidRDefault="00444A9D" w:rsidP="00B65C90">
      <w:pPr>
        <w:suppressAutoHyphens/>
        <w:autoSpaceDE w:val="0"/>
        <w:autoSpaceDN w:val="0"/>
        <w:adjustRightInd w:val="0"/>
        <w:spacing w:before="120" w:after="0" w:line="240" w:lineRule="auto"/>
        <w:textAlignment w:val="center"/>
        <w:rPr>
          <w:rFonts w:eastAsia="Times New Roman"/>
          <w:lang w:eastAsia="en-NZ"/>
        </w:rPr>
      </w:pPr>
      <w:r w:rsidRPr="00DB4E41">
        <w:rPr>
          <w:rFonts w:eastAsia="Times New Roman"/>
          <w:lang w:eastAsia="en-NZ"/>
        </w:rPr>
        <w:t>The welfare and social housing valuations have been built using the same model which enables a view of joint liability and will allow MSD to design and evaluate interventions across both systems. In future years, the Housing Investment Strategy and Employment Outcomes Investment Strategy will be combined to enhance how it delivers services across both welfare and housing, based on a more holistic view of the drivers of clients’ risk factors for d</w:t>
      </w:r>
      <w:r w:rsidR="00B65C90">
        <w:rPr>
          <w:rFonts w:eastAsia="Times New Roman"/>
          <w:lang w:eastAsia="en-NZ"/>
        </w:rPr>
        <w:t xml:space="preserve">ependency across both systems. </w:t>
      </w:r>
    </w:p>
    <w:p w:rsidR="005F386F" w:rsidRPr="006F0438" w:rsidRDefault="002454F7" w:rsidP="005F386F">
      <w:pPr>
        <w:suppressAutoHyphens/>
        <w:autoSpaceDE w:val="0"/>
        <w:autoSpaceDN w:val="0"/>
        <w:adjustRightInd w:val="0"/>
        <w:spacing w:before="120" w:after="0" w:line="240" w:lineRule="auto"/>
        <w:textAlignment w:val="center"/>
        <w:rPr>
          <w:rFonts w:eastAsia="Times New Roman"/>
          <w:b/>
          <w:i/>
          <w:lang w:eastAsia="en-NZ"/>
        </w:rPr>
      </w:pPr>
      <w:r>
        <w:rPr>
          <w:rFonts w:eastAsia="Times New Roman"/>
          <w:b/>
          <w:i/>
          <w:lang w:eastAsia="en-NZ"/>
        </w:rPr>
        <w:t xml:space="preserve">Working </w:t>
      </w:r>
      <w:r w:rsidR="00AB2218">
        <w:rPr>
          <w:rFonts w:eastAsia="Times New Roman"/>
          <w:b/>
          <w:i/>
          <w:lang w:eastAsia="en-NZ"/>
        </w:rPr>
        <w:t xml:space="preserve">differently </w:t>
      </w:r>
      <w:r>
        <w:rPr>
          <w:rFonts w:eastAsia="Times New Roman"/>
          <w:b/>
          <w:i/>
          <w:lang w:eastAsia="en-NZ"/>
        </w:rPr>
        <w:t>with Employers</w:t>
      </w:r>
    </w:p>
    <w:p w:rsidR="00FC4B38" w:rsidRPr="00FC4B38" w:rsidRDefault="00FC4B38" w:rsidP="00FC4B38">
      <w:pPr>
        <w:suppressAutoHyphens/>
        <w:autoSpaceDE w:val="0"/>
        <w:autoSpaceDN w:val="0"/>
        <w:adjustRightInd w:val="0"/>
        <w:spacing w:before="120" w:after="0" w:line="240" w:lineRule="auto"/>
        <w:textAlignment w:val="center"/>
        <w:rPr>
          <w:rFonts w:eastAsia="Times New Roman"/>
          <w:lang w:eastAsia="en-NZ"/>
        </w:rPr>
      </w:pPr>
      <w:r w:rsidRPr="00FC4B38">
        <w:rPr>
          <w:rFonts w:eastAsia="Times New Roman"/>
          <w:lang w:eastAsia="en-NZ"/>
        </w:rPr>
        <w:t>Employer Services are currently implementing an Employer Strategy, which will use various data sources to build the foundation for the delivery of differentiated employer service offerings based on an employer’s ability to provide sustainable employment outcomes for clients – investing more where we are likely to see a greater impact.</w:t>
      </w:r>
    </w:p>
    <w:p w:rsidR="00FC4B38" w:rsidRPr="00FC4B38" w:rsidRDefault="00FC4B38" w:rsidP="00FC4B38">
      <w:pPr>
        <w:suppressAutoHyphens/>
        <w:autoSpaceDE w:val="0"/>
        <w:autoSpaceDN w:val="0"/>
        <w:adjustRightInd w:val="0"/>
        <w:spacing w:before="120" w:after="0" w:line="240" w:lineRule="auto"/>
        <w:textAlignment w:val="center"/>
        <w:rPr>
          <w:rFonts w:eastAsia="Times New Roman"/>
          <w:lang w:eastAsia="en-NZ"/>
        </w:rPr>
      </w:pPr>
      <w:r w:rsidRPr="00FC4B38">
        <w:rPr>
          <w:rFonts w:eastAsia="Times New Roman"/>
          <w:lang w:eastAsia="en-NZ"/>
        </w:rPr>
        <w:t xml:space="preserve">The redesigned </w:t>
      </w:r>
      <w:r w:rsidR="003826FF">
        <w:rPr>
          <w:rFonts w:eastAsia="Times New Roman"/>
          <w:lang w:eastAsia="en-NZ"/>
        </w:rPr>
        <w:t xml:space="preserve">Employer </w:t>
      </w:r>
      <w:r w:rsidRPr="00FC4B38">
        <w:rPr>
          <w:rFonts w:eastAsia="Times New Roman"/>
          <w:lang w:eastAsia="en-NZ"/>
        </w:rPr>
        <w:t xml:space="preserve">Strategy went live in the Auckland region in late 2016 supported by Job Connect through centralised vacancy management and a new centralised work brokerage function. This will be expanded to Northland and Central regions early-2017. </w:t>
      </w:r>
    </w:p>
    <w:p w:rsidR="00FC4B38" w:rsidRPr="00FC4B38" w:rsidRDefault="00FC4B38" w:rsidP="00FC4B38">
      <w:pPr>
        <w:suppressAutoHyphens/>
        <w:autoSpaceDE w:val="0"/>
        <w:autoSpaceDN w:val="0"/>
        <w:adjustRightInd w:val="0"/>
        <w:spacing w:before="120" w:after="0" w:line="240" w:lineRule="auto"/>
        <w:textAlignment w:val="center"/>
        <w:rPr>
          <w:rFonts w:eastAsia="Times New Roman"/>
          <w:lang w:eastAsia="en-NZ"/>
        </w:rPr>
      </w:pPr>
      <w:r w:rsidRPr="00FC4B38">
        <w:rPr>
          <w:rFonts w:eastAsia="Times New Roman"/>
          <w:lang w:eastAsia="en-NZ"/>
        </w:rPr>
        <w:t>The regions have begun the iterative-design and monitoring phase, ensuring the development and practical application of the Strategy’s elements. Evaluation and assessment in mid-2017 will give Employer Services an opportunity to further refine, analyse and plan for the further implementation of regions during late 2017.</w:t>
      </w:r>
    </w:p>
    <w:p w:rsidR="006177C8" w:rsidRDefault="006177C8" w:rsidP="00FC4B38">
      <w:pPr>
        <w:suppressAutoHyphens/>
        <w:autoSpaceDE w:val="0"/>
        <w:autoSpaceDN w:val="0"/>
        <w:adjustRightInd w:val="0"/>
        <w:spacing w:before="120" w:after="0" w:line="240" w:lineRule="auto"/>
        <w:textAlignment w:val="center"/>
        <w:rPr>
          <w:rFonts w:eastAsia="Times New Roman"/>
          <w:lang w:eastAsia="en-NZ"/>
        </w:rPr>
      </w:pPr>
    </w:p>
    <w:p w:rsidR="00FC4B38" w:rsidRPr="00FC4B38" w:rsidRDefault="00FC4B38" w:rsidP="00FC4B38">
      <w:pPr>
        <w:suppressAutoHyphens/>
        <w:autoSpaceDE w:val="0"/>
        <w:autoSpaceDN w:val="0"/>
        <w:adjustRightInd w:val="0"/>
        <w:spacing w:before="120" w:after="0" w:line="240" w:lineRule="auto"/>
        <w:textAlignment w:val="center"/>
        <w:rPr>
          <w:rFonts w:eastAsia="Times New Roman"/>
          <w:lang w:eastAsia="en-NZ"/>
        </w:rPr>
      </w:pPr>
      <w:r w:rsidRPr="00FC4B38">
        <w:rPr>
          <w:rFonts w:eastAsia="Times New Roman"/>
          <w:lang w:eastAsia="en-NZ"/>
        </w:rPr>
        <w:lastRenderedPageBreak/>
        <w:t>Some of the intended improvements to Employer Services investments are outlined below:</w:t>
      </w:r>
    </w:p>
    <w:p w:rsidR="00FC4B38" w:rsidRPr="00FC4B38" w:rsidRDefault="00FC4B38" w:rsidP="000B740A">
      <w:pPr>
        <w:pStyle w:val="ListParagraph"/>
        <w:numPr>
          <w:ilvl w:val="0"/>
          <w:numId w:val="5"/>
        </w:numPr>
        <w:autoSpaceDE w:val="0"/>
        <w:autoSpaceDN w:val="0"/>
        <w:spacing w:before="120" w:after="0" w:line="240" w:lineRule="auto"/>
        <w:contextualSpacing w:val="0"/>
        <w:textAlignment w:val="center"/>
        <w:rPr>
          <w:lang w:eastAsia="en-NZ"/>
        </w:rPr>
      </w:pPr>
      <w:r w:rsidRPr="00FC4B38">
        <w:rPr>
          <w:lang w:eastAsia="en-NZ"/>
        </w:rPr>
        <w:t>Taking a wider view of the labour market through the introduction of analytics and data-matching to help inform employer engagement and to build a better understanding of the businesses and sectors that are likely to support greater outcomes for our clients.</w:t>
      </w:r>
    </w:p>
    <w:p w:rsidR="00FC4B38" w:rsidRPr="00FC4B38" w:rsidRDefault="00FC4B38" w:rsidP="000B740A">
      <w:pPr>
        <w:pStyle w:val="ListParagraph"/>
        <w:numPr>
          <w:ilvl w:val="0"/>
          <w:numId w:val="5"/>
        </w:numPr>
        <w:autoSpaceDE w:val="0"/>
        <w:autoSpaceDN w:val="0"/>
        <w:spacing w:before="120" w:after="0" w:line="240" w:lineRule="auto"/>
        <w:contextualSpacing w:val="0"/>
        <w:textAlignment w:val="center"/>
        <w:rPr>
          <w:lang w:eastAsia="en-NZ"/>
        </w:rPr>
      </w:pPr>
      <w:r w:rsidRPr="00FC4B38">
        <w:rPr>
          <w:lang w:eastAsia="en-NZ"/>
        </w:rPr>
        <w:t>Assisting in the development of training material for work brokerage and testing the specialisat</w:t>
      </w:r>
      <w:r w:rsidR="00D7150B">
        <w:rPr>
          <w:lang w:eastAsia="en-NZ"/>
        </w:rPr>
        <w:t>ion of the Work Broker function</w:t>
      </w:r>
      <w:r w:rsidRPr="00FC4B38">
        <w:rPr>
          <w:lang w:eastAsia="en-NZ"/>
        </w:rPr>
        <w:t>.</w:t>
      </w:r>
    </w:p>
    <w:p w:rsidR="00FC4B38" w:rsidRPr="00FC4B38" w:rsidRDefault="00FC4B38" w:rsidP="000B740A">
      <w:pPr>
        <w:pStyle w:val="ListParagraph"/>
        <w:numPr>
          <w:ilvl w:val="0"/>
          <w:numId w:val="5"/>
        </w:numPr>
        <w:autoSpaceDE w:val="0"/>
        <w:autoSpaceDN w:val="0"/>
        <w:spacing w:before="120" w:after="0" w:line="240" w:lineRule="auto"/>
        <w:contextualSpacing w:val="0"/>
        <w:textAlignment w:val="center"/>
        <w:rPr>
          <w:lang w:eastAsia="en-NZ"/>
        </w:rPr>
      </w:pPr>
      <w:r w:rsidRPr="00FC4B38">
        <w:rPr>
          <w:lang w:eastAsia="en-NZ"/>
        </w:rPr>
        <w:t xml:space="preserve">Employer and Provider contracts will be negotiated based on </w:t>
      </w:r>
      <w:r w:rsidR="00684A70">
        <w:rPr>
          <w:lang w:eastAsia="en-NZ"/>
        </w:rPr>
        <w:t>an increased focus on HCD clients</w:t>
      </w:r>
      <w:r w:rsidRPr="00FC4B38">
        <w:rPr>
          <w:lang w:eastAsia="en-NZ"/>
        </w:rPr>
        <w:t xml:space="preserve">. </w:t>
      </w:r>
    </w:p>
    <w:p w:rsidR="00FC4B38" w:rsidRPr="00FC4B38" w:rsidRDefault="00FC4B38" w:rsidP="000B740A">
      <w:pPr>
        <w:pStyle w:val="ListParagraph"/>
        <w:numPr>
          <w:ilvl w:val="0"/>
          <w:numId w:val="5"/>
        </w:numPr>
        <w:autoSpaceDE w:val="0"/>
        <w:autoSpaceDN w:val="0"/>
        <w:spacing w:before="120" w:after="0" w:line="240" w:lineRule="auto"/>
        <w:contextualSpacing w:val="0"/>
        <w:textAlignment w:val="center"/>
        <w:rPr>
          <w:lang w:eastAsia="en-NZ"/>
        </w:rPr>
      </w:pPr>
      <w:r w:rsidRPr="00FC4B38">
        <w:rPr>
          <w:lang w:eastAsia="en-NZ"/>
        </w:rPr>
        <w:t>A focus on an increased share of SPS and HCD clients into programmes by deliberately engaging with employers who have a corporate social responsibility lens.  </w:t>
      </w:r>
    </w:p>
    <w:p w:rsidR="00FC4B38" w:rsidRPr="00FC4B38" w:rsidRDefault="00FC4B38" w:rsidP="000B740A">
      <w:pPr>
        <w:pStyle w:val="ListParagraph"/>
        <w:numPr>
          <w:ilvl w:val="0"/>
          <w:numId w:val="5"/>
        </w:numPr>
        <w:autoSpaceDE w:val="0"/>
        <w:autoSpaceDN w:val="0"/>
        <w:spacing w:before="120" w:after="0" w:line="240" w:lineRule="auto"/>
        <w:contextualSpacing w:val="0"/>
        <w:textAlignment w:val="center"/>
        <w:rPr>
          <w:lang w:eastAsia="en-NZ"/>
        </w:rPr>
      </w:pPr>
      <w:r w:rsidRPr="00FC4B38">
        <w:rPr>
          <w:lang w:eastAsia="en-NZ"/>
        </w:rPr>
        <w:t xml:space="preserve">Support Immigration New Zealand’s policy change whereby employers must engage with Work and Income as a recruitment source prior to supporting an immigrant’s visa application (giving us access to around 10,000 vacancies we previously did not have). </w:t>
      </w:r>
    </w:p>
    <w:p w:rsidR="0069403D" w:rsidRPr="0069403D" w:rsidRDefault="0069403D" w:rsidP="0069403D">
      <w:pPr>
        <w:suppressAutoHyphens/>
        <w:autoSpaceDE w:val="0"/>
        <w:autoSpaceDN w:val="0"/>
        <w:adjustRightInd w:val="0"/>
        <w:spacing w:before="120" w:after="0" w:line="240" w:lineRule="auto"/>
        <w:textAlignment w:val="center"/>
        <w:rPr>
          <w:rFonts w:eastAsia="Times New Roman"/>
          <w:b/>
          <w:lang w:eastAsia="en-NZ"/>
        </w:rPr>
      </w:pPr>
      <w:r>
        <w:rPr>
          <w:rFonts w:eastAsia="Times New Roman"/>
          <w:b/>
          <w:lang w:eastAsia="en-NZ"/>
        </w:rPr>
        <w:t>Conclusion</w:t>
      </w:r>
    </w:p>
    <w:p w:rsidR="004862FE" w:rsidRPr="004862FE" w:rsidRDefault="004862FE" w:rsidP="004862FE">
      <w:pPr>
        <w:suppressAutoHyphens/>
        <w:autoSpaceDE w:val="0"/>
        <w:autoSpaceDN w:val="0"/>
        <w:adjustRightInd w:val="0"/>
        <w:spacing w:before="120" w:after="0" w:line="240" w:lineRule="auto"/>
        <w:textAlignment w:val="center"/>
        <w:rPr>
          <w:rFonts w:eastAsia="Times New Roman"/>
          <w:lang w:eastAsia="en-NZ"/>
        </w:rPr>
      </w:pPr>
      <w:r w:rsidRPr="004862FE">
        <w:rPr>
          <w:rFonts w:eastAsia="Times New Roman"/>
          <w:lang w:eastAsia="en-NZ"/>
        </w:rPr>
        <w:t>Since the implementation of the investment approach, MSD has made considerable strid</w:t>
      </w:r>
      <w:r w:rsidR="007F0983">
        <w:rPr>
          <w:rFonts w:eastAsia="Times New Roman"/>
          <w:lang w:eastAsia="en-NZ"/>
        </w:rPr>
        <w:t>es in reducing long-term benefit</w:t>
      </w:r>
      <w:r w:rsidRPr="004862FE">
        <w:rPr>
          <w:rFonts w:eastAsia="Times New Roman"/>
          <w:lang w:eastAsia="en-NZ"/>
        </w:rPr>
        <w:t xml:space="preserve"> dependence. Most of the supports and services available to clients enable them to achieve improved outcomes, ideally resulting in sustainable employment. H</w:t>
      </w:r>
      <w:r w:rsidR="007F0983">
        <w:rPr>
          <w:rFonts w:eastAsia="Times New Roman"/>
          <w:lang w:eastAsia="en-NZ"/>
        </w:rPr>
        <w:t>owever, not all our</w:t>
      </w:r>
      <w:r w:rsidRPr="004862FE">
        <w:rPr>
          <w:rFonts w:eastAsia="Times New Roman"/>
          <w:lang w:eastAsia="en-NZ"/>
        </w:rPr>
        <w:t xml:space="preserve"> current mix of services work for all </w:t>
      </w:r>
      <w:r w:rsidR="007F0983">
        <w:rPr>
          <w:rFonts w:eastAsia="Times New Roman"/>
          <w:lang w:eastAsia="en-NZ"/>
        </w:rPr>
        <w:t xml:space="preserve">of </w:t>
      </w:r>
      <w:r w:rsidRPr="004862FE">
        <w:rPr>
          <w:rFonts w:eastAsia="Times New Roman"/>
          <w:lang w:eastAsia="en-NZ"/>
        </w:rPr>
        <w:t xml:space="preserve">our clients – there are a growing number of clients who have high barriers to </w:t>
      </w:r>
      <w:r w:rsidR="007F0983">
        <w:rPr>
          <w:rFonts w:eastAsia="Times New Roman"/>
          <w:lang w:eastAsia="en-NZ"/>
        </w:rPr>
        <w:t xml:space="preserve">enter </w:t>
      </w:r>
      <w:r w:rsidRPr="004862FE">
        <w:rPr>
          <w:rFonts w:eastAsia="Times New Roman"/>
          <w:lang w:eastAsia="en-NZ"/>
        </w:rPr>
        <w:t>employment, who require different types of services to those we currently offer.</w:t>
      </w:r>
    </w:p>
    <w:p w:rsidR="004862FE" w:rsidRPr="004862FE" w:rsidRDefault="004862FE" w:rsidP="004862FE">
      <w:pPr>
        <w:suppressAutoHyphens/>
        <w:autoSpaceDE w:val="0"/>
        <w:autoSpaceDN w:val="0"/>
        <w:adjustRightInd w:val="0"/>
        <w:spacing w:before="120" w:after="0" w:line="240" w:lineRule="auto"/>
        <w:textAlignment w:val="center"/>
        <w:rPr>
          <w:rFonts w:eastAsia="Times New Roman"/>
          <w:lang w:eastAsia="en-NZ"/>
        </w:rPr>
      </w:pPr>
      <w:r w:rsidRPr="004862FE">
        <w:rPr>
          <w:rFonts w:eastAsia="Times New Roman"/>
          <w:lang w:eastAsia="en-NZ"/>
        </w:rPr>
        <w:t xml:space="preserve">Working more intensively with clients that have high barriers to employment </w:t>
      </w:r>
      <w:r w:rsidR="007F0983">
        <w:rPr>
          <w:rFonts w:eastAsia="Times New Roman"/>
          <w:lang w:eastAsia="en-NZ"/>
        </w:rPr>
        <w:t>requires</w:t>
      </w:r>
      <w:r w:rsidRPr="004862FE">
        <w:rPr>
          <w:rFonts w:eastAsia="Times New Roman"/>
          <w:lang w:eastAsia="en-NZ"/>
        </w:rPr>
        <w:t xml:space="preserve"> not only </w:t>
      </w:r>
      <w:r w:rsidR="007F0983">
        <w:rPr>
          <w:rFonts w:eastAsia="Times New Roman"/>
          <w:lang w:eastAsia="en-NZ"/>
        </w:rPr>
        <w:t xml:space="preserve">the </w:t>
      </w:r>
      <w:r w:rsidRPr="004862FE">
        <w:rPr>
          <w:rFonts w:eastAsia="Times New Roman"/>
          <w:lang w:eastAsia="en-NZ"/>
        </w:rPr>
        <w:t xml:space="preserve">need to understand what some of the underlying issues </w:t>
      </w:r>
      <w:r w:rsidR="007F0983">
        <w:rPr>
          <w:rFonts w:eastAsia="Times New Roman"/>
          <w:lang w:eastAsia="en-NZ"/>
        </w:rPr>
        <w:t xml:space="preserve">are that </w:t>
      </w:r>
      <w:r w:rsidRPr="004862FE">
        <w:rPr>
          <w:rFonts w:eastAsia="Times New Roman"/>
          <w:lang w:eastAsia="en-NZ"/>
        </w:rPr>
        <w:t>clients may be facing, but designing and implementing bespoke interventions (usually in the form of trials) that will help them achieve improved outcomes.</w:t>
      </w:r>
    </w:p>
    <w:p w:rsidR="004862FE" w:rsidRPr="004862FE" w:rsidRDefault="004862FE" w:rsidP="004862FE">
      <w:pPr>
        <w:suppressAutoHyphens/>
        <w:autoSpaceDE w:val="0"/>
        <w:autoSpaceDN w:val="0"/>
        <w:adjustRightInd w:val="0"/>
        <w:spacing w:before="120" w:after="0" w:line="240" w:lineRule="auto"/>
        <w:textAlignment w:val="center"/>
        <w:rPr>
          <w:rFonts w:eastAsia="Times New Roman"/>
          <w:lang w:eastAsia="en-NZ"/>
        </w:rPr>
      </w:pPr>
      <w:r w:rsidRPr="004862FE">
        <w:rPr>
          <w:rFonts w:eastAsia="Times New Roman"/>
          <w:lang w:eastAsia="en-NZ"/>
        </w:rPr>
        <w:t xml:space="preserve">Increased focus on the cohort of clients identified as </w:t>
      </w:r>
      <w:r w:rsidR="007F0983">
        <w:rPr>
          <w:rFonts w:eastAsia="Times New Roman"/>
          <w:lang w:eastAsia="en-NZ"/>
        </w:rPr>
        <w:t xml:space="preserve">areas </w:t>
      </w:r>
      <w:r w:rsidRPr="004862FE">
        <w:rPr>
          <w:rFonts w:eastAsia="Times New Roman"/>
          <w:lang w:eastAsia="en-NZ"/>
        </w:rPr>
        <w:t xml:space="preserve">of “management concern” will require a shift in how and where we invest our resources. We have already made a start by working more intensively with HCD clients, by streaming a greater number into active case management, and by increasing the amount of contracted spend. This </w:t>
      </w:r>
      <w:r w:rsidR="0043193A">
        <w:rPr>
          <w:rFonts w:eastAsia="Times New Roman"/>
          <w:lang w:eastAsia="en-NZ"/>
        </w:rPr>
        <w:t>is another step towards</w:t>
      </w:r>
      <w:r w:rsidRPr="004862FE">
        <w:rPr>
          <w:rFonts w:eastAsia="Times New Roman"/>
          <w:lang w:eastAsia="en-NZ"/>
        </w:rPr>
        <w:t xml:space="preserve"> understanding what works best for these clients.</w:t>
      </w:r>
    </w:p>
    <w:p w:rsidR="004862FE" w:rsidRPr="004862FE" w:rsidRDefault="004862FE" w:rsidP="004862FE">
      <w:pPr>
        <w:suppressAutoHyphens/>
        <w:autoSpaceDE w:val="0"/>
        <w:autoSpaceDN w:val="0"/>
        <w:adjustRightInd w:val="0"/>
        <w:spacing w:before="120" w:after="0" w:line="240" w:lineRule="auto"/>
        <w:textAlignment w:val="center"/>
        <w:rPr>
          <w:rFonts w:eastAsia="Times New Roman"/>
          <w:lang w:eastAsia="en-NZ"/>
        </w:rPr>
      </w:pPr>
      <w:r w:rsidRPr="004862FE">
        <w:rPr>
          <w:rFonts w:eastAsia="Times New Roman"/>
          <w:lang w:eastAsia="en-NZ"/>
        </w:rPr>
        <w:t>Similarly, we need to better understand what works best for the other cohorts of “management concern”</w:t>
      </w:r>
      <w:r w:rsidR="007F0983">
        <w:rPr>
          <w:rFonts w:eastAsia="Times New Roman"/>
          <w:lang w:eastAsia="en-NZ"/>
        </w:rPr>
        <w:t xml:space="preserve"> and implement</w:t>
      </w:r>
      <w:r w:rsidRPr="004862FE">
        <w:rPr>
          <w:rFonts w:eastAsia="Times New Roman"/>
          <w:lang w:eastAsia="en-NZ"/>
        </w:rPr>
        <w:t xml:space="preserve"> interventions </w:t>
      </w:r>
      <w:r w:rsidR="007F0983">
        <w:rPr>
          <w:rFonts w:eastAsia="Times New Roman"/>
          <w:lang w:eastAsia="en-NZ"/>
        </w:rPr>
        <w:t>with</w:t>
      </w:r>
      <w:r w:rsidRPr="004862FE">
        <w:rPr>
          <w:rFonts w:eastAsia="Times New Roman"/>
          <w:lang w:eastAsia="en-NZ"/>
        </w:rPr>
        <w:t xml:space="preserve"> new and innovative ideas, as current interventions are not achieving the desired outcomes. Designing and implementing innovative interventions requires funding, which MSD has successfully bid for through recent Budget processes.</w:t>
      </w:r>
    </w:p>
    <w:p w:rsidR="004862FE" w:rsidRPr="004862FE" w:rsidRDefault="004862FE" w:rsidP="004862FE">
      <w:pPr>
        <w:suppressAutoHyphens/>
        <w:autoSpaceDE w:val="0"/>
        <w:autoSpaceDN w:val="0"/>
        <w:adjustRightInd w:val="0"/>
        <w:spacing w:before="120" w:after="0" w:line="240" w:lineRule="auto"/>
        <w:textAlignment w:val="center"/>
        <w:rPr>
          <w:rFonts w:eastAsia="Times New Roman"/>
          <w:lang w:eastAsia="en-NZ"/>
        </w:rPr>
      </w:pPr>
      <w:r w:rsidRPr="004862FE">
        <w:rPr>
          <w:rFonts w:eastAsia="Times New Roman"/>
          <w:lang w:eastAsia="en-NZ"/>
        </w:rPr>
        <w:t xml:space="preserve">MSD is striving to fully comprehend and manage its employment-related funding within the MCA in order to </w:t>
      </w:r>
      <w:r w:rsidR="007F0983">
        <w:rPr>
          <w:rFonts w:eastAsia="Times New Roman"/>
          <w:lang w:eastAsia="en-NZ"/>
        </w:rPr>
        <w:t xml:space="preserve">use </w:t>
      </w:r>
      <w:r w:rsidRPr="004862FE">
        <w:rPr>
          <w:rFonts w:eastAsia="Times New Roman"/>
          <w:lang w:eastAsia="en-NZ"/>
        </w:rPr>
        <w:t xml:space="preserve">its flexibility to fund any new trials or other interventions by prioritising investment decisions based on </w:t>
      </w:r>
      <w:proofErr w:type="spellStart"/>
      <w:r w:rsidRPr="004862FE">
        <w:rPr>
          <w:rFonts w:eastAsia="Times New Roman"/>
          <w:lang w:eastAsia="en-NZ"/>
        </w:rPr>
        <w:t>RoI</w:t>
      </w:r>
      <w:proofErr w:type="spellEnd"/>
      <w:r w:rsidRPr="004862FE">
        <w:rPr>
          <w:rFonts w:eastAsia="Times New Roman"/>
          <w:lang w:eastAsia="en-NZ"/>
        </w:rPr>
        <w:t xml:space="preserve"> or in some cases, its predicted success in stair casing clients into employment.</w:t>
      </w:r>
    </w:p>
    <w:p w:rsidR="001551D7" w:rsidRPr="00B51A01" w:rsidRDefault="00140EDA" w:rsidP="004862FE">
      <w:pPr>
        <w:suppressAutoHyphens/>
        <w:autoSpaceDE w:val="0"/>
        <w:autoSpaceDN w:val="0"/>
        <w:adjustRightInd w:val="0"/>
        <w:spacing w:before="120" w:after="0" w:line="240" w:lineRule="auto"/>
        <w:textAlignment w:val="center"/>
        <w:rPr>
          <w:rFonts w:eastAsia="Times New Roman"/>
          <w:b/>
          <w:lang w:eastAsia="en-NZ"/>
        </w:rPr>
      </w:pPr>
      <w:r>
        <w:rPr>
          <w:rFonts w:eastAsia="Times New Roman"/>
          <w:lang w:eastAsia="en-NZ"/>
        </w:rPr>
        <w:t xml:space="preserve">The development of the tools that </w:t>
      </w:r>
      <w:r w:rsidR="000C781F">
        <w:rPr>
          <w:rFonts w:eastAsia="Times New Roman"/>
          <w:lang w:eastAsia="en-NZ"/>
        </w:rPr>
        <w:t xml:space="preserve">will </w:t>
      </w:r>
      <w:r>
        <w:rPr>
          <w:rFonts w:eastAsia="Times New Roman"/>
          <w:lang w:eastAsia="en-NZ"/>
        </w:rPr>
        <w:t>allow the measurement of the eff</w:t>
      </w:r>
      <w:r w:rsidR="000C781F">
        <w:rPr>
          <w:rFonts w:eastAsia="Times New Roman"/>
          <w:lang w:eastAsia="en-NZ"/>
        </w:rPr>
        <w:t>iciency and effectiveness of our</w:t>
      </w:r>
      <w:r>
        <w:rPr>
          <w:rFonts w:eastAsia="Times New Roman"/>
          <w:lang w:eastAsia="en-NZ"/>
        </w:rPr>
        <w:t xml:space="preserve"> investments, along with the knowledge we are continually acquiring and the trialling of new and innovative approaches will </w:t>
      </w:r>
      <w:r w:rsidR="004862FE" w:rsidRPr="004862FE">
        <w:rPr>
          <w:rFonts w:eastAsia="Times New Roman"/>
          <w:lang w:eastAsia="en-NZ"/>
        </w:rPr>
        <w:t>be invaluable in helping us achieve the targets established for the cohorts of clients identified in this St</w:t>
      </w:r>
      <w:bookmarkStart w:id="1" w:name="_GoBack"/>
      <w:bookmarkEnd w:id="1"/>
      <w:r w:rsidR="004862FE" w:rsidRPr="004862FE">
        <w:rPr>
          <w:rFonts w:eastAsia="Times New Roman"/>
          <w:lang w:eastAsia="en-NZ"/>
        </w:rPr>
        <w:t>rategy.</w:t>
      </w:r>
    </w:p>
    <w:sectPr w:rsidR="001551D7" w:rsidRPr="00B51A01" w:rsidSect="00B51A01">
      <w:pgSz w:w="11907" w:h="16839"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FB7FB2" w15:done="0"/>
  <w15:commentEx w15:paraId="0E5E823F" w15:paraIdParent="1FFB7FB2" w15:done="0"/>
  <w15:commentEx w15:paraId="5AB7664E" w15:done="0"/>
  <w15:commentEx w15:paraId="48DC99C0" w15:paraIdParent="5AB766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9D8" w:rsidRDefault="004339D8" w:rsidP="005F03D5">
      <w:pPr>
        <w:spacing w:after="0" w:line="240" w:lineRule="auto"/>
      </w:pPr>
      <w:r>
        <w:separator/>
      </w:r>
    </w:p>
  </w:endnote>
  <w:endnote w:type="continuationSeparator" w:id="0">
    <w:p w:rsidR="004339D8" w:rsidRDefault="004339D8" w:rsidP="005F0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D" w:rsidRDefault="000C5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516408"/>
      <w:docPartObj>
        <w:docPartGallery w:val="Page Numbers (Bottom of Page)"/>
        <w:docPartUnique/>
      </w:docPartObj>
    </w:sdtPr>
    <w:sdtEndPr>
      <w:rPr>
        <w:noProof/>
      </w:rPr>
    </w:sdtEndPr>
    <w:sdtContent>
      <w:p w:rsidR="000C597D" w:rsidRDefault="0008624B">
        <w:pPr>
          <w:pStyle w:val="Footer"/>
          <w:jc w:val="right"/>
        </w:pPr>
        <w:r>
          <w:fldChar w:fldCharType="begin"/>
        </w:r>
        <w:r w:rsidR="000C597D">
          <w:instrText xml:space="preserve"> PAGE   \* MERGEFORMAT </w:instrText>
        </w:r>
        <w:r>
          <w:fldChar w:fldCharType="separate"/>
        </w:r>
        <w:r w:rsidR="00FC4657">
          <w:rPr>
            <w:noProof/>
          </w:rPr>
          <w:t>20</w:t>
        </w:r>
        <w:r>
          <w:rPr>
            <w:noProof/>
          </w:rPr>
          <w:fldChar w:fldCharType="end"/>
        </w:r>
      </w:p>
    </w:sdtContent>
  </w:sdt>
  <w:p w:rsidR="000C597D" w:rsidRDefault="000C5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D" w:rsidRDefault="000C5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9D8" w:rsidRDefault="004339D8" w:rsidP="005F03D5">
      <w:pPr>
        <w:spacing w:after="0" w:line="240" w:lineRule="auto"/>
      </w:pPr>
      <w:r>
        <w:separator/>
      </w:r>
    </w:p>
  </w:footnote>
  <w:footnote w:type="continuationSeparator" w:id="0">
    <w:p w:rsidR="004339D8" w:rsidRDefault="004339D8" w:rsidP="005F03D5">
      <w:pPr>
        <w:spacing w:after="0" w:line="240" w:lineRule="auto"/>
      </w:pPr>
      <w:r>
        <w:continuationSeparator/>
      </w:r>
    </w:p>
  </w:footnote>
  <w:footnote w:id="1">
    <w:p w:rsidR="000C597D" w:rsidRPr="00C16866" w:rsidRDefault="000C597D" w:rsidP="007E0D38">
      <w:pPr>
        <w:spacing w:line="240" w:lineRule="auto"/>
        <w:rPr>
          <w:iCs/>
          <w:sz w:val="16"/>
          <w:szCs w:val="16"/>
        </w:rPr>
      </w:pPr>
      <w:r w:rsidRPr="00CE6B70">
        <w:rPr>
          <w:rStyle w:val="FootnoteReference"/>
          <w:szCs w:val="18"/>
        </w:rPr>
        <w:footnoteRef/>
      </w:r>
      <w:r w:rsidRPr="00CE6B70">
        <w:rPr>
          <w:sz w:val="18"/>
          <w:szCs w:val="18"/>
        </w:rPr>
        <w:t xml:space="preserve"> </w:t>
      </w:r>
      <w:r w:rsidRPr="00C16866">
        <w:rPr>
          <w:iCs/>
          <w:sz w:val="16"/>
          <w:szCs w:val="16"/>
        </w:rPr>
        <w:t>Actuarial release is defined as the difference between a current and previous estimate of the liability. The measure attempts to isolate the impact of collective Government management on beneficiary numbers. Adjustments are made to remove the impact of interest and inflation rate changes on the liability and other factors beyond the control of management.</w:t>
      </w:r>
    </w:p>
  </w:footnote>
  <w:footnote w:id="2">
    <w:p w:rsidR="000C597D" w:rsidRPr="003371B9" w:rsidRDefault="000C597D" w:rsidP="002C1828">
      <w:pPr>
        <w:pStyle w:val="FootnoteText"/>
        <w:rPr>
          <w:sz w:val="16"/>
          <w:lang w:val="en-NZ"/>
        </w:rPr>
      </w:pPr>
      <w:r w:rsidRPr="003371B9">
        <w:rPr>
          <w:rStyle w:val="FootnoteReference"/>
          <w:sz w:val="16"/>
        </w:rPr>
        <w:footnoteRef/>
      </w:r>
      <w:r w:rsidRPr="003371B9">
        <w:rPr>
          <w:sz w:val="16"/>
        </w:rPr>
        <w:t xml:space="preserve"> </w:t>
      </w:r>
      <w:r>
        <w:rPr>
          <w:sz w:val="16"/>
          <w:lang w:val="en-NZ"/>
        </w:rPr>
        <w:t>The 2017/18</w:t>
      </w:r>
      <w:r w:rsidRPr="003371B9">
        <w:rPr>
          <w:sz w:val="16"/>
          <w:lang w:val="en-NZ"/>
        </w:rPr>
        <w:t xml:space="preserve"> cost allocations are indicative only and will be comp</w:t>
      </w:r>
      <w:r>
        <w:rPr>
          <w:sz w:val="16"/>
          <w:lang w:val="en-NZ"/>
        </w:rPr>
        <w:t>leted when Service Delivery 2017/18</w:t>
      </w:r>
      <w:r w:rsidRPr="003371B9">
        <w:rPr>
          <w:sz w:val="16"/>
          <w:lang w:val="en-NZ"/>
        </w:rPr>
        <w:t xml:space="preserve"> budget allocations are finalised.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D" w:rsidRDefault="000C5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D" w:rsidRDefault="000C5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D" w:rsidRDefault="000C59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7D7"/>
    <w:multiLevelType w:val="hybridMultilevel"/>
    <w:tmpl w:val="31505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BBC5081"/>
    <w:multiLevelType w:val="hybridMultilevel"/>
    <w:tmpl w:val="6900C7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253510B4"/>
    <w:multiLevelType w:val="hybridMultilevel"/>
    <w:tmpl w:val="FD009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7EB1813"/>
    <w:multiLevelType w:val="hybridMultilevel"/>
    <w:tmpl w:val="A7E6C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174597C"/>
    <w:multiLevelType w:val="multilevel"/>
    <w:tmpl w:val="3200728C"/>
    <w:lvl w:ilvl="0">
      <w:start w:val="1"/>
      <w:numFmt w:val="decimal"/>
      <w:lvlText w:val="%1"/>
      <w:lvlJc w:val="left"/>
      <w:pPr>
        <w:tabs>
          <w:tab w:val="num" w:pos="493"/>
        </w:tabs>
        <w:ind w:left="493" w:hanging="493"/>
      </w:pPr>
    </w:lvl>
    <w:lvl w:ilvl="1">
      <w:start w:val="1"/>
      <w:numFmt w:val="decimal"/>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5">
    <w:nsid w:val="5039692B"/>
    <w:multiLevelType w:val="multilevel"/>
    <w:tmpl w:val="7B98F962"/>
    <w:lvl w:ilvl="0">
      <w:start w:val="1"/>
      <w:numFmt w:val="decimal"/>
      <w:pStyle w:val="Heading1"/>
      <w:lvlText w:val="%1"/>
      <w:lvlJc w:val="left"/>
      <w:pPr>
        <w:tabs>
          <w:tab w:val="num" w:pos="567"/>
        </w:tabs>
        <w:ind w:left="567" w:hanging="567"/>
      </w:pPr>
      <w:rPr>
        <w:rFonts w:cs="Times New Roman"/>
      </w:rPr>
    </w:lvl>
    <w:lvl w:ilvl="1">
      <w:start w:val="1"/>
      <w:numFmt w:val="decimal"/>
      <w:pStyle w:val="numberedpara"/>
      <w:lvlText w:val="%1.%2"/>
      <w:lvlJc w:val="left"/>
      <w:pPr>
        <w:tabs>
          <w:tab w:val="num" w:pos="1277"/>
        </w:tabs>
        <w:ind w:left="1277" w:hanging="567"/>
      </w:pPr>
      <w:rPr>
        <w:b w:val="0"/>
        <w:bCs w:val="0"/>
        <w:i w:val="0"/>
        <w:iCs w:val="0"/>
        <w:caps w:val="0"/>
        <w:smallCaps w:val="0"/>
        <w:strike w:val="0"/>
        <w:dstrike w:val="0"/>
        <w:noProof w:val="0"/>
        <w:vanish w:val="0"/>
        <w:webHidden w:val="0"/>
        <w:color w:val="000000"/>
        <w:spacing w:val="0"/>
        <w:kern w:val="0"/>
        <w:position w:val="0"/>
        <w:sz w:val="20"/>
        <w:szCs w:val="20"/>
        <w:u w:val="none"/>
        <w:effect w:val="none"/>
        <w:vertAlign w:val="baseline"/>
        <w:em w:val="none"/>
        <w:specVanish w:val="0"/>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567"/>
        </w:tabs>
        <w:ind w:left="567" w:firstLine="0"/>
      </w:pPr>
      <w:rPr>
        <w:rFonts w:cs="Times New Roman"/>
      </w:rPr>
    </w:lvl>
    <w:lvl w:ilvl="6">
      <w:start w:val="1"/>
      <w:numFmt w:val="none"/>
      <w:lvlText w:val=""/>
      <w:lvlJc w:val="left"/>
      <w:pPr>
        <w:tabs>
          <w:tab w:val="num" w:pos="0"/>
        </w:tabs>
        <w:ind w:left="0" w:firstLine="0"/>
      </w:pPr>
      <w:rPr>
        <w:rFonts w:cs="Times New Roman"/>
      </w:rPr>
    </w:lvl>
    <w:lvl w:ilvl="7">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6">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6103729C"/>
    <w:multiLevelType w:val="hybridMultilevel"/>
    <w:tmpl w:val="1D9647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FFD1B9B"/>
    <w:multiLevelType w:val="hybridMultilevel"/>
    <w:tmpl w:val="A07071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751579E2"/>
    <w:multiLevelType w:val="hybridMultilevel"/>
    <w:tmpl w:val="86AE2ECA"/>
    <w:lvl w:ilvl="0" w:tplc="4E8230EC">
      <w:start w:val="1"/>
      <w:numFmt w:val="decimal"/>
      <w:lvlText w:val="%1)"/>
      <w:lvlJc w:val="left"/>
      <w:pPr>
        <w:ind w:left="720" w:hanging="360"/>
      </w:pPr>
      <w:rPr>
        <w:rFonts w:cs="Times New Roman"/>
        <w:i w:val="0"/>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num w:numId="1">
    <w:abstractNumId w:val="3"/>
  </w:num>
  <w:num w:numId="2">
    <w:abstractNumId w:val="6"/>
  </w:num>
  <w:num w:numId="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7"/>
  </w:num>
  <w:num w:numId="9">
    <w:abstractNumId w:val="4"/>
    <w:lvlOverride w:ilvl="0">
      <w:startOverride w:val="1"/>
      <w:lvl w:ilvl="0">
        <w:start w:val="1"/>
        <w:numFmt w:val="decimal"/>
        <w:lvlText w:val="%1"/>
        <w:lvlJc w:val="left"/>
        <w:pPr>
          <w:tabs>
            <w:tab w:val="num" w:pos="493"/>
          </w:tabs>
          <w:ind w:left="493" w:hanging="493"/>
        </w:pPr>
        <w:rPr>
          <w:b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yn">
    <w15:presenceInfo w15:providerId="None" w15:userId="Kary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B1C5A"/>
    <w:rsid w:val="00001693"/>
    <w:rsid w:val="00021225"/>
    <w:rsid w:val="00024335"/>
    <w:rsid w:val="00033EEA"/>
    <w:rsid w:val="00034261"/>
    <w:rsid w:val="0003460C"/>
    <w:rsid w:val="000419C3"/>
    <w:rsid w:val="0004654E"/>
    <w:rsid w:val="00046578"/>
    <w:rsid w:val="00046752"/>
    <w:rsid w:val="000573EB"/>
    <w:rsid w:val="00060169"/>
    <w:rsid w:val="0006368C"/>
    <w:rsid w:val="00063ABB"/>
    <w:rsid w:val="00063CE0"/>
    <w:rsid w:val="00064186"/>
    <w:rsid w:val="00067F26"/>
    <w:rsid w:val="0008553B"/>
    <w:rsid w:val="0008624B"/>
    <w:rsid w:val="000865E6"/>
    <w:rsid w:val="00087DAA"/>
    <w:rsid w:val="00095F94"/>
    <w:rsid w:val="000A0E8A"/>
    <w:rsid w:val="000A181C"/>
    <w:rsid w:val="000A22D4"/>
    <w:rsid w:val="000A477C"/>
    <w:rsid w:val="000A592F"/>
    <w:rsid w:val="000B0B6E"/>
    <w:rsid w:val="000B740A"/>
    <w:rsid w:val="000B7FE3"/>
    <w:rsid w:val="000C34FB"/>
    <w:rsid w:val="000C4301"/>
    <w:rsid w:val="000C597D"/>
    <w:rsid w:val="000C781F"/>
    <w:rsid w:val="000D0C1F"/>
    <w:rsid w:val="000D68FC"/>
    <w:rsid w:val="000E55E5"/>
    <w:rsid w:val="000F0933"/>
    <w:rsid w:val="000F2068"/>
    <w:rsid w:val="00100359"/>
    <w:rsid w:val="00102671"/>
    <w:rsid w:val="0010689A"/>
    <w:rsid w:val="00106FA0"/>
    <w:rsid w:val="00112767"/>
    <w:rsid w:val="00115A1B"/>
    <w:rsid w:val="00116DF4"/>
    <w:rsid w:val="00117EB4"/>
    <w:rsid w:val="0012091A"/>
    <w:rsid w:val="00124408"/>
    <w:rsid w:val="001301D6"/>
    <w:rsid w:val="00130999"/>
    <w:rsid w:val="00135D62"/>
    <w:rsid w:val="00136B01"/>
    <w:rsid w:val="0013779F"/>
    <w:rsid w:val="00140EDA"/>
    <w:rsid w:val="00147352"/>
    <w:rsid w:val="001551D7"/>
    <w:rsid w:val="00156975"/>
    <w:rsid w:val="00182914"/>
    <w:rsid w:val="00183130"/>
    <w:rsid w:val="001872A7"/>
    <w:rsid w:val="00192F5C"/>
    <w:rsid w:val="00194A8B"/>
    <w:rsid w:val="001A141E"/>
    <w:rsid w:val="001A420C"/>
    <w:rsid w:val="001A4274"/>
    <w:rsid w:val="001B369D"/>
    <w:rsid w:val="001C009E"/>
    <w:rsid w:val="001C06BA"/>
    <w:rsid w:val="001C3EE1"/>
    <w:rsid w:val="001D351F"/>
    <w:rsid w:val="001E12EA"/>
    <w:rsid w:val="001E46D7"/>
    <w:rsid w:val="001E7AB0"/>
    <w:rsid w:val="001F08E3"/>
    <w:rsid w:val="001F1890"/>
    <w:rsid w:val="001F42AF"/>
    <w:rsid w:val="001F6B01"/>
    <w:rsid w:val="00202F64"/>
    <w:rsid w:val="00203CA4"/>
    <w:rsid w:val="002104E6"/>
    <w:rsid w:val="00210622"/>
    <w:rsid w:val="0021688B"/>
    <w:rsid w:val="00230664"/>
    <w:rsid w:val="00231014"/>
    <w:rsid w:val="0023243A"/>
    <w:rsid w:val="00234B8A"/>
    <w:rsid w:val="00236F0F"/>
    <w:rsid w:val="002416F1"/>
    <w:rsid w:val="002454F7"/>
    <w:rsid w:val="0024697C"/>
    <w:rsid w:val="002473F9"/>
    <w:rsid w:val="00250E12"/>
    <w:rsid w:val="00252134"/>
    <w:rsid w:val="002611E9"/>
    <w:rsid w:val="00261E6C"/>
    <w:rsid w:val="00263966"/>
    <w:rsid w:val="00265B11"/>
    <w:rsid w:val="002824B6"/>
    <w:rsid w:val="002824DC"/>
    <w:rsid w:val="00282A16"/>
    <w:rsid w:val="00284652"/>
    <w:rsid w:val="00292A57"/>
    <w:rsid w:val="00294C27"/>
    <w:rsid w:val="002A34C9"/>
    <w:rsid w:val="002B49A3"/>
    <w:rsid w:val="002B545E"/>
    <w:rsid w:val="002C1828"/>
    <w:rsid w:val="002C2567"/>
    <w:rsid w:val="002C6AAC"/>
    <w:rsid w:val="002C7B35"/>
    <w:rsid w:val="002D1839"/>
    <w:rsid w:val="002D3B56"/>
    <w:rsid w:val="002D5BFC"/>
    <w:rsid w:val="002E1C1E"/>
    <w:rsid w:val="002E3E8B"/>
    <w:rsid w:val="002F14BE"/>
    <w:rsid w:val="002F1B74"/>
    <w:rsid w:val="002F56A0"/>
    <w:rsid w:val="00301C3F"/>
    <w:rsid w:val="00320249"/>
    <w:rsid w:val="00326313"/>
    <w:rsid w:val="00344402"/>
    <w:rsid w:val="00350B5A"/>
    <w:rsid w:val="003555D1"/>
    <w:rsid w:val="00356AC5"/>
    <w:rsid w:val="00362156"/>
    <w:rsid w:val="00364006"/>
    <w:rsid w:val="00366028"/>
    <w:rsid w:val="0037108C"/>
    <w:rsid w:val="00375FCF"/>
    <w:rsid w:val="00376831"/>
    <w:rsid w:val="00381458"/>
    <w:rsid w:val="00381F3C"/>
    <w:rsid w:val="003826FF"/>
    <w:rsid w:val="00387581"/>
    <w:rsid w:val="00394462"/>
    <w:rsid w:val="00394980"/>
    <w:rsid w:val="00394CF9"/>
    <w:rsid w:val="003963A3"/>
    <w:rsid w:val="003A199F"/>
    <w:rsid w:val="003A29EB"/>
    <w:rsid w:val="003A4C68"/>
    <w:rsid w:val="003C070E"/>
    <w:rsid w:val="003E4E4D"/>
    <w:rsid w:val="003E55DD"/>
    <w:rsid w:val="003F1D7E"/>
    <w:rsid w:val="003F4E7C"/>
    <w:rsid w:val="00402DC2"/>
    <w:rsid w:val="00404DE8"/>
    <w:rsid w:val="004274EF"/>
    <w:rsid w:val="00427549"/>
    <w:rsid w:val="00431641"/>
    <w:rsid w:val="0043193A"/>
    <w:rsid w:val="004339D8"/>
    <w:rsid w:val="00434EDC"/>
    <w:rsid w:val="004362B0"/>
    <w:rsid w:val="00436E02"/>
    <w:rsid w:val="004403CC"/>
    <w:rsid w:val="00444A9D"/>
    <w:rsid w:val="004477E4"/>
    <w:rsid w:val="00453AE1"/>
    <w:rsid w:val="00461E64"/>
    <w:rsid w:val="004621E7"/>
    <w:rsid w:val="004862FE"/>
    <w:rsid w:val="0049218B"/>
    <w:rsid w:val="004944A4"/>
    <w:rsid w:val="004A28A6"/>
    <w:rsid w:val="004A62B6"/>
    <w:rsid w:val="004B6A58"/>
    <w:rsid w:val="004C10A6"/>
    <w:rsid w:val="004C6FA7"/>
    <w:rsid w:val="004C7ECE"/>
    <w:rsid w:val="004D06D7"/>
    <w:rsid w:val="004D155F"/>
    <w:rsid w:val="004D38DD"/>
    <w:rsid w:val="004D6C85"/>
    <w:rsid w:val="004D6C8D"/>
    <w:rsid w:val="004F1EC7"/>
    <w:rsid w:val="004F214D"/>
    <w:rsid w:val="004F47B7"/>
    <w:rsid w:val="004F7457"/>
    <w:rsid w:val="0050256E"/>
    <w:rsid w:val="005031E5"/>
    <w:rsid w:val="00506841"/>
    <w:rsid w:val="00507C07"/>
    <w:rsid w:val="00511035"/>
    <w:rsid w:val="0051283C"/>
    <w:rsid w:val="0051287E"/>
    <w:rsid w:val="00513BD8"/>
    <w:rsid w:val="00514B67"/>
    <w:rsid w:val="00514EDA"/>
    <w:rsid w:val="005244B6"/>
    <w:rsid w:val="005248A5"/>
    <w:rsid w:val="0052690F"/>
    <w:rsid w:val="00532580"/>
    <w:rsid w:val="0054098C"/>
    <w:rsid w:val="00543FA8"/>
    <w:rsid w:val="00553619"/>
    <w:rsid w:val="005566F9"/>
    <w:rsid w:val="005572F9"/>
    <w:rsid w:val="00561084"/>
    <w:rsid w:val="00561EFB"/>
    <w:rsid w:val="00562681"/>
    <w:rsid w:val="00563D73"/>
    <w:rsid w:val="00573432"/>
    <w:rsid w:val="005819D0"/>
    <w:rsid w:val="00584C2D"/>
    <w:rsid w:val="005948D8"/>
    <w:rsid w:val="005952EA"/>
    <w:rsid w:val="00596122"/>
    <w:rsid w:val="005A5475"/>
    <w:rsid w:val="005A7432"/>
    <w:rsid w:val="005B0F45"/>
    <w:rsid w:val="005B1A5E"/>
    <w:rsid w:val="005B1C5A"/>
    <w:rsid w:val="005B2C9C"/>
    <w:rsid w:val="005B517A"/>
    <w:rsid w:val="005C0C83"/>
    <w:rsid w:val="005C5FEA"/>
    <w:rsid w:val="005D517C"/>
    <w:rsid w:val="005E53B7"/>
    <w:rsid w:val="005F03D5"/>
    <w:rsid w:val="005F35F4"/>
    <w:rsid w:val="005F3709"/>
    <w:rsid w:val="005F386F"/>
    <w:rsid w:val="00604034"/>
    <w:rsid w:val="00615A78"/>
    <w:rsid w:val="00615D31"/>
    <w:rsid w:val="00616A47"/>
    <w:rsid w:val="006177C8"/>
    <w:rsid w:val="00620AAC"/>
    <w:rsid w:val="00630C8C"/>
    <w:rsid w:val="00633BE3"/>
    <w:rsid w:val="00634815"/>
    <w:rsid w:val="006359DA"/>
    <w:rsid w:val="00647E03"/>
    <w:rsid w:val="00651C35"/>
    <w:rsid w:val="006616A5"/>
    <w:rsid w:val="00663230"/>
    <w:rsid w:val="0067032A"/>
    <w:rsid w:val="00670DBF"/>
    <w:rsid w:val="00676843"/>
    <w:rsid w:val="00676B04"/>
    <w:rsid w:val="00682B2D"/>
    <w:rsid w:val="00684A70"/>
    <w:rsid w:val="00685167"/>
    <w:rsid w:val="006854F2"/>
    <w:rsid w:val="0068739B"/>
    <w:rsid w:val="006903D9"/>
    <w:rsid w:val="00693558"/>
    <w:rsid w:val="0069365F"/>
    <w:rsid w:val="006938B5"/>
    <w:rsid w:val="0069403D"/>
    <w:rsid w:val="00694611"/>
    <w:rsid w:val="006A0935"/>
    <w:rsid w:val="006A1359"/>
    <w:rsid w:val="006B2CDC"/>
    <w:rsid w:val="006C3E8F"/>
    <w:rsid w:val="006C6D62"/>
    <w:rsid w:val="006D2CBE"/>
    <w:rsid w:val="006D749E"/>
    <w:rsid w:val="006E24A2"/>
    <w:rsid w:val="006E4B97"/>
    <w:rsid w:val="006E5AEF"/>
    <w:rsid w:val="006F0438"/>
    <w:rsid w:val="006F3D6D"/>
    <w:rsid w:val="006F42CD"/>
    <w:rsid w:val="006F6F4B"/>
    <w:rsid w:val="00701E1A"/>
    <w:rsid w:val="007043A2"/>
    <w:rsid w:val="007049B7"/>
    <w:rsid w:val="007066E4"/>
    <w:rsid w:val="00707DDD"/>
    <w:rsid w:val="00710B32"/>
    <w:rsid w:val="00721B38"/>
    <w:rsid w:val="0072201E"/>
    <w:rsid w:val="0072567F"/>
    <w:rsid w:val="0074161C"/>
    <w:rsid w:val="00743832"/>
    <w:rsid w:val="00746E59"/>
    <w:rsid w:val="00752536"/>
    <w:rsid w:val="00752911"/>
    <w:rsid w:val="00762297"/>
    <w:rsid w:val="00765C49"/>
    <w:rsid w:val="00765FBA"/>
    <w:rsid w:val="00767F10"/>
    <w:rsid w:val="00771071"/>
    <w:rsid w:val="00773381"/>
    <w:rsid w:val="00775951"/>
    <w:rsid w:val="00777648"/>
    <w:rsid w:val="00781137"/>
    <w:rsid w:val="007828D9"/>
    <w:rsid w:val="0078305D"/>
    <w:rsid w:val="00784C40"/>
    <w:rsid w:val="0079034C"/>
    <w:rsid w:val="00790AE8"/>
    <w:rsid w:val="00794099"/>
    <w:rsid w:val="007963AA"/>
    <w:rsid w:val="007A55AC"/>
    <w:rsid w:val="007A679F"/>
    <w:rsid w:val="007B2570"/>
    <w:rsid w:val="007B277A"/>
    <w:rsid w:val="007C4E7B"/>
    <w:rsid w:val="007C6CC2"/>
    <w:rsid w:val="007D2C33"/>
    <w:rsid w:val="007D5C0E"/>
    <w:rsid w:val="007E0D38"/>
    <w:rsid w:val="007E11F5"/>
    <w:rsid w:val="007E12D1"/>
    <w:rsid w:val="007E3117"/>
    <w:rsid w:val="007E40B0"/>
    <w:rsid w:val="007E42E7"/>
    <w:rsid w:val="007E5BF5"/>
    <w:rsid w:val="007E5BFA"/>
    <w:rsid w:val="007E5E8A"/>
    <w:rsid w:val="007F0983"/>
    <w:rsid w:val="008032AE"/>
    <w:rsid w:val="00803E43"/>
    <w:rsid w:val="008150FC"/>
    <w:rsid w:val="00815D01"/>
    <w:rsid w:val="0082521B"/>
    <w:rsid w:val="0082708A"/>
    <w:rsid w:val="00827DD5"/>
    <w:rsid w:val="00833CA2"/>
    <w:rsid w:val="00842F50"/>
    <w:rsid w:val="00851F18"/>
    <w:rsid w:val="0085233F"/>
    <w:rsid w:val="00852EB1"/>
    <w:rsid w:val="00853BA2"/>
    <w:rsid w:val="00854071"/>
    <w:rsid w:val="008561E0"/>
    <w:rsid w:val="00864F9A"/>
    <w:rsid w:val="00865139"/>
    <w:rsid w:val="00877053"/>
    <w:rsid w:val="0087753E"/>
    <w:rsid w:val="008A27A6"/>
    <w:rsid w:val="008A307B"/>
    <w:rsid w:val="008A6550"/>
    <w:rsid w:val="008B234B"/>
    <w:rsid w:val="008B5A99"/>
    <w:rsid w:val="008B5F6C"/>
    <w:rsid w:val="008C4C04"/>
    <w:rsid w:val="008C4F92"/>
    <w:rsid w:val="008C519D"/>
    <w:rsid w:val="008E476B"/>
    <w:rsid w:val="008F6571"/>
    <w:rsid w:val="008F6825"/>
    <w:rsid w:val="00902D4B"/>
    <w:rsid w:val="009030DC"/>
    <w:rsid w:val="00904646"/>
    <w:rsid w:val="0090492A"/>
    <w:rsid w:val="0090680E"/>
    <w:rsid w:val="00907793"/>
    <w:rsid w:val="009125F6"/>
    <w:rsid w:val="00914CCA"/>
    <w:rsid w:val="0092214E"/>
    <w:rsid w:val="00923F19"/>
    <w:rsid w:val="009261D6"/>
    <w:rsid w:val="0093318F"/>
    <w:rsid w:val="00934401"/>
    <w:rsid w:val="0093717D"/>
    <w:rsid w:val="00940A77"/>
    <w:rsid w:val="00947FDA"/>
    <w:rsid w:val="00951FA5"/>
    <w:rsid w:val="0095520C"/>
    <w:rsid w:val="00955D82"/>
    <w:rsid w:val="00956847"/>
    <w:rsid w:val="00965486"/>
    <w:rsid w:val="00982B9C"/>
    <w:rsid w:val="00991016"/>
    <w:rsid w:val="0099367C"/>
    <w:rsid w:val="009969C0"/>
    <w:rsid w:val="009A1CB8"/>
    <w:rsid w:val="009A1E36"/>
    <w:rsid w:val="009A38CE"/>
    <w:rsid w:val="009B0ED8"/>
    <w:rsid w:val="009B2930"/>
    <w:rsid w:val="009B3099"/>
    <w:rsid w:val="009B69B1"/>
    <w:rsid w:val="009B6B73"/>
    <w:rsid w:val="009B7EB6"/>
    <w:rsid w:val="009C043F"/>
    <w:rsid w:val="009C1E4B"/>
    <w:rsid w:val="009D392F"/>
    <w:rsid w:val="009F388C"/>
    <w:rsid w:val="009F6F37"/>
    <w:rsid w:val="009F7C2D"/>
    <w:rsid w:val="00A16C8E"/>
    <w:rsid w:val="00A20A65"/>
    <w:rsid w:val="00A224A9"/>
    <w:rsid w:val="00A23AC0"/>
    <w:rsid w:val="00A2639F"/>
    <w:rsid w:val="00A34F80"/>
    <w:rsid w:val="00A372E8"/>
    <w:rsid w:val="00A37714"/>
    <w:rsid w:val="00A4081A"/>
    <w:rsid w:val="00A50E1E"/>
    <w:rsid w:val="00A5203B"/>
    <w:rsid w:val="00A57032"/>
    <w:rsid w:val="00A65BDA"/>
    <w:rsid w:val="00A716E9"/>
    <w:rsid w:val="00A718BD"/>
    <w:rsid w:val="00A71B5B"/>
    <w:rsid w:val="00A86384"/>
    <w:rsid w:val="00A86917"/>
    <w:rsid w:val="00A92433"/>
    <w:rsid w:val="00A94D20"/>
    <w:rsid w:val="00AB1402"/>
    <w:rsid w:val="00AB1D65"/>
    <w:rsid w:val="00AB2218"/>
    <w:rsid w:val="00AB65FB"/>
    <w:rsid w:val="00AB7727"/>
    <w:rsid w:val="00AC303D"/>
    <w:rsid w:val="00AC5C0A"/>
    <w:rsid w:val="00AC6319"/>
    <w:rsid w:val="00AD1160"/>
    <w:rsid w:val="00AE309B"/>
    <w:rsid w:val="00AE3503"/>
    <w:rsid w:val="00AF1462"/>
    <w:rsid w:val="00B02AD0"/>
    <w:rsid w:val="00B04AD3"/>
    <w:rsid w:val="00B06B56"/>
    <w:rsid w:val="00B1031E"/>
    <w:rsid w:val="00B105D7"/>
    <w:rsid w:val="00B118B2"/>
    <w:rsid w:val="00B11925"/>
    <w:rsid w:val="00B11B62"/>
    <w:rsid w:val="00B14E8B"/>
    <w:rsid w:val="00B17601"/>
    <w:rsid w:val="00B2270C"/>
    <w:rsid w:val="00B33215"/>
    <w:rsid w:val="00B40E19"/>
    <w:rsid w:val="00B51A01"/>
    <w:rsid w:val="00B53E36"/>
    <w:rsid w:val="00B65C90"/>
    <w:rsid w:val="00B728EF"/>
    <w:rsid w:val="00B7470C"/>
    <w:rsid w:val="00B74AE9"/>
    <w:rsid w:val="00B7530D"/>
    <w:rsid w:val="00B76FCF"/>
    <w:rsid w:val="00B8295E"/>
    <w:rsid w:val="00B8759B"/>
    <w:rsid w:val="00B90F41"/>
    <w:rsid w:val="00B94957"/>
    <w:rsid w:val="00BA06CB"/>
    <w:rsid w:val="00BA55C6"/>
    <w:rsid w:val="00BA77A3"/>
    <w:rsid w:val="00BB036E"/>
    <w:rsid w:val="00BB0E0F"/>
    <w:rsid w:val="00BB22E0"/>
    <w:rsid w:val="00BB2DC8"/>
    <w:rsid w:val="00BC55F2"/>
    <w:rsid w:val="00BD038E"/>
    <w:rsid w:val="00BD7B15"/>
    <w:rsid w:val="00BE2D88"/>
    <w:rsid w:val="00BE37F5"/>
    <w:rsid w:val="00BF01D9"/>
    <w:rsid w:val="00BF1EBB"/>
    <w:rsid w:val="00C007C3"/>
    <w:rsid w:val="00C04299"/>
    <w:rsid w:val="00C04CD4"/>
    <w:rsid w:val="00C10E23"/>
    <w:rsid w:val="00C12274"/>
    <w:rsid w:val="00C13185"/>
    <w:rsid w:val="00C13427"/>
    <w:rsid w:val="00C137F3"/>
    <w:rsid w:val="00C1396E"/>
    <w:rsid w:val="00C242D3"/>
    <w:rsid w:val="00C25A12"/>
    <w:rsid w:val="00C26698"/>
    <w:rsid w:val="00C2674E"/>
    <w:rsid w:val="00C30164"/>
    <w:rsid w:val="00C3629C"/>
    <w:rsid w:val="00C42BE6"/>
    <w:rsid w:val="00C45D63"/>
    <w:rsid w:val="00C461FE"/>
    <w:rsid w:val="00C46B4C"/>
    <w:rsid w:val="00C50778"/>
    <w:rsid w:val="00C51194"/>
    <w:rsid w:val="00C527BE"/>
    <w:rsid w:val="00C542C7"/>
    <w:rsid w:val="00C62FC0"/>
    <w:rsid w:val="00C64135"/>
    <w:rsid w:val="00C6454F"/>
    <w:rsid w:val="00C675CB"/>
    <w:rsid w:val="00C73646"/>
    <w:rsid w:val="00C7394D"/>
    <w:rsid w:val="00C917F6"/>
    <w:rsid w:val="00C93689"/>
    <w:rsid w:val="00CA3FA3"/>
    <w:rsid w:val="00CA74CD"/>
    <w:rsid w:val="00CB22E2"/>
    <w:rsid w:val="00CB4ADF"/>
    <w:rsid w:val="00CC61F8"/>
    <w:rsid w:val="00CD0E43"/>
    <w:rsid w:val="00CD1406"/>
    <w:rsid w:val="00CD19BC"/>
    <w:rsid w:val="00CD4C12"/>
    <w:rsid w:val="00CD72C3"/>
    <w:rsid w:val="00CD7A84"/>
    <w:rsid w:val="00CE61C2"/>
    <w:rsid w:val="00CE6A5F"/>
    <w:rsid w:val="00CF0D11"/>
    <w:rsid w:val="00CF16A1"/>
    <w:rsid w:val="00CF3295"/>
    <w:rsid w:val="00CF60FA"/>
    <w:rsid w:val="00D03EF8"/>
    <w:rsid w:val="00D0577E"/>
    <w:rsid w:val="00D10C11"/>
    <w:rsid w:val="00D12E95"/>
    <w:rsid w:val="00D1359C"/>
    <w:rsid w:val="00D214BF"/>
    <w:rsid w:val="00D27D8D"/>
    <w:rsid w:val="00D27FE1"/>
    <w:rsid w:val="00D35365"/>
    <w:rsid w:val="00D377FD"/>
    <w:rsid w:val="00D47600"/>
    <w:rsid w:val="00D50222"/>
    <w:rsid w:val="00D53C9F"/>
    <w:rsid w:val="00D53F6B"/>
    <w:rsid w:val="00D54AF9"/>
    <w:rsid w:val="00D56E29"/>
    <w:rsid w:val="00D60F4D"/>
    <w:rsid w:val="00D63BA5"/>
    <w:rsid w:val="00D7150B"/>
    <w:rsid w:val="00D7763C"/>
    <w:rsid w:val="00D806F6"/>
    <w:rsid w:val="00D82087"/>
    <w:rsid w:val="00D8482F"/>
    <w:rsid w:val="00D9058F"/>
    <w:rsid w:val="00D9507D"/>
    <w:rsid w:val="00DA4E3B"/>
    <w:rsid w:val="00DA6522"/>
    <w:rsid w:val="00DA65D8"/>
    <w:rsid w:val="00DB4455"/>
    <w:rsid w:val="00DB4E41"/>
    <w:rsid w:val="00DC1D28"/>
    <w:rsid w:val="00DC2253"/>
    <w:rsid w:val="00DD05A7"/>
    <w:rsid w:val="00DD1A2E"/>
    <w:rsid w:val="00DD36AC"/>
    <w:rsid w:val="00DD5B4E"/>
    <w:rsid w:val="00DE15C1"/>
    <w:rsid w:val="00DE1C05"/>
    <w:rsid w:val="00DE3793"/>
    <w:rsid w:val="00DE60BA"/>
    <w:rsid w:val="00DE683C"/>
    <w:rsid w:val="00DF1637"/>
    <w:rsid w:val="00DF3BD6"/>
    <w:rsid w:val="00E00BEC"/>
    <w:rsid w:val="00E02C9F"/>
    <w:rsid w:val="00E069CD"/>
    <w:rsid w:val="00E07ACF"/>
    <w:rsid w:val="00E1373D"/>
    <w:rsid w:val="00E13DDE"/>
    <w:rsid w:val="00E16AB6"/>
    <w:rsid w:val="00E20A44"/>
    <w:rsid w:val="00E23D45"/>
    <w:rsid w:val="00E30E8B"/>
    <w:rsid w:val="00E30F15"/>
    <w:rsid w:val="00E35542"/>
    <w:rsid w:val="00E429C6"/>
    <w:rsid w:val="00E4651F"/>
    <w:rsid w:val="00E52BB7"/>
    <w:rsid w:val="00E545A8"/>
    <w:rsid w:val="00E54D8B"/>
    <w:rsid w:val="00E6042B"/>
    <w:rsid w:val="00E63B36"/>
    <w:rsid w:val="00E642C8"/>
    <w:rsid w:val="00E67907"/>
    <w:rsid w:val="00E73A9F"/>
    <w:rsid w:val="00E82C89"/>
    <w:rsid w:val="00EA4D3A"/>
    <w:rsid w:val="00EA5BEE"/>
    <w:rsid w:val="00EB2F90"/>
    <w:rsid w:val="00EB3445"/>
    <w:rsid w:val="00EB3D05"/>
    <w:rsid w:val="00ED17CB"/>
    <w:rsid w:val="00ED60A6"/>
    <w:rsid w:val="00EE0F8B"/>
    <w:rsid w:val="00EE29DA"/>
    <w:rsid w:val="00EE360A"/>
    <w:rsid w:val="00EE7E21"/>
    <w:rsid w:val="00EF2633"/>
    <w:rsid w:val="00F00E3D"/>
    <w:rsid w:val="00F01483"/>
    <w:rsid w:val="00F027A5"/>
    <w:rsid w:val="00F04F1C"/>
    <w:rsid w:val="00F079BF"/>
    <w:rsid w:val="00F125B5"/>
    <w:rsid w:val="00F21A1A"/>
    <w:rsid w:val="00F21E0F"/>
    <w:rsid w:val="00F23FB4"/>
    <w:rsid w:val="00F318EC"/>
    <w:rsid w:val="00F32EA1"/>
    <w:rsid w:val="00F3553B"/>
    <w:rsid w:val="00F4386C"/>
    <w:rsid w:val="00F55A3D"/>
    <w:rsid w:val="00F566EB"/>
    <w:rsid w:val="00F66E22"/>
    <w:rsid w:val="00F6745D"/>
    <w:rsid w:val="00F7497E"/>
    <w:rsid w:val="00F75DD5"/>
    <w:rsid w:val="00F81A01"/>
    <w:rsid w:val="00F8244D"/>
    <w:rsid w:val="00F86078"/>
    <w:rsid w:val="00F96F66"/>
    <w:rsid w:val="00F977E3"/>
    <w:rsid w:val="00FA0488"/>
    <w:rsid w:val="00FA4D9D"/>
    <w:rsid w:val="00FC13D8"/>
    <w:rsid w:val="00FC4657"/>
    <w:rsid w:val="00FC4B38"/>
    <w:rsid w:val="00FD2219"/>
    <w:rsid w:val="00FD356D"/>
    <w:rsid w:val="00FD4A98"/>
    <w:rsid w:val="00FE18E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4B"/>
  </w:style>
  <w:style w:type="paragraph" w:styleId="Heading1">
    <w:name w:val="heading 1"/>
    <w:basedOn w:val="Normal"/>
    <w:link w:val="Heading1Char"/>
    <w:uiPriority w:val="9"/>
    <w:qFormat/>
    <w:rsid w:val="00907793"/>
    <w:pPr>
      <w:keepNext/>
      <w:numPr>
        <w:numId w:val="3"/>
      </w:numPr>
      <w:spacing w:after="240" w:line="288" w:lineRule="auto"/>
      <w:ind w:right="-1440"/>
      <w:outlineLvl w:val="0"/>
    </w:pPr>
    <w:rPr>
      <w:rFonts w:ascii="Georgia" w:hAnsi="Georgia" w:cs="Times New Roman"/>
      <w:b/>
      <w:bCs/>
      <w:color w:val="121F6B"/>
      <w:kern w:val="36"/>
      <w:sz w:val="40"/>
      <w:szCs w:val="40"/>
    </w:rPr>
  </w:style>
  <w:style w:type="paragraph" w:styleId="Heading4">
    <w:name w:val="heading 4"/>
    <w:basedOn w:val="Normal"/>
    <w:next w:val="Normal"/>
    <w:link w:val="Heading4Char"/>
    <w:uiPriority w:val="9"/>
    <w:semiHidden/>
    <w:unhideWhenUsed/>
    <w:qFormat/>
    <w:rsid w:val="00765C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1,Recommendation,List Paragraph11"/>
    <w:basedOn w:val="Normal"/>
    <w:link w:val="ListParagraphChar"/>
    <w:uiPriority w:val="34"/>
    <w:qFormat/>
    <w:rsid w:val="005B1C5A"/>
    <w:pPr>
      <w:ind w:left="720"/>
      <w:contextualSpacing/>
    </w:pPr>
  </w:style>
  <w:style w:type="paragraph" w:customStyle="1" w:styleId="ReportBody">
    <w:name w:val="Report Body"/>
    <w:basedOn w:val="Normal"/>
    <w:link w:val="ReportBodyChar"/>
    <w:qFormat/>
    <w:rsid w:val="00A23AC0"/>
    <w:pPr>
      <w:tabs>
        <w:tab w:val="num" w:pos="397"/>
      </w:tabs>
      <w:spacing w:before="240" w:after="0" w:line="240" w:lineRule="auto"/>
      <w:ind w:left="397" w:hanging="397"/>
    </w:pPr>
    <w:rPr>
      <w:rFonts w:ascii="Arial Mäori" w:eastAsia="Times New Roman" w:hAnsi="Arial Mäori" w:cs="Times New Roman"/>
      <w:color w:val="000000"/>
      <w:kern w:val="22"/>
    </w:rPr>
  </w:style>
  <w:style w:type="character" w:customStyle="1" w:styleId="ReportBodyChar">
    <w:name w:val="Report Body Char"/>
    <w:basedOn w:val="DefaultParagraphFont"/>
    <w:link w:val="ReportBody"/>
    <w:rsid w:val="00A23AC0"/>
    <w:rPr>
      <w:rFonts w:ascii="Arial Mäori" w:eastAsia="Times New Roman" w:hAnsi="Arial Mäori" w:cs="Times New Roman"/>
      <w:color w:val="000000"/>
      <w:kern w:val="22"/>
    </w:rPr>
  </w:style>
  <w:style w:type="paragraph" w:styleId="BalloonText">
    <w:name w:val="Balloon Text"/>
    <w:basedOn w:val="Normal"/>
    <w:link w:val="BalloonTextChar"/>
    <w:uiPriority w:val="99"/>
    <w:semiHidden/>
    <w:unhideWhenUsed/>
    <w:rsid w:val="00A2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C0"/>
    <w:rPr>
      <w:rFonts w:ascii="Tahoma" w:hAnsi="Tahoma" w:cs="Tahoma"/>
      <w:sz w:val="16"/>
      <w:szCs w:val="16"/>
    </w:rPr>
  </w:style>
  <w:style w:type="paragraph" w:customStyle="1" w:styleId="Bullet1">
    <w:name w:val="Bullet1"/>
    <w:basedOn w:val="Normal"/>
    <w:uiPriority w:val="4"/>
    <w:qFormat/>
    <w:rsid w:val="000C4301"/>
    <w:pPr>
      <w:numPr>
        <w:numId w:val="2"/>
      </w:numPr>
      <w:tabs>
        <w:tab w:val="left" w:pos="454"/>
      </w:tabs>
      <w:suppressAutoHyphens/>
      <w:autoSpaceDE w:val="0"/>
      <w:autoSpaceDN w:val="0"/>
      <w:adjustRightInd w:val="0"/>
      <w:spacing w:after="120" w:line="288" w:lineRule="auto"/>
    </w:pPr>
    <w:rPr>
      <w:rFonts w:ascii="Verdana" w:eastAsia="Times New Roman" w:hAnsi="Verdana" w:cs="Arial"/>
      <w:kern w:val="28"/>
      <w:sz w:val="20"/>
      <w:szCs w:val="20"/>
      <w:lang w:val="en-US"/>
    </w:rPr>
  </w:style>
  <w:style w:type="paragraph" w:customStyle="1" w:styleId="ReportBody2">
    <w:name w:val="Report Body 2"/>
    <w:basedOn w:val="ReportBody"/>
    <w:qFormat/>
    <w:rsid w:val="000C4301"/>
    <w:pPr>
      <w:tabs>
        <w:tab w:val="clear" w:pos="397"/>
        <w:tab w:val="num" w:pos="360"/>
      </w:tabs>
      <w:spacing w:before="120" w:after="120"/>
      <w:ind w:left="720" w:hanging="360"/>
    </w:pPr>
    <w:rPr>
      <w:rFonts w:ascii="Verdana" w:hAnsi="Verdana" w:cs="Arial"/>
      <w:lang w:eastAsia="en-NZ"/>
    </w:rPr>
  </w:style>
  <w:style w:type="character" w:styleId="FootnoteReference">
    <w:name w:val="footnote reference"/>
    <w:basedOn w:val="DefaultParagraphFont"/>
    <w:uiPriority w:val="99"/>
    <w:rsid w:val="005F03D5"/>
    <w:rPr>
      <w:rFonts w:ascii="Arial" w:hAnsi="Arial"/>
      <w:sz w:val="18"/>
      <w:szCs w:val="16"/>
      <w:vertAlign w:val="superscript"/>
      <w:lang w:val="en-US"/>
    </w:rPr>
  </w:style>
  <w:style w:type="character" w:customStyle="1" w:styleId="Heading1Char">
    <w:name w:val="Heading 1 Char"/>
    <w:basedOn w:val="DefaultParagraphFont"/>
    <w:link w:val="Heading1"/>
    <w:uiPriority w:val="9"/>
    <w:rsid w:val="00907793"/>
    <w:rPr>
      <w:rFonts w:ascii="Georgia" w:hAnsi="Georgia" w:cs="Times New Roman"/>
      <w:b/>
      <w:bCs/>
      <w:color w:val="121F6B"/>
      <w:kern w:val="36"/>
      <w:sz w:val="40"/>
      <w:szCs w:val="40"/>
    </w:rPr>
  </w:style>
  <w:style w:type="paragraph" w:customStyle="1" w:styleId="numberedpara">
    <w:name w:val="numbered para"/>
    <w:basedOn w:val="Normal"/>
    <w:link w:val="numberedparaChar"/>
    <w:qFormat/>
    <w:rsid w:val="00907793"/>
    <w:pPr>
      <w:numPr>
        <w:ilvl w:val="1"/>
        <w:numId w:val="3"/>
      </w:numPr>
      <w:spacing w:before="120" w:after="0" w:line="288" w:lineRule="auto"/>
      <w:ind w:left="567"/>
    </w:pPr>
    <w:rPr>
      <w:rFonts w:ascii="Verdana" w:hAnsi="Verdana" w:cs="Times New Roman"/>
      <w:color w:val="000000"/>
      <w:sz w:val="20"/>
      <w:szCs w:val="20"/>
    </w:rPr>
  </w:style>
  <w:style w:type="character" w:customStyle="1" w:styleId="FootnoteTextChar">
    <w:name w:val="Footnote Text Char"/>
    <w:link w:val="FootnoteText"/>
    <w:uiPriority w:val="99"/>
    <w:rsid w:val="00765C49"/>
    <w:rPr>
      <w:rFonts w:ascii="Arial" w:hAnsi="Arial"/>
      <w:sz w:val="18"/>
      <w:szCs w:val="16"/>
      <w:lang w:val="en-US"/>
    </w:rPr>
  </w:style>
  <w:style w:type="paragraph" w:styleId="FootnoteText">
    <w:name w:val="footnote text"/>
    <w:basedOn w:val="Normal"/>
    <w:link w:val="FootnoteTextChar"/>
    <w:uiPriority w:val="99"/>
    <w:qFormat/>
    <w:rsid w:val="00765C49"/>
    <w:pPr>
      <w:tabs>
        <w:tab w:val="left" w:pos="227"/>
      </w:tabs>
      <w:suppressAutoHyphens/>
      <w:autoSpaceDE w:val="0"/>
      <w:autoSpaceDN w:val="0"/>
      <w:adjustRightInd w:val="0"/>
      <w:spacing w:after="57" w:line="220" w:lineRule="atLeast"/>
      <w:ind w:left="227" w:hanging="227"/>
      <w:textAlignment w:val="center"/>
    </w:pPr>
    <w:rPr>
      <w:rFonts w:ascii="Arial" w:hAnsi="Arial"/>
      <w:sz w:val="18"/>
      <w:szCs w:val="16"/>
      <w:lang w:val="en-US"/>
    </w:rPr>
  </w:style>
  <w:style w:type="character" w:customStyle="1" w:styleId="FootnoteTextChar1">
    <w:name w:val="Footnote Text Char1"/>
    <w:basedOn w:val="DefaultParagraphFont"/>
    <w:uiPriority w:val="99"/>
    <w:semiHidden/>
    <w:rsid w:val="00765C49"/>
    <w:rPr>
      <w:sz w:val="20"/>
      <w:szCs w:val="20"/>
    </w:rPr>
  </w:style>
  <w:style w:type="character" w:customStyle="1" w:styleId="Heading4Char">
    <w:name w:val="Heading 4 Char"/>
    <w:basedOn w:val="DefaultParagraphFont"/>
    <w:link w:val="Heading4"/>
    <w:uiPriority w:val="9"/>
    <w:semiHidden/>
    <w:rsid w:val="00765C49"/>
    <w:rPr>
      <w:rFonts w:asciiTheme="majorHAnsi" w:eastAsiaTheme="majorEastAsia" w:hAnsiTheme="majorHAnsi" w:cstheme="majorBidi"/>
      <w:b/>
      <w:bCs/>
      <w:i/>
      <w:iCs/>
      <w:color w:val="4F81BD" w:themeColor="accent1"/>
    </w:rPr>
  </w:style>
  <w:style w:type="paragraph" w:customStyle="1" w:styleId="BodyText1">
    <w:name w:val="Body Text1"/>
    <w:basedOn w:val="Normal"/>
    <w:rsid w:val="00BB036E"/>
    <w:pPr>
      <w:autoSpaceDE w:val="0"/>
      <w:autoSpaceDN w:val="0"/>
      <w:spacing w:before="240" w:after="0" w:line="240" w:lineRule="auto"/>
    </w:pPr>
    <w:rPr>
      <w:rFonts w:ascii="Verdana" w:hAnsi="Verdana" w:cs="Times New Roman"/>
      <w:sz w:val="20"/>
      <w:szCs w:val="20"/>
      <w:lang w:eastAsia="en-NZ"/>
    </w:rPr>
  </w:style>
  <w:style w:type="paragraph" w:styleId="NoSpacing">
    <w:name w:val="No Spacing"/>
    <w:uiPriority w:val="1"/>
    <w:qFormat/>
    <w:rsid w:val="00BB036E"/>
    <w:pPr>
      <w:spacing w:after="0" w:line="240" w:lineRule="auto"/>
    </w:pPr>
  </w:style>
  <w:style w:type="character" w:customStyle="1" w:styleId="ListParagraphChar">
    <w:name w:val="List Paragraph Char"/>
    <w:aliases w:val="Rec para Char,List Paragraph1 Char,Recommendation Char,List Paragraph11 Char"/>
    <w:link w:val="ListParagraph"/>
    <w:uiPriority w:val="34"/>
    <w:rsid w:val="00BF1EBB"/>
  </w:style>
  <w:style w:type="paragraph" w:styleId="Header">
    <w:name w:val="header"/>
    <w:basedOn w:val="Normal"/>
    <w:link w:val="HeaderChar"/>
    <w:uiPriority w:val="99"/>
    <w:unhideWhenUsed/>
    <w:rsid w:val="0009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94"/>
  </w:style>
  <w:style w:type="paragraph" w:styleId="Footer">
    <w:name w:val="footer"/>
    <w:basedOn w:val="Normal"/>
    <w:link w:val="FooterChar"/>
    <w:uiPriority w:val="99"/>
    <w:unhideWhenUsed/>
    <w:rsid w:val="0009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F94"/>
  </w:style>
  <w:style w:type="paragraph" w:styleId="BodyText">
    <w:name w:val="Body Text"/>
    <w:basedOn w:val="Normal"/>
    <w:link w:val="BodyTextChar"/>
    <w:uiPriority w:val="99"/>
    <w:unhideWhenUsed/>
    <w:rsid w:val="001872A7"/>
    <w:pPr>
      <w:spacing w:after="120" w:line="288" w:lineRule="auto"/>
    </w:pPr>
    <w:rPr>
      <w:rFonts w:ascii="Verdana" w:hAnsi="Verdana" w:cs="Times New Roman"/>
      <w:sz w:val="20"/>
      <w:szCs w:val="20"/>
    </w:rPr>
  </w:style>
  <w:style w:type="character" w:customStyle="1" w:styleId="BodyTextChar">
    <w:name w:val="Body Text Char"/>
    <w:basedOn w:val="DefaultParagraphFont"/>
    <w:link w:val="BodyText"/>
    <w:uiPriority w:val="99"/>
    <w:rsid w:val="001872A7"/>
    <w:rPr>
      <w:rFonts w:ascii="Verdana" w:hAnsi="Verdana" w:cs="Times New Roman"/>
      <w:sz w:val="20"/>
      <w:szCs w:val="20"/>
    </w:rPr>
  </w:style>
  <w:style w:type="paragraph" w:customStyle="1" w:styleId="Table">
    <w:name w:val="Table"/>
    <w:basedOn w:val="Normal"/>
    <w:qFormat/>
    <w:rsid w:val="00CB22E2"/>
    <w:pPr>
      <w:suppressAutoHyphens/>
      <w:autoSpaceDE w:val="0"/>
      <w:autoSpaceDN w:val="0"/>
      <w:adjustRightInd w:val="0"/>
      <w:spacing w:before="60" w:after="60" w:line="240" w:lineRule="auto"/>
      <w:textAlignment w:val="center"/>
    </w:pPr>
    <w:rPr>
      <w:rFonts w:ascii="Arial Mäori" w:eastAsia="Times New Roman" w:hAnsi="Arial Mäori" w:cs="Times New Roman"/>
      <w:color w:val="000000"/>
      <w:sz w:val="18"/>
      <w:lang w:eastAsia="en-NZ"/>
    </w:rPr>
  </w:style>
  <w:style w:type="paragraph" w:styleId="Revision">
    <w:name w:val="Revision"/>
    <w:hidden/>
    <w:uiPriority w:val="99"/>
    <w:semiHidden/>
    <w:rsid w:val="009B0ED8"/>
    <w:pPr>
      <w:spacing w:after="0" w:line="240" w:lineRule="auto"/>
    </w:pPr>
  </w:style>
  <w:style w:type="character" w:styleId="CommentReference">
    <w:name w:val="annotation reference"/>
    <w:basedOn w:val="DefaultParagraphFont"/>
    <w:uiPriority w:val="99"/>
    <w:semiHidden/>
    <w:unhideWhenUsed/>
    <w:rsid w:val="007E0D38"/>
    <w:rPr>
      <w:sz w:val="16"/>
      <w:szCs w:val="16"/>
    </w:rPr>
  </w:style>
  <w:style w:type="paragraph" w:styleId="CommentText">
    <w:name w:val="annotation text"/>
    <w:basedOn w:val="Normal"/>
    <w:link w:val="CommentTextChar"/>
    <w:uiPriority w:val="99"/>
    <w:semiHidden/>
    <w:unhideWhenUsed/>
    <w:rsid w:val="007E0D38"/>
    <w:pPr>
      <w:spacing w:line="240" w:lineRule="auto"/>
    </w:pPr>
    <w:rPr>
      <w:sz w:val="20"/>
      <w:szCs w:val="20"/>
    </w:rPr>
  </w:style>
  <w:style w:type="character" w:customStyle="1" w:styleId="CommentTextChar">
    <w:name w:val="Comment Text Char"/>
    <w:basedOn w:val="DefaultParagraphFont"/>
    <w:link w:val="CommentText"/>
    <w:uiPriority w:val="99"/>
    <w:semiHidden/>
    <w:rsid w:val="007E0D38"/>
    <w:rPr>
      <w:sz w:val="20"/>
      <w:szCs w:val="20"/>
    </w:rPr>
  </w:style>
  <w:style w:type="paragraph" w:styleId="CommentSubject">
    <w:name w:val="annotation subject"/>
    <w:basedOn w:val="CommentText"/>
    <w:next w:val="CommentText"/>
    <w:link w:val="CommentSubjectChar"/>
    <w:uiPriority w:val="99"/>
    <w:semiHidden/>
    <w:unhideWhenUsed/>
    <w:rsid w:val="007E0D38"/>
    <w:rPr>
      <w:b/>
      <w:bCs/>
    </w:rPr>
  </w:style>
  <w:style w:type="character" w:customStyle="1" w:styleId="CommentSubjectChar">
    <w:name w:val="Comment Subject Char"/>
    <w:basedOn w:val="CommentTextChar"/>
    <w:link w:val="CommentSubject"/>
    <w:uiPriority w:val="99"/>
    <w:semiHidden/>
    <w:rsid w:val="007E0D38"/>
    <w:rPr>
      <w:b/>
      <w:bCs/>
      <w:sz w:val="20"/>
      <w:szCs w:val="20"/>
    </w:rPr>
  </w:style>
  <w:style w:type="character" w:customStyle="1" w:styleId="numberedparaChar">
    <w:name w:val="numbered para Char"/>
    <w:basedOn w:val="DefaultParagraphFont"/>
    <w:link w:val="numberedpara"/>
    <w:locked/>
    <w:rsid w:val="008561E0"/>
    <w:rPr>
      <w:rFonts w:ascii="Verdana" w:hAnsi="Verdana" w:cs="Times New Roman"/>
      <w:color w:val="000000"/>
      <w:sz w:val="20"/>
      <w:szCs w:val="20"/>
    </w:rPr>
  </w:style>
  <w:style w:type="table" w:styleId="TableGrid">
    <w:name w:val="Table Grid"/>
    <w:basedOn w:val="TableNormal"/>
    <w:uiPriority w:val="59"/>
    <w:rsid w:val="00815D01"/>
    <w:pPr>
      <w:spacing w:after="0" w:line="240" w:lineRule="auto"/>
      <w:jc w:val="both"/>
    </w:pPr>
    <w:rPr>
      <w:rFonts w:ascii="Arial" w:eastAsia="Times New Roman" w:hAnsi="Arial"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lateTitle">
    <w:name w:val="_Template Title"/>
    <w:basedOn w:val="Normal"/>
    <w:next w:val="Normal"/>
    <w:semiHidden/>
    <w:rsid w:val="00815D01"/>
    <w:pPr>
      <w:tabs>
        <w:tab w:val="left" w:pos="1620"/>
        <w:tab w:val="left" w:pos="5940"/>
      </w:tabs>
      <w:suppressAutoHyphens/>
      <w:autoSpaceDE w:val="0"/>
      <w:autoSpaceDN w:val="0"/>
      <w:adjustRightInd w:val="0"/>
      <w:spacing w:before="240" w:after="0" w:line="240" w:lineRule="auto"/>
      <w:textAlignment w:val="center"/>
    </w:pPr>
    <w:rPr>
      <w:rFonts w:ascii="Calibri" w:eastAsia="Times New Roman" w:hAnsi="Calibri" w:cs="Calibri"/>
      <w:color w:val="999999"/>
      <w:sz w:val="88"/>
      <w:szCs w:val="96"/>
      <w:lang w:eastAsia="en-NZ"/>
    </w:rPr>
  </w:style>
  <w:style w:type="paragraph" w:customStyle="1" w:styleId="LogoStyle">
    <w:name w:val="Logo Style"/>
    <w:basedOn w:val="Normal"/>
    <w:semiHidden/>
    <w:rsid w:val="00815D01"/>
    <w:pPr>
      <w:suppressAutoHyphens/>
      <w:autoSpaceDE w:val="0"/>
      <w:autoSpaceDN w:val="0"/>
      <w:adjustRightInd w:val="0"/>
      <w:spacing w:after="170" w:line="280" w:lineRule="atLeast"/>
      <w:jc w:val="right"/>
      <w:textAlignment w:val="center"/>
    </w:pPr>
    <w:rPr>
      <w:rFonts w:ascii="Arial" w:eastAsia="Times New Roman" w:hAnsi="Arial" w:cs="Times New Roman"/>
      <w:szCs w:val="20"/>
      <w:lang w:val="en-US" w:eastAsia="en-NZ"/>
    </w:rPr>
  </w:style>
  <w:style w:type="paragraph" w:customStyle="1" w:styleId="SubjectTitle">
    <w:name w:val="Subject Title"/>
    <w:basedOn w:val="Heading1"/>
    <w:rsid w:val="00815D01"/>
    <w:pPr>
      <w:numPr>
        <w:numId w:val="0"/>
      </w:numPr>
      <w:spacing w:before="360" w:after="360" w:line="240" w:lineRule="auto"/>
      <w:ind w:right="0"/>
    </w:pPr>
    <w:rPr>
      <w:rFonts w:ascii="Arial Mäori" w:eastAsia="Times New Roman" w:hAnsi="Arial Mäori"/>
      <w:color w:val="auto"/>
      <w:kern w:val="32"/>
      <w:sz w:val="32"/>
      <w:szCs w:val="32"/>
    </w:rPr>
  </w:style>
  <w:style w:type="paragraph" w:customStyle="1" w:styleId="Default">
    <w:name w:val="Default"/>
    <w:rsid w:val="00231014"/>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BodyText"/>
    <w:link w:val="CaptionChar"/>
    <w:qFormat/>
    <w:rsid w:val="00E30F15"/>
    <w:pPr>
      <w:keepNext/>
      <w:keepLines/>
      <w:spacing w:before="240" w:after="60" w:line="240" w:lineRule="auto"/>
    </w:pPr>
    <w:rPr>
      <w:rFonts w:ascii="Calibri" w:eastAsia="Times New Roman" w:hAnsi="Calibri" w:cs="Times New Roman"/>
      <w:b/>
      <w:bCs/>
      <w:color w:val="000000" w:themeColor="text1"/>
      <w:sz w:val="20"/>
      <w:szCs w:val="20"/>
      <w:lang w:val="en-AU" w:eastAsia="en-AU"/>
    </w:rPr>
  </w:style>
  <w:style w:type="character" w:customStyle="1" w:styleId="CaptionChar">
    <w:name w:val="Caption Char"/>
    <w:link w:val="Caption"/>
    <w:rsid w:val="00E30F15"/>
    <w:rPr>
      <w:rFonts w:ascii="Calibri" w:eastAsia="Times New Roman" w:hAnsi="Calibri" w:cs="Times New Roman"/>
      <w:b/>
      <w:bCs/>
      <w:color w:val="000000" w:themeColor="text1"/>
      <w:sz w:val="20"/>
      <w:szCs w:val="20"/>
      <w:lang w:val="en-AU" w:eastAsia="en-AU"/>
    </w:rPr>
  </w:style>
  <w:style w:type="paragraph" w:styleId="NormalWeb">
    <w:name w:val="Normal (Web)"/>
    <w:basedOn w:val="Normal"/>
    <w:uiPriority w:val="99"/>
    <w:semiHidden/>
    <w:unhideWhenUsed/>
    <w:rsid w:val="00402DC2"/>
    <w:pPr>
      <w:spacing w:before="100" w:beforeAutospacing="1" w:after="100" w:afterAutospacing="1" w:line="240" w:lineRule="auto"/>
    </w:pPr>
    <w:rPr>
      <w:rFonts w:ascii="Times New Roman" w:hAnsi="Times New Roman" w:cs="Times New Roman"/>
      <w:sz w:val="24"/>
      <w:szCs w:val="24"/>
      <w:lang w:eastAsia="en-NZ"/>
    </w:rPr>
  </w:style>
  <w:style w:type="paragraph" w:styleId="TOC3">
    <w:name w:val="toc 3"/>
    <w:basedOn w:val="TOC2"/>
    <w:next w:val="TOC2"/>
    <w:uiPriority w:val="39"/>
    <w:rsid w:val="000F2068"/>
    <w:pPr>
      <w:tabs>
        <w:tab w:val="right" w:leader="dot" w:pos="8990"/>
      </w:tabs>
      <w:spacing w:before="60" w:after="20" w:line="240" w:lineRule="auto"/>
      <w:ind w:left="2211" w:right="539" w:hanging="907"/>
    </w:pPr>
    <w:rPr>
      <w:rFonts w:ascii="Calibri" w:eastAsia="Times New Roman" w:hAnsi="Calibri" w:cs="Times New Roman"/>
      <w:noProof/>
      <w:color w:val="939393"/>
      <w:sz w:val="20"/>
      <w:szCs w:val="24"/>
      <w:lang w:val="en-AU" w:eastAsia="en-AU"/>
    </w:rPr>
  </w:style>
  <w:style w:type="paragraph" w:styleId="TOC2">
    <w:name w:val="toc 2"/>
    <w:basedOn w:val="Normal"/>
    <w:next w:val="Normal"/>
    <w:autoRedefine/>
    <w:uiPriority w:val="39"/>
    <w:semiHidden/>
    <w:unhideWhenUsed/>
    <w:rsid w:val="000F206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793"/>
    <w:pPr>
      <w:keepNext/>
      <w:numPr>
        <w:numId w:val="3"/>
      </w:numPr>
      <w:spacing w:after="240" w:line="288" w:lineRule="auto"/>
      <w:ind w:right="-1440"/>
      <w:outlineLvl w:val="0"/>
    </w:pPr>
    <w:rPr>
      <w:rFonts w:ascii="Georgia" w:hAnsi="Georgia" w:cs="Times New Roman"/>
      <w:b/>
      <w:bCs/>
      <w:color w:val="121F6B"/>
      <w:kern w:val="36"/>
      <w:sz w:val="40"/>
      <w:szCs w:val="40"/>
    </w:rPr>
  </w:style>
  <w:style w:type="paragraph" w:styleId="Heading4">
    <w:name w:val="heading 4"/>
    <w:basedOn w:val="Normal"/>
    <w:next w:val="Normal"/>
    <w:link w:val="Heading4Char"/>
    <w:uiPriority w:val="9"/>
    <w:semiHidden/>
    <w:unhideWhenUsed/>
    <w:qFormat/>
    <w:rsid w:val="00765C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1,Recommendation,List Paragraph11"/>
    <w:basedOn w:val="Normal"/>
    <w:link w:val="ListParagraphChar"/>
    <w:uiPriority w:val="34"/>
    <w:qFormat/>
    <w:rsid w:val="005B1C5A"/>
    <w:pPr>
      <w:ind w:left="720"/>
      <w:contextualSpacing/>
    </w:pPr>
  </w:style>
  <w:style w:type="paragraph" w:customStyle="1" w:styleId="ReportBody">
    <w:name w:val="Report Body"/>
    <w:basedOn w:val="Normal"/>
    <w:link w:val="ReportBodyChar"/>
    <w:qFormat/>
    <w:rsid w:val="00A23AC0"/>
    <w:pPr>
      <w:tabs>
        <w:tab w:val="num" w:pos="397"/>
      </w:tabs>
      <w:spacing w:before="240" w:after="0" w:line="240" w:lineRule="auto"/>
      <w:ind w:left="397" w:hanging="397"/>
    </w:pPr>
    <w:rPr>
      <w:rFonts w:ascii="Arial Mäori" w:eastAsia="Times New Roman" w:hAnsi="Arial Mäori" w:cs="Times New Roman"/>
      <w:color w:val="000000"/>
      <w:kern w:val="22"/>
    </w:rPr>
  </w:style>
  <w:style w:type="character" w:customStyle="1" w:styleId="ReportBodyChar">
    <w:name w:val="Report Body Char"/>
    <w:basedOn w:val="DefaultParagraphFont"/>
    <w:link w:val="ReportBody"/>
    <w:rsid w:val="00A23AC0"/>
    <w:rPr>
      <w:rFonts w:ascii="Arial Mäori" w:eastAsia="Times New Roman" w:hAnsi="Arial Mäori" w:cs="Times New Roman"/>
      <w:color w:val="000000"/>
      <w:kern w:val="22"/>
    </w:rPr>
  </w:style>
  <w:style w:type="paragraph" w:styleId="BalloonText">
    <w:name w:val="Balloon Text"/>
    <w:basedOn w:val="Normal"/>
    <w:link w:val="BalloonTextChar"/>
    <w:uiPriority w:val="99"/>
    <w:semiHidden/>
    <w:unhideWhenUsed/>
    <w:rsid w:val="00A2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C0"/>
    <w:rPr>
      <w:rFonts w:ascii="Tahoma" w:hAnsi="Tahoma" w:cs="Tahoma"/>
      <w:sz w:val="16"/>
      <w:szCs w:val="16"/>
    </w:rPr>
  </w:style>
  <w:style w:type="paragraph" w:customStyle="1" w:styleId="Bullet1">
    <w:name w:val="Bullet1"/>
    <w:basedOn w:val="Normal"/>
    <w:uiPriority w:val="4"/>
    <w:qFormat/>
    <w:rsid w:val="000C4301"/>
    <w:pPr>
      <w:numPr>
        <w:numId w:val="2"/>
      </w:numPr>
      <w:tabs>
        <w:tab w:val="left" w:pos="454"/>
      </w:tabs>
      <w:suppressAutoHyphens/>
      <w:autoSpaceDE w:val="0"/>
      <w:autoSpaceDN w:val="0"/>
      <w:adjustRightInd w:val="0"/>
      <w:spacing w:after="120" w:line="288" w:lineRule="auto"/>
    </w:pPr>
    <w:rPr>
      <w:rFonts w:ascii="Verdana" w:eastAsia="Times New Roman" w:hAnsi="Verdana" w:cs="Arial"/>
      <w:kern w:val="28"/>
      <w:sz w:val="20"/>
      <w:szCs w:val="20"/>
      <w:lang w:val="en-US"/>
    </w:rPr>
  </w:style>
  <w:style w:type="paragraph" w:customStyle="1" w:styleId="ReportBody2">
    <w:name w:val="Report Body 2"/>
    <w:basedOn w:val="ReportBody"/>
    <w:qFormat/>
    <w:rsid w:val="000C4301"/>
    <w:pPr>
      <w:tabs>
        <w:tab w:val="clear" w:pos="397"/>
        <w:tab w:val="num" w:pos="360"/>
      </w:tabs>
      <w:spacing w:before="120" w:after="120"/>
      <w:ind w:left="720" w:hanging="360"/>
    </w:pPr>
    <w:rPr>
      <w:rFonts w:ascii="Verdana" w:hAnsi="Verdana" w:cs="Arial"/>
      <w:lang w:eastAsia="en-NZ"/>
    </w:rPr>
  </w:style>
  <w:style w:type="character" w:styleId="FootnoteReference">
    <w:name w:val="footnote reference"/>
    <w:basedOn w:val="DefaultParagraphFont"/>
    <w:uiPriority w:val="99"/>
    <w:rsid w:val="005F03D5"/>
    <w:rPr>
      <w:rFonts w:ascii="Arial" w:hAnsi="Arial"/>
      <w:sz w:val="18"/>
      <w:szCs w:val="16"/>
      <w:vertAlign w:val="superscript"/>
      <w:lang w:val="en-US" w:eastAsia="x-none"/>
    </w:rPr>
  </w:style>
  <w:style w:type="character" w:customStyle="1" w:styleId="Heading1Char">
    <w:name w:val="Heading 1 Char"/>
    <w:basedOn w:val="DefaultParagraphFont"/>
    <w:link w:val="Heading1"/>
    <w:uiPriority w:val="9"/>
    <w:rsid w:val="00907793"/>
    <w:rPr>
      <w:rFonts w:ascii="Georgia" w:hAnsi="Georgia" w:cs="Times New Roman"/>
      <w:b/>
      <w:bCs/>
      <w:color w:val="121F6B"/>
      <w:kern w:val="36"/>
      <w:sz w:val="40"/>
      <w:szCs w:val="40"/>
    </w:rPr>
  </w:style>
  <w:style w:type="paragraph" w:customStyle="1" w:styleId="numberedpara">
    <w:name w:val="numbered para"/>
    <w:basedOn w:val="Normal"/>
    <w:link w:val="numberedparaChar"/>
    <w:qFormat/>
    <w:rsid w:val="00907793"/>
    <w:pPr>
      <w:numPr>
        <w:ilvl w:val="1"/>
        <w:numId w:val="3"/>
      </w:numPr>
      <w:spacing w:before="120" w:after="0" w:line="288" w:lineRule="auto"/>
      <w:ind w:left="567"/>
    </w:pPr>
    <w:rPr>
      <w:rFonts w:ascii="Verdana" w:hAnsi="Verdana" w:cs="Times New Roman"/>
      <w:color w:val="000000"/>
      <w:sz w:val="20"/>
      <w:szCs w:val="20"/>
    </w:rPr>
  </w:style>
  <w:style w:type="character" w:customStyle="1" w:styleId="FootnoteTextChar">
    <w:name w:val="Footnote Text Char"/>
    <w:link w:val="FootnoteText"/>
    <w:uiPriority w:val="99"/>
    <w:rsid w:val="00765C49"/>
    <w:rPr>
      <w:rFonts w:ascii="Arial" w:hAnsi="Arial"/>
      <w:sz w:val="18"/>
      <w:szCs w:val="16"/>
      <w:lang w:val="en-US" w:eastAsia="x-none"/>
    </w:rPr>
  </w:style>
  <w:style w:type="paragraph" w:styleId="FootnoteText">
    <w:name w:val="footnote text"/>
    <w:basedOn w:val="Normal"/>
    <w:link w:val="FootnoteTextChar"/>
    <w:uiPriority w:val="99"/>
    <w:qFormat/>
    <w:rsid w:val="00765C49"/>
    <w:pPr>
      <w:tabs>
        <w:tab w:val="left" w:pos="227"/>
      </w:tabs>
      <w:suppressAutoHyphens/>
      <w:autoSpaceDE w:val="0"/>
      <w:autoSpaceDN w:val="0"/>
      <w:adjustRightInd w:val="0"/>
      <w:spacing w:after="57" w:line="220" w:lineRule="atLeast"/>
      <w:ind w:left="227" w:hanging="227"/>
      <w:textAlignment w:val="center"/>
    </w:pPr>
    <w:rPr>
      <w:rFonts w:ascii="Arial" w:hAnsi="Arial"/>
      <w:sz w:val="18"/>
      <w:szCs w:val="16"/>
      <w:lang w:val="en-US" w:eastAsia="x-none"/>
    </w:rPr>
  </w:style>
  <w:style w:type="character" w:customStyle="1" w:styleId="FootnoteTextChar1">
    <w:name w:val="Footnote Text Char1"/>
    <w:basedOn w:val="DefaultParagraphFont"/>
    <w:uiPriority w:val="99"/>
    <w:semiHidden/>
    <w:rsid w:val="00765C49"/>
    <w:rPr>
      <w:sz w:val="20"/>
      <w:szCs w:val="20"/>
    </w:rPr>
  </w:style>
  <w:style w:type="character" w:customStyle="1" w:styleId="Heading4Char">
    <w:name w:val="Heading 4 Char"/>
    <w:basedOn w:val="DefaultParagraphFont"/>
    <w:link w:val="Heading4"/>
    <w:uiPriority w:val="9"/>
    <w:semiHidden/>
    <w:rsid w:val="00765C49"/>
    <w:rPr>
      <w:rFonts w:asciiTheme="majorHAnsi" w:eastAsiaTheme="majorEastAsia" w:hAnsiTheme="majorHAnsi" w:cstheme="majorBidi"/>
      <w:b/>
      <w:bCs/>
      <w:i/>
      <w:iCs/>
      <w:color w:val="4F81BD" w:themeColor="accent1"/>
    </w:rPr>
  </w:style>
  <w:style w:type="paragraph" w:customStyle="1" w:styleId="BodyText1">
    <w:name w:val="Body Text1"/>
    <w:basedOn w:val="Normal"/>
    <w:rsid w:val="00BB036E"/>
    <w:pPr>
      <w:autoSpaceDE w:val="0"/>
      <w:autoSpaceDN w:val="0"/>
      <w:spacing w:before="240" w:after="0" w:line="240" w:lineRule="auto"/>
    </w:pPr>
    <w:rPr>
      <w:rFonts w:ascii="Verdana" w:hAnsi="Verdana" w:cs="Times New Roman"/>
      <w:sz w:val="20"/>
      <w:szCs w:val="20"/>
      <w:lang w:eastAsia="en-NZ"/>
    </w:rPr>
  </w:style>
  <w:style w:type="paragraph" w:styleId="NoSpacing">
    <w:name w:val="No Spacing"/>
    <w:uiPriority w:val="1"/>
    <w:qFormat/>
    <w:rsid w:val="00BB036E"/>
    <w:pPr>
      <w:spacing w:after="0" w:line="240" w:lineRule="auto"/>
    </w:pPr>
  </w:style>
  <w:style w:type="character" w:customStyle="1" w:styleId="ListParagraphChar">
    <w:name w:val="List Paragraph Char"/>
    <w:aliases w:val="Rec para Char,List Paragraph1 Char,Recommendation Char,List Paragraph11 Char"/>
    <w:link w:val="ListParagraph"/>
    <w:uiPriority w:val="34"/>
    <w:rsid w:val="00BF1EBB"/>
  </w:style>
  <w:style w:type="paragraph" w:styleId="Header">
    <w:name w:val="header"/>
    <w:basedOn w:val="Normal"/>
    <w:link w:val="HeaderChar"/>
    <w:uiPriority w:val="99"/>
    <w:unhideWhenUsed/>
    <w:rsid w:val="0009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94"/>
  </w:style>
  <w:style w:type="paragraph" w:styleId="Footer">
    <w:name w:val="footer"/>
    <w:basedOn w:val="Normal"/>
    <w:link w:val="FooterChar"/>
    <w:uiPriority w:val="99"/>
    <w:unhideWhenUsed/>
    <w:rsid w:val="0009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F94"/>
  </w:style>
  <w:style w:type="paragraph" w:styleId="BodyText">
    <w:name w:val="Body Text"/>
    <w:basedOn w:val="Normal"/>
    <w:link w:val="BodyTextChar"/>
    <w:uiPriority w:val="99"/>
    <w:unhideWhenUsed/>
    <w:rsid w:val="001872A7"/>
    <w:pPr>
      <w:spacing w:after="120" w:line="288" w:lineRule="auto"/>
    </w:pPr>
    <w:rPr>
      <w:rFonts w:ascii="Verdana" w:hAnsi="Verdana" w:cs="Times New Roman"/>
      <w:sz w:val="20"/>
      <w:szCs w:val="20"/>
    </w:rPr>
  </w:style>
  <w:style w:type="character" w:customStyle="1" w:styleId="BodyTextChar">
    <w:name w:val="Body Text Char"/>
    <w:basedOn w:val="DefaultParagraphFont"/>
    <w:link w:val="BodyText"/>
    <w:uiPriority w:val="99"/>
    <w:rsid w:val="001872A7"/>
    <w:rPr>
      <w:rFonts w:ascii="Verdana" w:hAnsi="Verdana" w:cs="Times New Roman"/>
      <w:sz w:val="20"/>
      <w:szCs w:val="20"/>
    </w:rPr>
  </w:style>
  <w:style w:type="paragraph" w:customStyle="1" w:styleId="Table">
    <w:name w:val="Table"/>
    <w:basedOn w:val="Normal"/>
    <w:qFormat/>
    <w:rsid w:val="00CB22E2"/>
    <w:pPr>
      <w:suppressAutoHyphens/>
      <w:autoSpaceDE w:val="0"/>
      <w:autoSpaceDN w:val="0"/>
      <w:adjustRightInd w:val="0"/>
      <w:spacing w:before="60" w:after="60" w:line="240" w:lineRule="auto"/>
      <w:textAlignment w:val="center"/>
    </w:pPr>
    <w:rPr>
      <w:rFonts w:ascii="Arial Mäori" w:eastAsia="Times New Roman" w:hAnsi="Arial Mäori" w:cs="Times New Roman"/>
      <w:color w:val="000000"/>
      <w:sz w:val="18"/>
      <w:lang w:eastAsia="en-NZ"/>
    </w:rPr>
  </w:style>
  <w:style w:type="paragraph" w:styleId="Revision">
    <w:name w:val="Revision"/>
    <w:hidden/>
    <w:uiPriority w:val="99"/>
    <w:semiHidden/>
    <w:rsid w:val="009B0ED8"/>
    <w:pPr>
      <w:spacing w:after="0" w:line="240" w:lineRule="auto"/>
    </w:pPr>
  </w:style>
  <w:style w:type="character" w:styleId="CommentReference">
    <w:name w:val="annotation reference"/>
    <w:basedOn w:val="DefaultParagraphFont"/>
    <w:uiPriority w:val="99"/>
    <w:semiHidden/>
    <w:unhideWhenUsed/>
    <w:rsid w:val="007E0D38"/>
    <w:rPr>
      <w:sz w:val="16"/>
      <w:szCs w:val="16"/>
    </w:rPr>
  </w:style>
  <w:style w:type="paragraph" w:styleId="CommentText">
    <w:name w:val="annotation text"/>
    <w:basedOn w:val="Normal"/>
    <w:link w:val="CommentTextChar"/>
    <w:uiPriority w:val="99"/>
    <w:semiHidden/>
    <w:unhideWhenUsed/>
    <w:rsid w:val="007E0D38"/>
    <w:pPr>
      <w:spacing w:line="240" w:lineRule="auto"/>
    </w:pPr>
    <w:rPr>
      <w:sz w:val="20"/>
      <w:szCs w:val="20"/>
    </w:rPr>
  </w:style>
  <w:style w:type="character" w:customStyle="1" w:styleId="CommentTextChar">
    <w:name w:val="Comment Text Char"/>
    <w:basedOn w:val="DefaultParagraphFont"/>
    <w:link w:val="CommentText"/>
    <w:uiPriority w:val="99"/>
    <w:semiHidden/>
    <w:rsid w:val="007E0D38"/>
    <w:rPr>
      <w:sz w:val="20"/>
      <w:szCs w:val="20"/>
    </w:rPr>
  </w:style>
  <w:style w:type="paragraph" w:styleId="CommentSubject">
    <w:name w:val="annotation subject"/>
    <w:basedOn w:val="CommentText"/>
    <w:next w:val="CommentText"/>
    <w:link w:val="CommentSubjectChar"/>
    <w:uiPriority w:val="99"/>
    <w:semiHidden/>
    <w:unhideWhenUsed/>
    <w:rsid w:val="007E0D38"/>
    <w:rPr>
      <w:b/>
      <w:bCs/>
    </w:rPr>
  </w:style>
  <w:style w:type="character" w:customStyle="1" w:styleId="CommentSubjectChar">
    <w:name w:val="Comment Subject Char"/>
    <w:basedOn w:val="CommentTextChar"/>
    <w:link w:val="CommentSubject"/>
    <w:uiPriority w:val="99"/>
    <w:semiHidden/>
    <w:rsid w:val="007E0D38"/>
    <w:rPr>
      <w:b/>
      <w:bCs/>
      <w:sz w:val="20"/>
      <w:szCs w:val="20"/>
    </w:rPr>
  </w:style>
  <w:style w:type="character" w:customStyle="1" w:styleId="numberedparaChar">
    <w:name w:val="numbered para Char"/>
    <w:basedOn w:val="DefaultParagraphFont"/>
    <w:link w:val="numberedpara"/>
    <w:locked/>
    <w:rsid w:val="008561E0"/>
    <w:rPr>
      <w:rFonts w:ascii="Verdana" w:hAnsi="Verdana" w:cs="Times New Roman"/>
      <w:color w:val="000000"/>
      <w:sz w:val="20"/>
      <w:szCs w:val="20"/>
    </w:rPr>
  </w:style>
  <w:style w:type="table" w:styleId="TableGrid">
    <w:name w:val="Table Grid"/>
    <w:basedOn w:val="TableNormal"/>
    <w:uiPriority w:val="59"/>
    <w:rsid w:val="00815D01"/>
    <w:pPr>
      <w:spacing w:after="0" w:line="240" w:lineRule="auto"/>
      <w:jc w:val="both"/>
    </w:pPr>
    <w:rPr>
      <w:rFonts w:ascii="Arial" w:eastAsia="Times New Roman"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_Template Title"/>
    <w:basedOn w:val="Normal"/>
    <w:next w:val="Normal"/>
    <w:semiHidden/>
    <w:rsid w:val="00815D01"/>
    <w:pPr>
      <w:tabs>
        <w:tab w:val="left" w:pos="1620"/>
        <w:tab w:val="left" w:pos="5940"/>
      </w:tabs>
      <w:suppressAutoHyphens/>
      <w:autoSpaceDE w:val="0"/>
      <w:autoSpaceDN w:val="0"/>
      <w:adjustRightInd w:val="0"/>
      <w:spacing w:before="240" w:after="0" w:line="240" w:lineRule="auto"/>
      <w:textAlignment w:val="center"/>
    </w:pPr>
    <w:rPr>
      <w:rFonts w:ascii="Calibri" w:eastAsia="Times New Roman" w:hAnsi="Calibri" w:cs="Calibri"/>
      <w:color w:val="999999"/>
      <w:sz w:val="88"/>
      <w:szCs w:val="96"/>
      <w:lang w:eastAsia="en-NZ"/>
    </w:rPr>
  </w:style>
  <w:style w:type="paragraph" w:customStyle="1" w:styleId="LogoStyle">
    <w:name w:val="Logo Style"/>
    <w:basedOn w:val="Normal"/>
    <w:semiHidden/>
    <w:rsid w:val="00815D01"/>
    <w:pPr>
      <w:suppressAutoHyphens/>
      <w:autoSpaceDE w:val="0"/>
      <w:autoSpaceDN w:val="0"/>
      <w:adjustRightInd w:val="0"/>
      <w:spacing w:after="170" w:line="280" w:lineRule="atLeast"/>
      <w:jc w:val="right"/>
      <w:textAlignment w:val="center"/>
    </w:pPr>
    <w:rPr>
      <w:rFonts w:ascii="Arial" w:eastAsia="Times New Roman" w:hAnsi="Arial" w:cs="Times New Roman"/>
      <w:szCs w:val="20"/>
      <w:lang w:val="en-US" w:eastAsia="en-NZ"/>
    </w:rPr>
  </w:style>
  <w:style w:type="paragraph" w:customStyle="1" w:styleId="SubjectTitle">
    <w:name w:val="Subject Title"/>
    <w:basedOn w:val="Heading1"/>
    <w:rsid w:val="00815D01"/>
    <w:pPr>
      <w:numPr>
        <w:numId w:val="0"/>
      </w:numPr>
      <w:spacing w:before="360" w:after="360" w:line="240" w:lineRule="auto"/>
      <w:ind w:right="0"/>
    </w:pPr>
    <w:rPr>
      <w:rFonts w:ascii="Arial Mäori" w:eastAsia="Times New Roman" w:hAnsi="Arial Mäori"/>
      <w:color w:val="auto"/>
      <w:kern w:val="32"/>
      <w:sz w:val="32"/>
      <w:szCs w:val="32"/>
    </w:rPr>
  </w:style>
  <w:style w:type="paragraph" w:customStyle="1" w:styleId="Default">
    <w:name w:val="Default"/>
    <w:rsid w:val="00231014"/>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BodyText"/>
    <w:link w:val="CaptionChar"/>
    <w:qFormat/>
    <w:rsid w:val="00E30F15"/>
    <w:pPr>
      <w:keepNext/>
      <w:keepLines/>
      <w:spacing w:before="240" w:after="60" w:line="240" w:lineRule="auto"/>
    </w:pPr>
    <w:rPr>
      <w:rFonts w:ascii="Calibri" w:eastAsia="Times New Roman" w:hAnsi="Calibri" w:cs="Times New Roman"/>
      <w:b/>
      <w:bCs/>
      <w:color w:val="000000" w:themeColor="text1"/>
      <w:sz w:val="20"/>
      <w:szCs w:val="20"/>
      <w:lang w:val="en-AU" w:eastAsia="en-AU"/>
    </w:rPr>
  </w:style>
  <w:style w:type="character" w:customStyle="1" w:styleId="CaptionChar">
    <w:name w:val="Caption Char"/>
    <w:link w:val="Caption"/>
    <w:rsid w:val="00E30F15"/>
    <w:rPr>
      <w:rFonts w:ascii="Calibri" w:eastAsia="Times New Roman" w:hAnsi="Calibri" w:cs="Times New Roman"/>
      <w:b/>
      <w:bCs/>
      <w:color w:val="000000" w:themeColor="text1"/>
      <w:sz w:val="20"/>
      <w:szCs w:val="20"/>
      <w:lang w:val="en-AU" w:eastAsia="en-AU"/>
    </w:rPr>
  </w:style>
  <w:style w:type="paragraph" w:styleId="NormalWeb">
    <w:name w:val="Normal (Web)"/>
    <w:basedOn w:val="Normal"/>
    <w:uiPriority w:val="99"/>
    <w:semiHidden/>
    <w:unhideWhenUsed/>
    <w:rsid w:val="00402DC2"/>
    <w:pPr>
      <w:spacing w:before="100" w:beforeAutospacing="1" w:after="100" w:afterAutospacing="1" w:line="240" w:lineRule="auto"/>
    </w:pPr>
    <w:rPr>
      <w:rFonts w:ascii="Times New Roman" w:hAnsi="Times New Roman" w:cs="Times New Roman"/>
      <w:sz w:val="24"/>
      <w:szCs w:val="24"/>
      <w:lang w:eastAsia="en-NZ"/>
    </w:rPr>
  </w:style>
  <w:style w:type="paragraph" w:styleId="TOC3">
    <w:name w:val="toc 3"/>
    <w:basedOn w:val="TOC2"/>
    <w:next w:val="TOC2"/>
    <w:uiPriority w:val="39"/>
    <w:rsid w:val="000F2068"/>
    <w:pPr>
      <w:tabs>
        <w:tab w:val="right" w:leader="dot" w:pos="8990"/>
      </w:tabs>
      <w:spacing w:before="60" w:after="20" w:line="240" w:lineRule="auto"/>
      <w:ind w:left="2211" w:right="539" w:hanging="907"/>
    </w:pPr>
    <w:rPr>
      <w:rFonts w:ascii="Calibri" w:eastAsia="Times New Roman" w:hAnsi="Calibri" w:cs="Times New Roman"/>
      <w:noProof/>
      <w:color w:val="939393"/>
      <w:sz w:val="20"/>
      <w:szCs w:val="24"/>
      <w:lang w:val="en-AU" w:eastAsia="en-AU"/>
    </w:rPr>
  </w:style>
  <w:style w:type="paragraph" w:styleId="TOC2">
    <w:name w:val="toc 2"/>
    <w:basedOn w:val="Normal"/>
    <w:next w:val="Normal"/>
    <w:autoRedefine/>
    <w:uiPriority w:val="39"/>
    <w:semiHidden/>
    <w:unhideWhenUsed/>
    <w:rsid w:val="000F2068"/>
    <w:pPr>
      <w:spacing w:after="100"/>
      <w:ind w:left="220"/>
    </w:pPr>
  </w:style>
</w:styles>
</file>

<file path=word/webSettings.xml><?xml version="1.0" encoding="utf-8"?>
<w:webSettings xmlns:r="http://schemas.openxmlformats.org/officeDocument/2006/relationships" xmlns:w="http://schemas.openxmlformats.org/wordprocessingml/2006/main">
  <w:divs>
    <w:div w:id="35787655">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139932643">
      <w:bodyDiv w:val="1"/>
      <w:marLeft w:val="0"/>
      <w:marRight w:val="0"/>
      <w:marTop w:val="0"/>
      <w:marBottom w:val="0"/>
      <w:divBdr>
        <w:top w:val="none" w:sz="0" w:space="0" w:color="auto"/>
        <w:left w:val="none" w:sz="0" w:space="0" w:color="auto"/>
        <w:bottom w:val="none" w:sz="0" w:space="0" w:color="auto"/>
        <w:right w:val="none" w:sz="0" w:space="0" w:color="auto"/>
      </w:divBdr>
    </w:div>
    <w:div w:id="141851035">
      <w:bodyDiv w:val="1"/>
      <w:marLeft w:val="0"/>
      <w:marRight w:val="0"/>
      <w:marTop w:val="0"/>
      <w:marBottom w:val="0"/>
      <w:divBdr>
        <w:top w:val="none" w:sz="0" w:space="0" w:color="auto"/>
        <w:left w:val="none" w:sz="0" w:space="0" w:color="auto"/>
        <w:bottom w:val="none" w:sz="0" w:space="0" w:color="auto"/>
        <w:right w:val="none" w:sz="0" w:space="0" w:color="auto"/>
      </w:divBdr>
    </w:div>
    <w:div w:id="190339535">
      <w:bodyDiv w:val="1"/>
      <w:marLeft w:val="0"/>
      <w:marRight w:val="0"/>
      <w:marTop w:val="0"/>
      <w:marBottom w:val="0"/>
      <w:divBdr>
        <w:top w:val="none" w:sz="0" w:space="0" w:color="auto"/>
        <w:left w:val="none" w:sz="0" w:space="0" w:color="auto"/>
        <w:bottom w:val="none" w:sz="0" w:space="0" w:color="auto"/>
        <w:right w:val="none" w:sz="0" w:space="0" w:color="auto"/>
      </w:divBdr>
    </w:div>
    <w:div w:id="195316829">
      <w:bodyDiv w:val="1"/>
      <w:marLeft w:val="0"/>
      <w:marRight w:val="0"/>
      <w:marTop w:val="0"/>
      <w:marBottom w:val="0"/>
      <w:divBdr>
        <w:top w:val="none" w:sz="0" w:space="0" w:color="auto"/>
        <w:left w:val="none" w:sz="0" w:space="0" w:color="auto"/>
        <w:bottom w:val="none" w:sz="0" w:space="0" w:color="auto"/>
        <w:right w:val="none" w:sz="0" w:space="0" w:color="auto"/>
      </w:divBdr>
    </w:div>
    <w:div w:id="208810701">
      <w:bodyDiv w:val="1"/>
      <w:marLeft w:val="0"/>
      <w:marRight w:val="0"/>
      <w:marTop w:val="0"/>
      <w:marBottom w:val="0"/>
      <w:divBdr>
        <w:top w:val="none" w:sz="0" w:space="0" w:color="auto"/>
        <w:left w:val="none" w:sz="0" w:space="0" w:color="auto"/>
        <w:bottom w:val="none" w:sz="0" w:space="0" w:color="auto"/>
        <w:right w:val="none" w:sz="0" w:space="0" w:color="auto"/>
      </w:divBdr>
    </w:div>
    <w:div w:id="210969807">
      <w:bodyDiv w:val="1"/>
      <w:marLeft w:val="0"/>
      <w:marRight w:val="0"/>
      <w:marTop w:val="0"/>
      <w:marBottom w:val="0"/>
      <w:divBdr>
        <w:top w:val="none" w:sz="0" w:space="0" w:color="auto"/>
        <w:left w:val="none" w:sz="0" w:space="0" w:color="auto"/>
        <w:bottom w:val="none" w:sz="0" w:space="0" w:color="auto"/>
        <w:right w:val="none" w:sz="0" w:space="0" w:color="auto"/>
      </w:divBdr>
    </w:div>
    <w:div w:id="290786742">
      <w:bodyDiv w:val="1"/>
      <w:marLeft w:val="0"/>
      <w:marRight w:val="0"/>
      <w:marTop w:val="0"/>
      <w:marBottom w:val="0"/>
      <w:divBdr>
        <w:top w:val="none" w:sz="0" w:space="0" w:color="auto"/>
        <w:left w:val="none" w:sz="0" w:space="0" w:color="auto"/>
        <w:bottom w:val="none" w:sz="0" w:space="0" w:color="auto"/>
        <w:right w:val="none" w:sz="0" w:space="0" w:color="auto"/>
      </w:divBdr>
    </w:div>
    <w:div w:id="313529405">
      <w:bodyDiv w:val="1"/>
      <w:marLeft w:val="0"/>
      <w:marRight w:val="0"/>
      <w:marTop w:val="0"/>
      <w:marBottom w:val="0"/>
      <w:divBdr>
        <w:top w:val="none" w:sz="0" w:space="0" w:color="auto"/>
        <w:left w:val="none" w:sz="0" w:space="0" w:color="auto"/>
        <w:bottom w:val="none" w:sz="0" w:space="0" w:color="auto"/>
        <w:right w:val="none" w:sz="0" w:space="0" w:color="auto"/>
      </w:divBdr>
    </w:div>
    <w:div w:id="322927522">
      <w:bodyDiv w:val="1"/>
      <w:marLeft w:val="0"/>
      <w:marRight w:val="0"/>
      <w:marTop w:val="0"/>
      <w:marBottom w:val="0"/>
      <w:divBdr>
        <w:top w:val="none" w:sz="0" w:space="0" w:color="auto"/>
        <w:left w:val="none" w:sz="0" w:space="0" w:color="auto"/>
        <w:bottom w:val="none" w:sz="0" w:space="0" w:color="auto"/>
        <w:right w:val="none" w:sz="0" w:space="0" w:color="auto"/>
      </w:divBdr>
    </w:div>
    <w:div w:id="326902010">
      <w:bodyDiv w:val="1"/>
      <w:marLeft w:val="0"/>
      <w:marRight w:val="0"/>
      <w:marTop w:val="0"/>
      <w:marBottom w:val="0"/>
      <w:divBdr>
        <w:top w:val="none" w:sz="0" w:space="0" w:color="auto"/>
        <w:left w:val="none" w:sz="0" w:space="0" w:color="auto"/>
        <w:bottom w:val="none" w:sz="0" w:space="0" w:color="auto"/>
        <w:right w:val="none" w:sz="0" w:space="0" w:color="auto"/>
      </w:divBdr>
    </w:div>
    <w:div w:id="395978074">
      <w:bodyDiv w:val="1"/>
      <w:marLeft w:val="0"/>
      <w:marRight w:val="0"/>
      <w:marTop w:val="0"/>
      <w:marBottom w:val="0"/>
      <w:divBdr>
        <w:top w:val="none" w:sz="0" w:space="0" w:color="auto"/>
        <w:left w:val="none" w:sz="0" w:space="0" w:color="auto"/>
        <w:bottom w:val="none" w:sz="0" w:space="0" w:color="auto"/>
        <w:right w:val="none" w:sz="0" w:space="0" w:color="auto"/>
      </w:divBdr>
    </w:div>
    <w:div w:id="398796065">
      <w:bodyDiv w:val="1"/>
      <w:marLeft w:val="0"/>
      <w:marRight w:val="0"/>
      <w:marTop w:val="0"/>
      <w:marBottom w:val="0"/>
      <w:divBdr>
        <w:top w:val="none" w:sz="0" w:space="0" w:color="auto"/>
        <w:left w:val="none" w:sz="0" w:space="0" w:color="auto"/>
        <w:bottom w:val="none" w:sz="0" w:space="0" w:color="auto"/>
        <w:right w:val="none" w:sz="0" w:space="0" w:color="auto"/>
      </w:divBdr>
    </w:div>
    <w:div w:id="477456939">
      <w:bodyDiv w:val="1"/>
      <w:marLeft w:val="0"/>
      <w:marRight w:val="0"/>
      <w:marTop w:val="0"/>
      <w:marBottom w:val="0"/>
      <w:divBdr>
        <w:top w:val="none" w:sz="0" w:space="0" w:color="auto"/>
        <w:left w:val="none" w:sz="0" w:space="0" w:color="auto"/>
        <w:bottom w:val="none" w:sz="0" w:space="0" w:color="auto"/>
        <w:right w:val="none" w:sz="0" w:space="0" w:color="auto"/>
      </w:divBdr>
    </w:div>
    <w:div w:id="498539979">
      <w:bodyDiv w:val="1"/>
      <w:marLeft w:val="0"/>
      <w:marRight w:val="0"/>
      <w:marTop w:val="0"/>
      <w:marBottom w:val="0"/>
      <w:divBdr>
        <w:top w:val="none" w:sz="0" w:space="0" w:color="auto"/>
        <w:left w:val="none" w:sz="0" w:space="0" w:color="auto"/>
        <w:bottom w:val="none" w:sz="0" w:space="0" w:color="auto"/>
        <w:right w:val="none" w:sz="0" w:space="0" w:color="auto"/>
      </w:divBdr>
    </w:div>
    <w:div w:id="564528927">
      <w:bodyDiv w:val="1"/>
      <w:marLeft w:val="0"/>
      <w:marRight w:val="0"/>
      <w:marTop w:val="0"/>
      <w:marBottom w:val="0"/>
      <w:divBdr>
        <w:top w:val="none" w:sz="0" w:space="0" w:color="auto"/>
        <w:left w:val="none" w:sz="0" w:space="0" w:color="auto"/>
        <w:bottom w:val="none" w:sz="0" w:space="0" w:color="auto"/>
        <w:right w:val="none" w:sz="0" w:space="0" w:color="auto"/>
      </w:divBdr>
    </w:div>
    <w:div w:id="571474623">
      <w:bodyDiv w:val="1"/>
      <w:marLeft w:val="0"/>
      <w:marRight w:val="0"/>
      <w:marTop w:val="0"/>
      <w:marBottom w:val="0"/>
      <w:divBdr>
        <w:top w:val="none" w:sz="0" w:space="0" w:color="auto"/>
        <w:left w:val="none" w:sz="0" w:space="0" w:color="auto"/>
        <w:bottom w:val="none" w:sz="0" w:space="0" w:color="auto"/>
        <w:right w:val="none" w:sz="0" w:space="0" w:color="auto"/>
      </w:divBdr>
    </w:div>
    <w:div w:id="643504993">
      <w:bodyDiv w:val="1"/>
      <w:marLeft w:val="0"/>
      <w:marRight w:val="0"/>
      <w:marTop w:val="0"/>
      <w:marBottom w:val="0"/>
      <w:divBdr>
        <w:top w:val="none" w:sz="0" w:space="0" w:color="auto"/>
        <w:left w:val="none" w:sz="0" w:space="0" w:color="auto"/>
        <w:bottom w:val="none" w:sz="0" w:space="0" w:color="auto"/>
        <w:right w:val="none" w:sz="0" w:space="0" w:color="auto"/>
      </w:divBdr>
    </w:div>
    <w:div w:id="707532036">
      <w:bodyDiv w:val="1"/>
      <w:marLeft w:val="0"/>
      <w:marRight w:val="0"/>
      <w:marTop w:val="0"/>
      <w:marBottom w:val="0"/>
      <w:divBdr>
        <w:top w:val="none" w:sz="0" w:space="0" w:color="auto"/>
        <w:left w:val="none" w:sz="0" w:space="0" w:color="auto"/>
        <w:bottom w:val="none" w:sz="0" w:space="0" w:color="auto"/>
        <w:right w:val="none" w:sz="0" w:space="0" w:color="auto"/>
      </w:divBdr>
    </w:div>
    <w:div w:id="736782924">
      <w:bodyDiv w:val="1"/>
      <w:marLeft w:val="0"/>
      <w:marRight w:val="0"/>
      <w:marTop w:val="0"/>
      <w:marBottom w:val="0"/>
      <w:divBdr>
        <w:top w:val="none" w:sz="0" w:space="0" w:color="auto"/>
        <w:left w:val="none" w:sz="0" w:space="0" w:color="auto"/>
        <w:bottom w:val="none" w:sz="0" w:space="0" w:color="auto"/>
        <w:right w:val="none" w:sz="0" w:space="0" w:color="auto"/>
      </w:divBdr>
    </w:div>
    <w:div w:id="780034934">
      <w:bodyDiv w:val="1"/>
      <w:marLeft w:val="0"/>
      <w:marRight w:val="0"/>
      <w:marTop w:val="0"/>
      <w:marBottom w:val="0"/>
      <w:divBdr>
        <w:top w:val="none" w:sz="0" w:space="0" w:color="auto"/>
        <w:left w:val="none" w:sz="0" w:space="0" w:color="auto"/>
        <w:bottom w:val="none" w:sz="0" w:space="0" w:color="auto"/>
        <w:right w:val="none" w:sz="0" w:space="0" w:color="auto"/>
      </w:divBdr>
    </w:div>
    <w:div w:id="845100770">
      <w:bodyDiv w:val="1"/>
      <w:marLeft w:val="0"/>
      <w:marRight w:val="0"/>
      <w:marTop w:val="0"/>
      <w:marBottom w:val="0"/>
      <w:divBdr>
        <w:top w:val="none" w:sz="0" w:space="0" w:color="auto"/>
        <w:left w:val="none" w:sz="0" w:space="0" w:color="auto"/>
        <w:bottom w:val="none" w:sz="0" w:space="0" w:color="auto"/>
        <w:right w:val="none" w:sz="0" w:space="0" w:color="auto"/>
      </w:divBdr>
    </w:div>
    <w:div w:id="905991142">
      <w:bodyDiv w:val="1"/>
      <w:marLeft w:val="0"/>
      <w:marRight w:val="0"/>
      <w:marTop w:val="0"/>
      <w:marBottom w:val="0"/>
      <w:divBdr>
        <w:top w:val="none" w:sz="0" w:space="0" w:color="auto"/>
        <w:left w:val="none" w:sz="0" w:space="0" w:color="auto"/>
        <w:bottom w:val="none" w:sz="0" w:space="0" w:color="auto"/>
        <w:right w:val="none" w:sz="0" w:space="0" w:color="auto"/>
      </w:divBdr>
    </w:div>
    <w:div w:id="949118464">
      <w:bodyDiv w:val="1"/>
      <w:marLeft w:val="0"/>
      <w:marRight w:val="0"/>
      <w:marTop w:val="0"/>
      <w:marBottom w:val="0"/>
      <w:divBdr>
        <w:top w:val="none" w:sz="0" w:space="0" w:color="auto"/>
        <w:left w:val="none" w:sz="0" w:space="0" w:color="auto"/>
        <w:bottom w:val="none" w:sz="0" w:space="0" w:color="auto"/>
        <w:right w:val="none" w:sz="0" w:space="0" w:color="auto"/>
      </w:divBdr>
    </w:div>
    <w:div w:id="967276915">
      <w:bodyDiv w:val="1"/>
      <w:marLeft w:val="0"/>
      <w:marRight w:val="0"/>
      <w:marTop w:val="0"/>
      <w:marBottom w:val="0"/>
      <w:divBdr>
        <w:top w:val="none" w:sz="0" w:space="0" w:color="auto"/>
        <w:left w:val="none" w:sz="0" w:space="0" w:color="auto"/>
        <w:bottom w:val="none" w:sz="0" w:space="0" w:color="auto"/>
        <w:right w:val="none" w:sz="0" w:space="0" w:color="auto"/>
      </w:divBdr>
    </w:div>
    <w:div w:id="1047221448">
      <w:bodyDiv w:val="1"/>
      <w:marLeft w:val="0"/>
      <w:marRight w:val="0"/>
      <w:marTop w:val="0"/>
      <w:marBottom w:val="0"/>
      <w:divBdr>
        <w:top w:val="none" w:sz="0" w:space="0" w:color="auto"/>
        <w:left w:val="none" w:sz="0" w:space="0" w:color="auto"/>
        <w:bottom w:val="none" w:sz="0" w:space="0" w:color="auto"/>
        <w:right w:val="none" w:sz="0" w:space="0" w:color="auto"/>
      </w:divBdr>
    </w:div>
    <w:div w:id="1051684293">
      <w:bodyDiv w:val="1"/>
      <w:marLeft w:val="0"/>
      <w:marRight w:val="0"/>
      <w:marTop w:val="0"/>
      <w:marBottom w:val="0"/>
      <w:divBdr>
        <w:top w:val="none" w:sz="0" w:space="0" w:color="auto"/>
        <w:left w:val="none" w:sz="0" w:space="0" w:color="auto"/>
        <w:bottom w:val="none" w:sz="0" w:space="0" w:color="auto"/>
        <w:right w:val="none" w:sz="0" w:space="0" w:color="auto"/>
      </w:divBdr>
    </w:div>
    <w:div w:id="1094397422">
      <w:bodyDiv w:val="1"/>
      <w:marLeft w:val="0"/>
      <w:marRight w:val="0"/>
      <w:marTop w:val="0"/>
      <w:marBottom w:val="0"/>
      <w:divBdr>
        <w:top w:val="none" w:sz="0" w:space="0" w:color="auto"/>
        <w:left w:val="none" w:sz="0" w:space="0" w:color="auto"/>
        <w:bottom w:val="none" w:sz="0" w:space="0" w:color="auto"/>
        <w:right w:val="none" w:sz="0" w:space="0" w:color="auto"/>
      </w:divBdr>
    </w:div>
    <w:div w:id="1109278568">
      <w:bodyDiv w:val="1"/>
      <w:marLeft w:val="0"/>
      <w:marRight w:val="0"/>
      <w:marTop w:val="0"/>
      <w:marBottom w:val="0"/>
      <w:divBdr>
        <w:top w:val="none" w:sz="0" w:space="0" w:color="auto"/>
        <w:left w:val="none" w:sz="0" w:space="0" w:color="auto"/>
        <w:bottom w:val="none" w:sz="0" w:space="0" w:color="auto"/>
        <w:right w:val="none" w:sz="0" w:space="0" w:color="auto"/>
      </w:divBdr>
    </w:div>
    <w:div w:id="1192232342">
      <w:bodyDiv w:val="1"/>
      <w:marLeft w:val="0"/>
      <w:marRight w:val="0"/>
      <w:marTop w:val="0"/>
      <w:marBottom w:val="0"/>
      <w:divBdr>
        <w:top w:val="none" w:sz="0" w:space="0" w:color="auto"/>
        <w:left w:val="none" w:sz="0" w:space="0" w:color="auto"/>
        <w:bottom w:val="none" w:sz="0" w:space="0" w:color="auto"/>
        <w:right w:val="none" w:sz="0" w:space="0" w:color="auto"/>
      </w:divBdr>
    </w:div>
    <w:div w:id="1200049844">
      <w:bodyDiv w:val="1"/>
      <w:marLeft w:val="0"/>
      <w:marRight w:val="0"/>
      <w:marTop w:val="0"/>
      <w:marBottom w:val="0"/>
      <w:divBdr>
        <w:top w:val="none" w:sz="0" w:space="0" w:color="auto"/>
        <w:left w:val="none" w:sz="0" w:space="0" w:color="auto"/>
        <w:bottom w:val="none" w:sz="0" w:space="0" w:color="auto"/>
        <w:right w:val="none" w:sz="0" w:space="0" w:color="auto"/>
      </w:divBdr>
    </w:div>
    <w:div w:id="1288047432">
      <w:bodyDiv w:val="1"/>
      <w:marLeft w:val="0"/>
      <w:marRight w:val="0"/>
      <w:marTop w:val="0"/>
      <w:marBottom w:val="0"/>
      <w:divBdr>
        <w:top w:val="none" w:sz="0" w:space="0" w:color="auto"/>
        <w:left w:val="none" w:sz="0" w:space="0" w:color="auto"/>
        <w:bottom w:val="none" w:sz="0" w:space="0" w:color="auto"/>
        <w:right w:val="none" w:sz="0" w:space="0" w:color="auto"/>
      </w:divBdr>
    </w:div>
    <w:div w:id="1389107321">
      <w:bodyDiv w:val="1"/>
      <w:marLeft w:val="0"/>
      <w:marRight w:val="0"/>
      <w:marTop w:val="0"/>
      <w:marBottom w:val="0"/>
      <w:divBdr>
        <w:top w:val="none" w:sz="0" w:space="0" w:color="auto"/>
        <w:left w:val="none" w:sz="0" w:space="0" w:color="auto"/>
        <w:bottom w:val="none" w:sz="0" w:space="0" w:color="auto"/>
        <w:right w:val="none" w:sz="0" w:space="0" w:color="auto"/>
      </w:divBdr>
    </w:div>
    <w:div w:id="1405907501">
      <w:bodyDiv w:val="1"/>
      <w:marLeft w:val="0"/>
      <w:marRight w:val="0"/>
      <w:marTop w:val="0"/>
      <w:marBottom w:val="0"/>
      <w:divBdr>
        <w:top w:val="none" w:sz="0" w:space="0" w:color="auto"/>
        <w:left w:val="none" w:sz="0" w:space="0" w:color="auto"/>
        <w:bottom w:val="none" w:sz="0" w:space="0" w:color="auto"/>
        <w:right w:val="none" w:sz="0" w:space="0" w:color="auto"/>
      </w:divBdr>
    </w:div>
    <w:div w:id="1468820432">
      <w:bodyDiv w:val="1"/>
      <w:marLeft w:val="0"/>
      <w:marRight w:val="0"/>
      <w:marTop w:val="0"/>
      <w:marBottom w:val="0"/>
      <w:divBdr>
        <w:top w:val="none" w:sz="0" w:space="0" w:color="auto"/>
        <w:left w:val="none" w:sz="0" w:space="0" w:color="auto"/>
        <w:bottom w:val="none" w:sz="0" w:space="0" w:color="auto"/>
        <w:right w:val="none" w:sz="0" w:space="0" w:color="auto"/>
      </w:divBdr>
    </w:div>
    <w:div w:id="1609122559">
      <w:bodyDiv w:val="1"/>
      <w:marLeft w:val="0"/>
      <w:marRight w:val="0"/>
      <w:marTop w:val="0"/>
      <w:marBottom w:val="0"/>
      <w:divBdr>
        <w:top w:val="none" w:sz="0" w:space="0" w:color="auto"/>
        <w:left w:val="none" w:sz="0" w:space="0" w:color="auto"/>
        <w:bottom w:val="none" w:sz="0" w:space="0" w:color="auto"/>
        <w:right w:val="none" w:sz="0" w:space="0" w:color="auto"/>
      </w:divBdr>
    </w:div>
    <w:div w:id="1738671131">
      <w:bodyDiv w:val="1"/>
      <w:marLeft w:val="0"/>
      <w:marRight w:val="0"/>
      <w:marTop w:val="0"/>
      <w:marBottom w:val="0"/>
      <w:divBdr>
        <w:top w:val="none" w:sz="0" w:space="0" w:color="auto"/>
        <w:left w:val="none" w:sz="0" w:space="0" w:color="auto"/>
        <w:bottom w:val="none" w:sz="0" w:space="0" w:color="auto"/>
        <w:right w:val="none" w:sz="0" w:space="0" w:color="auto"/>
      </w:divBdr>
    </w:div>
    <w:div w:id="1798181692">
      <w:bodyDiv w:val="1"/>
      <w:marLeft w:val="0"/>
      <w:marRight w:val="0"/>
      <w:marTop w:val="0"/>
      <w:marBottom w:val="0"/>
      <w:divBdr>
        <w:top w:val="none" w:sz="0" w:space="0" w:color="auto"/>
        <w:left w:val="none" w:sz="0" w:space="0" w:color="auto"/>
        <w:bottom w:val="none" w:sz="0" w:space="0" w:color="auto"/>
        <w:right w:val="none" w:sz="0" w:space="0" w:color="auto"/>
      </w:divBdr>
    </w:div>
    <w:div w:id="1812944420">
      <w:bodyDiv w:val="1"/>
      <w:marLeft w:val="0"/>
      <w:marRight w:val="0"/>
      <w:marTop w:val="0"/>
      <w:marBottom w:val="0"/>
      <w:divBdr>
        <w:top w:val="none" w:sz="0" w:space="0" w:color="auto"/>
        <w:left w:val="none" w:sz="0" w:space="0" w:color="auto"/>
        <w:bottom w:val="none" w:sz="0" w:space="0" w:color="auto"/>
        <w:right w:val="none" w:sz="0" w:space="0" w:color="auto"/>
      </w:divBdr>
    </w:div>
    <w:div w:id="1940261665">
      <w:bodyDiv w:val="1"/>
      <w:marLeft w:val="0"/>
      <w:marRight w:val="0"/>
      <w:marTop w:val="0"/>
      <w:marBottom w:val="0"/>
      <w:divBdr>
        <w:top w:val="none" w:sz="0" w:space="0" w:color="auto"/>
        <w:left w:val="none" w:sz="0" w:space="0" w:color="auto"/>
        <w:bottom w:val="none" w:sz="0" w:space="0" w:color="auto"/>
        <w:right w:val="none" w:sz="0" w:space="0" w:color="auto"/>
      </w:divBdr>
    </w:div>
    <w:div w:id="2004896240">
      <w:bodyDiv w:val="1"/>
      <w:marLeft w:val="0"/>
      <w:marRight w:val="0"/>
      <w:marTop w:val="0"/>
      <w:marBottom w:val="0"/>
      <w:divBdr>
        <w:top w:val="none" w:sz="0" w:space="0" w:color="auto"/>
        <w:left w:val="none" w:sz="0" w:space="0" w:color="auto"/>
        <w:bottom w:val="none" w:sz="0" w:space="0" w:color="auto"/>
        <w:right w:val="none" w:sz="0" w:space="0" w:color="auto"/>
      </w:divBdr>
    </w:div>
    <w:div w:id="2048022965">
      <w:bodyDiv w:val="1"/>
      <w:marLeft w:val="0"/>
      <w:marRight w:val="0"/>
      <w:marTop w:val="0"/>
      <w:marBottom w:val="0"/>
      <w:divBdr>
        <w:top w:val="none" w:sz="0" w:space="0" w:color="auto"/>
        <w:left w:val="none" w:sz="0" w:space="0" w:color="auto"/>
        <w:bottom w:val="none" w:sz="0" w:space="0" w:color="auto"/>
        <w:right w:val="none" w:sz="0" w:space="0" w:color="auto"/>
      </w:divBdr>
    </w:div>
    <w:div w:id="21050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emf"/><Relationship Id="rId10" Type="http://schemas.openxmlformats.org/officeDocument/2006/relationships/chart" Target="charts/chart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theme" Target="theme/theme1.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mn-lt"/>
                <a:ea typeface="Arial"/>
                <a:cs typeface="Arial"/>
              </a:defRPr>
            </a:pPr>
            <a:r>
              <a:rPr lang="en-NZ" sz="1200">
                <a:latin typeface="+mn-lt"/>
              </a:rPr>
              <a:t>Actuarial</a:t>
            </a:r>
            <a:r>
              <a:rPr lang="en-NZ" sz="1200" baseline="0">
                <a:latin typeface="+mn-lt"/>
              </a:rPr>
              <a:t> Release</a:t>
            </a:r>
            <a:r>
              <a:rPr lang="en-NZ" sz="1200">
                <a:latin typeface="+mn-lt"/>
              </a:rPr>
              <a:t> Target - Progress to Target  2014-2018</a:t>
            </a:r>
          </a:p>
        </c:rich>
      </c:tx>
      <c:layout>
        <c:manualLayout>
          <c:xMode val="edge"/>
          <c:yMode val="edge"/>
          <c:x val="0.18593439658352989"/>
          <c:y val="3.4028676714130505E-2"/>
        </c:manualLayout>
      </c:layout>
      <c:spPr>
        <a:noFill/>
        <a:ln w="25400">
          <a:noFill/>
        </a:ln>
      </c:spPr>
    </c:title>
    <c:plotArea>
      <c:layout>
        <c:manualLayout>
          <c:layoutTarget val="inner"/>
          <c:xMode val="edge"/>
          <c:yMode val="edge"/>
          <c:x val="9.1847519060117483E-2"/>
          <c:y val="0.13302321359685948"/>
          <c:w val="0.87390592842561365"/>
          <c:h val="0.66472079878904045"/>
        </c:manualLayout>
      </c:layout>
      <c:barChart>
        <c:barDir val="col"/>
        <c:grouping val="clustered"/>
        <c:ser>
          <c:idx val="35"/>
          <c:order val="0"/>
          <c:tx>
            <c:v>Actual</c:v>
          </c:tx>
          <c:spPr>
            <a:solidFill>
              <a:srgbClr val="558ED5"/>
            </a:solidFill>
          </c:spPr>
          <c:cat>
            <c:numRef>
              <c:f>'Actuarial Release'!$A$2:$A$18</c:f>
              <c:numCache>
                <c:formatCode>mmm\-yy</c:formatCode>
                <c:ptCount val="17"/>
                <c:pt idx="0">
                  <c:v>41791</c:v>
                </c:pt>
                <c:pt idx="1">
                  <c:v>41883</c:v>
                </c:pt>
                <c:pt idx="2">
                  <c:v>41974</c:v>
                </c:pt>
                <c:pt idx="3">
                  <c:v>42064</c:v>
                </c:pt>
                <c:pt idx="4">
                  <c:v>42156</c:v>
                </c:pt>
                <c:pt idx="5">
                  <c:v>42248</c:v>
                </c:pt>
                <c:pt idx="6">
                  <c:v>42339</c:v>
                </c:pt>
                <c:pt idx="7">
                  <c:v>42430</c:v>
                </c:pt>
                <c:pt idx="8">
                  <c:v>42522</c:v>
                </c:pt>
                <c:pt idx="9">
                  <c:v>42614</c:v>
                </c:pt>
                <c:pt idx="10">
                  <c:v>42705</c:v>
                </c:pt>
                <c:pt idx="11">
                  <c:v>42795</c:v>
                </c:pt>
                <c:pt idx="12">
                  <c:v>42887</c:v>
                </c:pt>
                <c:pt idx="13">
                  <c:v>42979</c:v>
                </c:pt>
                <c:pt idx="14">
                  <c:v>43070</c:v>
                </c:pt>
                <c:pt idx="15">
                  <c:v>43160</c:v>
                </c:pt>
                <c:pt idx="16">
                  <c:v>43252</c:v>
                </c:pt>
              </c:numCache>
            </c:numRef>
          </c:cat>
          <c:val>
            <c:numRef>
              <c:f>'Actuarial Release'!$B$2:$B$18</c:f>
              <c:numCache>
                <c:formatCode>_("$"* #,##0_);_("$"* \(#,##0\);_("$"* "-"_);_(@_)</c:formatCode>
                <c:ptCount val="17"/>
                <c:pt idx="0">
                  <c:v>0</c:v>
                </c:pt>
                <c:pt idx="1">
                  <c:v>700000000</c:v>
                </c:pt>
                <c:pt idx="2">
                  <c:v>900000000</c:v>
                </c:pt>
                <c:pt idx="3">
                  <c:v>1500000000</c:v>
                </c:pt>
                <c:pt idx="4">
                  <c:v>2300000000</c:v>
                </c:pt>
                <c:pt idx="5">
                  <c:v>2490000000</c:v>
                </c:pt>
                <c:pt idx="6">
                  <c:v>2560000000</c:v>
                </c:pt>
                <c:pt idx="7">
                  <c:v>3600000000</c:v>
                </c:pt>
                <c:pt idx="8">
                  <c:v>3800000000</c:v>
                </c:pt>
                <c:pt idx="9">
                  <c:v>4100000000</c:v>
                </c:pt>
                <c:pt idx="10">
                  <c:v>4000000000</c:v>
                </c:pt>
              </c:numCache>
            </c:numRef>
          </c:val>
        </c:ser>
        <c:ser>
          <c:idx val="1"/>
          <c:order val="1"/>
          <c:tx>
            <c:v>Forecast</c:v>
          </c:tx>
          <c:spPr>
            <a:noFill/>
            <a:ln w="25400">
              <a:solidFill>
                <a:srgbClr val="4F81BD"/>
              </a:solidFill>
              <a:prstDash val="sysDash"/>
            </a:ln>
          </c:spPr>
          <c:val>
            <c:numRef>
              <c:f>'Actuarial Release'!$D$2:$D$18</c:f>
              <c:numCache>
                <c:formatCode>General</c:formatCode>
                <c:ptCount val="17"/>
                <c:pt idx="11" formatCode="_(&quot;$&quot;* #,##0_);_(&quot;$&quot;* \(#,##0\);_(&quot;$&quot;* &quot;-&quot;_);_(@_)">
                  <c:v>5000000000</c:v>
                </c:pt>
                <c:pt idx="12" formatCode="_(&quot;$&quot;* #,##0_);_(&quot;$&quot;* \(#,##0\);_(&quot;$&quot;* &quot;-&quot;_);_(@_)">
                  <c:v>5600000000</c:v>
                </c:pt>
                <c:pt idx="13" formatCode="_(&quot;$&quot;* #,##0_);_(&quot;$&quot;* \(#,##0\);_(&quot;$&quot;* &quot;-&quot;_);_(@_)">
                  <c:v>5500000000</c:v>
                </c:pt>
                <c:pt idx="14" formatCode="_(&quot;$&quot;* #,##0_);_(&quot;$&quot;* \(#,##0\);_(&quot;$&quot;* &quot;-&quot;_);_(@_)">
                  <c:v>4700000000</c:v>
                </c:pt>
                <c:pt idx="15" formatCode="_(&quot;$&quot;* #,##0_);_(&quot;$&quot;* \(#,##0\);_(&quot;$&quot;* &quot;-&quot;_);_(@_)">
                  <c:v>5000000000</c:v>
                </c:pt>
                <c:pt idx="16" formatCode="_(&quot;$&quot;* #,##0_);_(&quot;$&quot;* \(#,##0\);_(&quot;$&quot;* &quot;-&quot;_);_(@_)">
                  <c:v>6300000000</c:v>
                </c:pt>
              </c:numCache>
            </c:numRef>
          </c:val>
        </c:ser>
        <c:gapWidth val="58"/>
        <c:axId val="159378048"/>
        <c:axId val="159666560"/>
      </c:barChart>
      <c:catAx>
        <c:axId val="159378048"/>
        <c:scaling>
          <c:orientation val="minMax"/>
        </c:scaling>
        <c:axPos val="b"/>
        <c:numFmt formatCode="mmm\ yy" sourceLinked="0"/>
        <c:tickLblPos val="nextTo"/>
        <c:spPr>
          <a:ln w="3175">
            <a:solidFill>
              <a:srgbClr val="000000"/>
            </a:solidFill>
            <a:prstDash val="solid"/>
          </a:ln>
        </c:spPr>
        <c:txPr>
          <a:bodyPr rot="-5400000" vert="horz"/>
          <a:lstStyle/>
          <a:p>
            <a:pPr>
              <a:defRPr sz="800" b="0" i="0" u="none" strike="noStrike" baseline="0">
                <a:solidFill>
                  <a:srgbClr val="000000"/>
                </a:solidFill>
                <a:latin typeface="+mn-lt"/>
                <a:ea typeface="Arial"/>
                <a:cs typeface="Arial"/>
              </a:defRPr>
            </a:pPr>
            <a:endParaRPr lang="en-US"/>
          </a:p>
        </c:txPr>
        <c:crossAx val="159666560"/>
        <c:crosses val="autoZero"/>
        <c:lblAlgn val="ctr"/>
        <c:lblOffset val="100"/>
        <c:tickLblSkip val="1"/>
        <c:tickMarkSkip val="1"/>
      </c:catAx>
      <c:valAx>
        <c:axId val="159666560"/>
        <c:scaling>
          <c:orientation val="minMax"/>
          <c:max val="13000000000"/>
          <c:min val="0"/>
        </c:scaling>
        <c:axPos val="l"/>
        <c:majorGridlines>
          <c:spPr>
            <a:ln w="3175">
              <a:noFill/>
              <a:prstDash val="sysDash"/>
            </a:ln>
          </c:spPr>
        </c:majorGridlines>
        <c:numFmt formatCode="_(&quot;$&quot;* #,##0_);_(&quot;$&quot;* \(#,##0\);_(&quot;$&quot;* &quot;-&quot;_);_(@_)" sourceLinked="0"/>
        <c:tickLblPos val="nextTo"/>
        <c:spPr>
          <a:ln w="3175">
            <a:solidFill>
              <a:srgbClr val="000000"/>
            </a:solidFill>
            <a:prstDash val="solid"/>
          </a:ln>
        </c:spPr>
        <c:txPr>
          <a:bodyPr rot="0" vert="horz"/>
          <a:lstStyle/>
          <a:p>
            <a:pPr>
              <a:defRPr sz="800" b="0" i="0" u="none" strike="noStrike" baseline="0">
                <a:solidFill>
                  <a:srgbClr val="000000"/>
                </a:solidFill>
                <a:latin typeface="+mn-lt"/>
                <a:ea typeface="Arial"/>
                <a:cs typeface="Arial"/>
              </a:defRPr>
            </a:pPr>
            <a:endParaRPr lang="en-US"/>
          </a:p>
        </c:txPr>
        <c:crossAx val="159378048"/>
        <c:crosses val="autoZero"/>
        <c:crossBetween val="between"/>
        <c:majorUnit val="1000000000"/>
        <c:dispUnits>
          <c:builtInUnit val="billions"/>
          <c:dispUnitsLbl/>
        </c:dispUnits>
      </c:valAx>
      <c:spPr>
        <a:noFill/>
        <a:ln w="25400">
          <a:noFill/>
        </a:ln>
      </c:spPr>
    </c:plotArea>
    <c:legend>
      <c:legendPos val="b"/>
    </c:legend>
    <c:plotVisOnly val="1"/>
    <c:dispBlanksAs val="gap"/>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mn-lt"/>
                <a:ea typeface="Arial"/>
                <a:cs typeface="Arial"/>
              </a:defRPr>
            </a:pPr>
            <a:r>
              <a:rPr lang="en-NZ" sz="1200">
                <a:latin typeface="+mn-lt"/>
              </a:rPr>
              <a:t>New BPS Target - Progress to Target  2005-2018</a:t>
            </a:r>
          </a:p>
        </c:rich>
      </c:tx>
      <c:layout>
        <c:manualLayout>
          <c:xMode val="edge"/>
          <c:yMode val="edge"/>
          <c:x val="0.23133427569607964"/>
          <c:y val="4.1083361512326319E-2"/>
        </c:manualLayout>
      </c:layout>
      <c:spPr>
        <a:noFill/>
        <a:ln w="25400">
          <a:noFill/>
        </a:ln>
      </c:spPr>
    </c:title>
    <c:plotArea>
      <c:layout>
        <c:manualLayout>
          <c:layoutTarget val="inner"/>
          <c:xMode val="edge"/>
          <c:yMode val="edge"/>
          <c:x val="0.10794635310345825"/>
          <c:y val="0.14529314203822694"/>
          <c:w val="0.90776842474531116"/>
          <c:h val="0.68506223531874466"/>
        </c:manualLayout>
      </c:layout>
      <c:barChart>
        <c:barDir val="col"/>
        <c:grouping val="clustered"/>
        <c:ser>
          <c:idx val="0"/>
          <c:order val="0"/>
          <c:tx>
            <c:v>Actual</c:v>
          </c:tx>
          <c:cat>
            <c:numRef>
              <c:f>'Projected numbers'!$A$2:$A$52</c:f>
              <c:numCache>
                <c:formatCode>mmm\-yy</c:formatCode>
                <c:ptCount val="51"/>
                <c:pt idx="0">
                  <c:v>38687</c:v>
                </c:pt>
                <c:pt idx="1">
                  <c:v>38777</c:v>
                </c:pt>
                <c:pt idx="2">
                  <c:v>38869</c:v>
                </c:pt>
                <c:pt idx="3">
                  <c:v>38961</c:v>
                </c:pt>
                <c:pt idx="4">
                  <c:v>39052</c:v>
                </c:pt>
                <c:pt idx="5">
                  <c:v>39142</c:v>
                </c:pt>
                <c:pt idx="6">
                  <c:v>39234</c:v>
                </c:pt>
                <c:pt idx="7">
                  <c:v>39326</c:v>
                </c:pt>
                <c:pt idx="8">
                  <c:v>39417</c:v>
                </c:pt>
                <c:pt idx="9">
                  <c:v>39508</c:v>
                </c:pt>
                <c:pt idx="10">
                  <c:v>39600</c:v>
                </c:pt>
                <c:pt idx="11">
                  <c:v>39692</c:v>
                </c:pt>
                <c:pt idx="12">
                  <c:v>39783</c:v>
                </c:pt>
                <c:pt idx="13">
                  <c:v>39873</c:v>
                </c:pt>
                <c:pt idx="14">
                  <c:v>39965</c:v>
                </c:pt>
                <c:pt idx="15">
                  <c:v>40057</c:v>
                </c:pt>
                <c:pt idx="16">
                  <c:v>40148</c:v>
                </c:pt>
                <c:pt idx="17">
                  <c:v>40238</c:v>
                </c:pt>
                <c:pt idx="18">
                  <c:v>40330</c:v>
                </c:pt>
                <c:pt idx="19">
                  <c:v>40422</c:v>
                </c:pt>
                <c:pt idx="20">
                  <c:v>40513</c:v>
                </c:pt>
                <c:pt idx="21">
                  <c:v>40603</c:v>
                </c:pt>
                <c:pt idx="22">
                  <c:v>40695</c:v>
                </c:pt>
                <c:pt idx="23">
                  <c:v>40787</c:v>
                </c:pt>
                <c:pt idx="24">
                  <c:v>40878</c:v>
                </c:pt>
                <c:pt idx="25">
                  <c:v>40969</c:v>
                </c:pt>
                <c:pt idx="26">
                  <c:v>41061</c:v>
                </c:pt>
                <c:pt idx="27">
                  <c:v>41153</c:v>
                </c:pt>
                <c:pt idx="28">
                  <c:v>41244</c:v>
                </c:pt>
                <c:pt idx="29">
                  <c:v>41334</c:v>
                </c:pt>
                <c:pt idx="30">
                  <c:v>41426</c:v>
                </c:pt>
                <c:pt idx="31">
                  <c:v>41518</c:v>
                </c:pt>
                <c:pt idx="32">
                  <c:v>41609</c:v>
                </c:pt>
                <c:pt idx="33">
                  <c:v>41699</c:v>
                </c:pt>
                <c:pt idx="34">
                  <c:v>41791</c:v>
                </c:pt>
                <c:pt idx="35">
                  <c:v>41883</c:v>
                </c:pt>
                <c:pt idx="36">
                  <c:v>41974</c:v>
                </c:pt>
                <c:pt idx="37">
                  <c:v>42064</c:v>
                </c:pt>
                <c:pt idx="38">
                  <c:v>42156</c:v>
                </c:pt>
                <c:pt idx="39">
                  <c:v>42248</c:v>
                </c:pt>
                <c:pt idx="40">
                  <c:v>42339</c:v>
                </c:pt>
                <c:pt idx="41">
                  <c:v>42430</c:v>
                </c:pt>
                <c:pt idx="42">
                  <c:v>42522</c:v>
                </c:pt>
                <c:pt idx="43">
                  <c:v>42614</c:v>
                </c:pt>
                <c:pt idx="44">
                  <c:v>42705</c:v>
                </c:pt>
                <c:pt idx="45">
                  <c:v>42795</c:v>
                </c:pt>
                <c:pt idx="46">
                  <c:v>42887</c:v>
                </c:pt>
                <c:pt idx="47">
                  <c:v>42979</c:v>
                </c:pt>
                <c:pt idx="48">
                  <c:v>43070</c:v>
                </c:pt>
                <c:pt idx="49">
                  <c:v>43160</c:v>
                </c:pt>
                <c:pt idx="50">
                  <c:v>43252</c:v>
                </c:pt>
              </c:numCache>
            </c:numRef>
          </c:cat>
          <c:val>
            <c:numRef>
              <c:f>'Projected numbers'!$B$2:$B$52</c:f>
              <c:numCache>
                <c:formatCode>#,##0</c:formatCode>
                <c:ptCount val="51"/>
                <c:pt idx="0">
                  <c:v>292774</c:v>
                </c:pt>
                <c:pt idx="1">
                  <c:v>286722</c:v>
                </c:pt>
                <c:pt idx="2">
                  <c:v>283444</c:v>
                </c:pt>
                <c:pt idx="3">
                  <c:v>285187</c:v>
                </c:pt>
                <c:pt idx="4">
                  <c:v>281603</c:v>
                </c:pt>
                <c:pt idx="5">
                  <c:v>268425</c:v>
                </c:pt>
                <c:pt idx="6">
                  <c:v>263607</c:v>
                </c:pt>
                <c:pt idx="7">
                  <c:v>265888</c:v>
                </c:pt>
                <c:pt idx="8">
                  <c:v>266187</c:v>
                </c:pt>
                <c:pt idx="9">
                  <c:v>258456</c:v>
                </c:pt>
                <c:pt idx="10">
                  <c:v>261125</c:v>
                </c:pt>
                <c:pt idx="11">
                  <c:v>272697</c:v>
                </c:pt>
                <c:pt idx="12">
                  <c:v>282075</c:v>
                </c:pt>
                <c:pt idx="13">
                  <c:v>292164</c:v>
                </c:pt>
                <c:pt idx="14">
                  <c:v>313609</c:v>
                </c:pt>
                <c:pt idx="15">
                  <c:v>330326</c:v>
                </c:pt>
                <c:pt idx="16">
                  <c:v>336773</c:v>
                </c:pt>
                <c:pt idx="17">
                  <c:v>327773</c:v>
                </c:pt>
                <c:pt idx="18">
                  <c:v>335893</c:v>
                </c:pt>
                <c:pt idx="19">
                  <c:v>341271</c:v>
                </c:pt>
                <c:pt idx="20">
                  <c:v>340261</c:v>
                </c:pt>
                <c:pt idx="21">
                  <c:v>331131</c:v>
                </c:pt>
                <c:pt idx="22">
                  <c:v>327155</c:v>
                </c:pt>
                <c:pt idx="23">
                  <c:v>328279</c:v>
                </c:pt>
                <c:pt idx="24">
                  <c:v>331687</c:v>
                </c:pt>
                <c:pt idx="25">
                  <c:v>322806</c:v>
                </c:pt>
                <c:pt idx="26">
                  <c:v>319580</c:v>
                </c:pt>
                <c:pt idx="27">
                  <c:v>320699</c:v>
                </c:pt>
                <c:pt idx="28">
                  <c:v>321000</c:v>
                </c:pt>
                <c:pt idx="29">
                  <c:v>309966</c:v>
                </c:pt>
                <c:pt idx="30">
                  <c:v>309261</c:v>
                </c:pt>
                <c:pt idx="31">
                  <c:v>304093</c:v>
                </c:pt>
                <c:pt idx="32">
                  <c:v>306139</c:v>
                </c:pt>
                <c:pt idx="33">
                  <c:v>295130</c:v>
                </c:pt>
                <c:pt idx="34">
                  <c:v>293092</c:v>
                </c:pt>
                <c:pt idx="35">
                  <c:v>294184</c:v>
                </c:pt>
                <c:pt idx="36">
                  <c:v>295136</c:v>
                </c:pt>
                <c:pt idx="37">
                  <c:v>284122</c:v>
                </c:pt>
                <c:pt idx="38">
                  <c:v>284960</c:v>
                </c:pt>
                <c:pt idx="39">
                  <c:v>286939</c:v>
                </c:pt>
                <c:pt idx="40">
                  <c:v>288961</c:v>
                </c:pt>
                <c:pt idx="41">
                  <c:v>279769</c:v>
                </c:pt>
                <c:pt idx="42">
                  <c:v>279806</c:v>
                </c:pt>
                <c:pt idx="43">
                  <c:v>283760</c:v>
                </c:pt>
                <c:pt idx="44">
                  <c:v>286590</c:v>
                </c:pt>
              </c:numCache>
            </c:numRef>
          </c:val>
        </c:ser>
        <c:gapWidth val="120"/>
        <c:overlap val="-49"/>
        <c:axId val="176112000"/>
        <c:axId val="176113920"/>
      </c:barChart>
      <c:lineChart>
        <c:grouping val="standard"/>
        <c:ser>
          <c:idx val="3"/>
          <c:order val="1"/>
          <c:tx>
            <c:v>June 2018 Target</c:v>
          </c:tx>
          <c:spPr>
            <a:ln w="19050">
              <a:solidFill>
                <a:srgbClr val="FFC000"/>
              </a:solidFill>
              <a:prstDash val="dash"/>
            </a:ln>
          </c:spPr>
          <c:marker>
            <c:symbol val="none"/>
          </c:marker>
          <c:val>
            <c:numRef>
              <c:f>'Projected numbers'!$F$2:$F$52</c:f>
              <c:numCache>
                <c:formatCode>General</c:formatCode>
                <c:ptCount val="51"/>
                <c:pt idx="0">
                  <c:v>220000</c:v>
                </c:pt>
                <c:pt idx="1">
                  <c:v>220000</c:v>
                </c:pt>
                <c:pt idx="2">
                  <c:v>220000</c:v>
                </c:pt>
                <c:pt idx="3">
                  <c:v>220000</c:v>
                </c:pt>
                <c:pt idx="4">
                  <c:v>220000</c:v>
                </c:pt>
                <c:pt idx="5">
                  <c:v>220000</c:v>
                </c:pt>
                <c:pt idx="6">
                  <c:v>220000</c:v>
                </c:pt>
                <c:pt idx="7">
                  <c:v>220000</c:v>
                </c:pt>
                <c:pt idx="8">
                  <c:v>220000</c:v>
                </c:pt>
                <c:pt idx="9">
                  <c:v>220000</c:v>
                </c:pt>
                <c:pt idx="10">
                  <c:v>220000</c:v>
                </c:pt>
                <c:pt idx="11">
                  <c:v>220000</c:v>
                </c:pt>
                <c:pt idx="12">
                  <c:v>220000</c:v>
                </c:pt>
                <c:pt idx="13">
                  <c:v>220000</c:v>
                </c:pt>
                <c:pt idx="14">
                  <c:v>220000</c:v>
                </c:pt>
                <c:pt idx="15">
                  <c:v>220000</c:v>
                </c:pt>
                <c:pt idx="16">
                  <c:v>220000</c:v>
                </c:pt>
                <c:pt idx="17">
                  <c:v>220000</c:v>
                </c:pt>
                <c:pt idx="18">
                  <c:v>220000</c:v>
                </c:pt>
                <c:pt idx="19">
                  <c:v>220000</c:v>
                </c:pt>
                <c:pt idx="20">
                  <c:v>220000</c:v>
                </c:pt>
                <c:pt idx="21">
                  <c:v>220000</c:v>
                </c:pt>
                <c:pt idx="22">
                  <c:v>220000</c:v>
                </c:pt>
                <c:pt idx="23">
                  <c:v>220000</c:v>
                </c:pt>
                <c:pt idx="24">
                  <c:v>220000</c:v>
                </c:pt>
                <c:pt idx="25">
                  <c:v>220000</c:v>
                </c:pt>
                <c:pt idx="26">
                  <c:v>220000</c:v>
                </c:pt>
                <c:pt idx="27">
                  <c:v>220000</c:v>
                </c:pt>
                <c:pt idx="28">
                  <c:v>220000</c:v>
                </c:pt>
                <c:pt idx="29">
                  <c:v>220000</c:v>
                </c:pt>
                <c:pt idx="30">
                  <c:v>220000</c:v>
                </c:pt>
                <c:pt idx="31">
                  <c:v>220000</c:v>
                </c:pt>
                <c:pt idx="32">
                  <c:v>220000</c:v>
                </c:pt>
                <c:pt idx="33">
                  <c:v>220000</c:v>
                </c:pt>
                <c:pt idx="34">
                  <c:v>220000</c:v>
                </c:pt>
                <c:pt idx="35">
                  <c:v>220000</c:v>
                </c:pt>
                <c:pt idx="36">
                  <c:v>220000</c:v>
                </c:pt>
                <c:pt idx="37">
                  <c:v>220000</c:v>
                </c:pt>
                <c:pt idx="38">
                  <c:v>220000</c:v>
                </c:pt>
                <c:pt idx="39">
                  <c:v>220000</c:v>
                </c:pt>
                <c:pt idx="40">
                  <c:v>220000</c:v>
                </c:pt>
                <c:pt idx="41">
                  <c:v>220000</c:v>
                </c:pt>
                <c:pt idx="42">
                  <c:v>220000</c:v>
                </c:pt>
                <c:pt idx="43">
                  <c:v>220000</c:v>
                </c:pt>
                <c:pt idx="44">
                  <c:v>220000</c:v>
                </c:pt>
                <c:pt idx="45">
                  <c:v>220000</c:v>
                </c:pt>
                <c:pt idx="46">
                  <c:v>220000</c:v>
                </c:pt>
                <c:pt idx="47">
                  <c:v>220000</c:v>
                </c:pt>
                <c:pt idx="48">
                  <c:v>220000</c:v>
                </c:pt>
                <c:pt idx="49">
                  <c:v>220000</c:v>
                </c:pt>
                <c:pt idx="50">
                  <c:v>220000</c:v>
                </c:pt>
              </c:numCache>
            </c:numRef>
          </c:val>
        </c:ser>
        <c:ser>
          <c:idx val="4"/>
          <c:order val="2"/>
          <c:tx>
            <c:v>Forecast</c:v>
          </c:tx>
          <c:marker>
            <c:symbol val="none"/>
          </c:marker>
          <c:val>
            <c:numRef>
              <c:f>'Projected numbers'!$D$2:$D$52</c:f>
              <c:numCache>
                <c:formatCode>General</c:formatCode>
                <c:ptCount val="51"/>
                <c:pt idx="44" formatCode="#,##0">
                  <c:v>286590</c:v>
                </c:pt>
                <c:pt idx="45" formatCode="#,##0">
                  <c:v>280989.73763772711</c:v>
                </c:pt>
                <c:pt idx="46" formatCode="#,##0">
                  <c:v>277085.42493834597</c:v>
                </c:pt>
                <c:pt idx="47" formatCode="#,##0">
                  <c:v>278817.58973486087</c:v>
                </c:pt>
                <c:pt idx="48" formatCode="#,##0">
                  <c:v>285208.80435285362</c:v>
                </c:pt>
                <c:pt idx="49" formatCode="#,##0">
                  <c:v>283148.75214655086</c:v>
                </c:pt>
                <c:pt idx="50" formatCode="#,##0">
                  <c:v>275616.73913471331</c:v>
                </c:pt>
              </c:numCache>
            </c:numRef>
          </c:val>
        </c:ser>
        <c:marker val="1"/>
        <c:axId val="176112000"/>
        <c:axId val="176113920"/>
      </c:lineChart>
      <c:catAx>
        <c:axId val="176112000"/>
        <c:scaling>
          <c:orientation val="minMax"/>
        </c:scaling>
        <c:axPos val="b"/>
        <c:numFmt formatCode="mmm\ yy" sourceLinked="0"/>
        <c:tickLblPos val="nextTo"/>
        <c:spPr>
          <a:ln w="3175">
            <a:solidFill>
              <a:srgbClr val="000000"/>
            </a:solidFill>
            <a:prstDash val="solid"/>
          </a:ln>
        </c:spPr>
        <c:txPr>
          <a:bodyPr rot="0" vert="horz"/>
          <a:lstStyle/>
          <a:p>
            <a:pPr>
              <a:defRPr sz="800" b="0" i="0" u="none" strike="noStrike" baseline="0">
                <a:solidFill>
                  <a:srgbClr val="000000"/>
                </a:solidFill>
                <a:latin typeface="+mn-lt"/>
                <a:ea typeface="Arial"/>
                <a:cs typeface="Arial"/>
              </a:defRPr>
            </a:pPr>
            <a:endParaRPr lang="en-US"/>
          </a:p>
        </c:txPr>
        <c:crossAx val="176113920"/>
        <c:crosses val="autoZero"/>
        <c:lblAlgn val="ctr"/>
        <c:lblOffset val="100"/>
        <c:tickLblSkip val="4"/>
        <c:tickMarkSkip val="1"/>
      </c:catAx>
      <c:valAx>
        <c:axId val="176113920"/>
        <c:scaling>
          <c:orientation val="minMax"/>
          <c:max val="350000"/>
          <c:min val="200000"/>
        </c:scaling>
        <c:axPos val="l"/>
        <c:majorGridlines>
          <c:spPr>
            <a:ln w="3175">
              <a:noFill/>
              <a:prstDash val="sysDash"/>
            </a:ln>
          </c:spPr>
        </c:majorGridlines>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mn-lt"/>
                <a:ea typeface="Arial"/>
                <a:cs typeface="Arial"/>
              </a:defRPr>
            </a:pPr>
            <a:endParaRPr lang="en-US"/>
          </a:p>
        </c:txPr>
        <c:crossAx val="176112000"/>
        <c:crosses val="autoZero"/>
        <c:crossBetween val="between"/>
      </c:valAx>
      <c:spPr>
        <a:noFill/>
        <a:ln w="25400">
          <a:noFill/>
        </a:ln>
      </c:spPr>
    </c:plotArea>
    <c:legend>
      <c:legendPos val="b"/>
      <c:layout>
        <c:manualLayout>
          <c:xMode val="edge"/>
          <c:yMode val="edge"/>
          <c:x val="5.514710935926851E-2"/>
          <c:y val="0.91474196093586468"/>
          <c:w val="0.89999987942350024"/>
          <c:h val="6.0718161763521905E-2"/>
        </c:manualLayout>
      </c:layout>
    </c:legend>
    <c:plotVisOnly val="1"/>
    <c:dispBlanksAs val="gap"/>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0.69483</cdr:x>
      <cdr:y>0.08495</cdr:y>
    </cdr:from>
    <cdr:to>
      <cdr:x>0.99927</cdr:x>
      <cdr:y>0.1549</cdr:y>
    </cdr:to>
    <cdr:sp macro="" textlink="">
      <cdr:nvSpPr>
        <cdr:cNvPr id="3" name="Rectangle 2"/>
        <cdr:cNvSpPr/>
      </cdr:nvSpPr>
      <cdr:spPr>
        <a:xfrm xmlns:a="http://schemas.openxmlformats.org/drawingml/2006/main">
          <a:off x="3634740" y="259080"/>
          <a:ext cx="1592580" cy="2133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a:r>
            <a:rPr lang="en-US" sz="800" b="1">
              <a:solidFill>
                <a:sysClr val="windowText" lastClr="000000"/>
              </a:solidFill>
            </a:rPr>
            <a:t>$13.2 billion target</a:t>
          </a:r>
          <a:r>
            <a:rPr lang="en-US" sz="800" b="1" baseline="0">
              <a:solidFill>
                <a:sysClr val="windowText" lastClr="000000"/>
              </a:solidFill>
            </a:rPr>
            <a:t> to June 2018</a:t>
          </a:r>
          <a:endParaRPr lang="en-US" sz="800" b="1">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D813-9D6C-43E2-868E-2D5C6FBD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7113</Words>
  <Characters>40547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Ernst</dc:creator>
  <cp:lastModifiedBy>elvis</cp:lastModifiedBy>
  <cp:revision>2</cp:revision>
  <cp:lastPrinted>2017-05-04T01:52:00Z</cp:lastPrinted>
  <dcterms:created xsi:type="dcterms:W3CDTF">2017-07-27T00:25:00Z</dcterms:created>
  <dcterms:modified xsi:type="dcterms:W3CDTF">2017-07-27T00:25:00Z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A9619491</vt:lpwstr>
  </property>
  <property fmtid="{D5CDD505-2E9C-101B-9397-08002B2CF9AE}" pid="4" name="Objective-Title">
    <vt:lpwstr>Service Delivery Investment Strategy 2017-18 (Final 24 May 2017)</vt:lpwstr>
  </property>
  <property fmtid="{D5CDD505-2E9C-101B-9397-08002B2CF9AE}" pid="5" name="Objective-Comment">
    <vt:lpwstr/>
  </property>
  <property fmtid="{D5CDD505-2E9C-101B-9397-08002B2CF9AE}" pid="6" name="Objective-CreationStamp">
    <vt:filetime>2017-05-04T01:17:16Z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2017-05-24T04:40:37Z</vt:filetime>
  </property>
  <property fmtid="{D5CDD505-2E9C-101B-9397-08002B2CF9AE}" pid="11" name="Objective-Owner">
    <vt:lpwstr>Freddy Ernst</vt:lpwstr>
  </property>
  <property fmtid="{D5CDD505-2E9C-101B-9397-08002B2CF9AE}" pid="12" name="Objective-Path">
    <vt:lpwstr>Global Folder:MSD INFORMATION REPOSITORY:Social Services Policy:Benefit Administration &amp; Design:Benefit Design:Response to Welfare Working Group:Joint MSD and Treasury Response to Welfare Working Group - Welfare Reform:Welfare Reform Workstreams (post Aug</vt:lpwstr>
  </property>
  <property fmtid="{D5CDD505-2E9C-101B-9397-08002B2CF9AE}" pid="13" name="Objective-Parent">
    <vt:lpwstr>2017/18 Programme</vt:lpwstr>
  </property>
  <property fmtid="{D5CDD505-2E9C-101B-9397-08002B2CF9AE}" pid="14" name="Objective-State">
    <vt:lpwstr>Being Drafted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