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2591" w14:textId="77777777" w:rsidR="00E4358E" w:rsidRDefault="00E4358E">
      <w:pPr>
        <w:pStyle w:val="BodyText"/>
        <w:rPr>
          <w:rFonts w:ascii="Times New Roman"/>
          <w:sz w:val="72"/>
        </w:rPr>
      </w:pPr>
    </w:p>
    <w:p w14:paraId="72AE2415" w14:textId="77777777" w:rsidR="00E4358E" w:rsidRDefault="00D17204">
      <w:pPr>
        <w:pStyle w:val="Title"/>
      </w:pPr>
      <w:r>
        <w:rPr>
          <w:color w:val="ACACAC"/>
          <w:spacing w:val="-2"/>
          <w:w w:val="115"/>
        </w:rPr>
        <w:t>Coversheet</w:t>
      </w:r>
    </w:p>
    <w:p w14:paraId="1DAB35F0" w14:textId="77777777" w:rsidR="00E4358E" w:rsidRDefault="00D17204">
      <w:pPr>
        <w:spacing w:before="115" w:line="225" w:lineRule="auto"/>
        <w:ind w:left="1138"/>
        <w:rPr>
          <w:b/>
          <w:sz w:val="21"/>
        </w:rPr>
      </w:pPr>
      <w:r>
        <w:br w:type="column"/>
      </w:r>
      <w:r>
        <w:rPr>
          <w:b/>
          <w:color w:val="3D413F"/>
          <w:w w:val="110"/>
          <w:sz w:val="21"/>
        </w:rPr>
        <w:t>MINISTRY</w:t>
      </w:r>
      <w:r>
        <w:rPr>
          <w:b/>
          <w:color w:val="3D413F"/>
          <w:spacing w:val="-17"/>
          <w:w w:val="110"/>
          <w:sz w:val="21"/>
        </w:rPr>
        <w:t xml:space="preserve"> </w:t>
      </w:r>
      <w:r>
        <w:rPr>
          <w:b/>
          <w:color w:val="3D413F"/>
          <w:w w:val="110"/>
          <w:sz w:val="21"/>
        </w:rPr>
        <w:t>OF</w:t>
      </w:r>
      <w:r>
        <w:rPr>
          <w:b/>
          <w:color w:val="3D413F"/>
          <w:spacing w:val="-16"/>
          <w:w w:val="110"/>
          <w:sz w:val="21"/>
        </w:rPr>
        <w:t xml:space="preserve"> </w:t>
      </w:r>
      <w:r>
        <w:rPr>
          <w:b/>
          <w:color w:val="3D413F"/>
          <w:w w:val="110"/>
          <w:sz w:val="21"/>
        </w:rPr>
        <w:t xml:space="preserve">SOCIAL </w:t>
      </w:r>
      <w:r>
        <w:rPr>
          <w:b/>
          <w:color w:val="3D413F"/>
          <w:spacing w:val="-2"/>
          <w:w w:val="110"/>
          <w:sz w:val="21"/>
        </w:rPr>
        <w:t>DEVELOPMENT</w:t>
      </w:r>
    </w:p>
    <w:p w14:paraId="4C40F8DA" w14:textId="77777777" w:rsidR="00E4358E" w:rsidRDefault="00D17204">
      <w:pPr>
        <w:spacing w:before="22"/>
        <w:ind w:left="1141"/>
        <w:rPr>
          <w:sz w:val="1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02491C" wp14:editId="71BB7E20">
            <wp:simplePos x="0" y="0"/>
            <wp:positionH relativeFrom="page">
              <wp:posOffset>4603791</wp:posOffset>
            </wp:positionH>
            <wp:positionV relativeFrom="paragraph">
              <wp:posOffset>-363121</wp:posOffset>
            </wp:positionV>
            <wp:extent cx="549524" cy="5126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4" cy="512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D5B"/>
          <w:w w:val="115"/>
          <w:sz w:val="12"/>
        </w:rPr>
        <w:t>TE</w:t>
      </w:r>
      <w:r>
        <w:rPr>
          <w:color w:val="595D5B"/>
          <w:spacing w:val="14"/>
          <w:w w:val="115"/>
          <w:sz w:val="12"/>
        </w:rPr>
        <w:t xml:space="preserve"> </w:t>
      </w:r>
      <w:r>
        <w:rPr>
          <w:color w:val="595D5B"/>
          <w:w w:val="115"/>
          <w:sz w:val="12"/>
        </w:rPr>
        <w:t>MANAT0</w:t>
      </w:r>
      <w:r>
        <w:rPr>
          <w:color w:val="595D5B"/>
          <w:spacing w:val="23"/>
          <w:w w:val="115"/>
          <w:sz w:val="12"/>
        </w:rPr>
        <w:t xml:space="preserve"> </w:t>
      </w:r>
      <w:r>
        <w:rPr>
          <w:color w:val="595D5B"/>
          <w:w w:val="115"/>
          <w:sz w:val="12"/>
        </w:rPr>
        <w:t>WHAKAHIATO</w:t>
      </w:r>
      <w:r>
        <w:rPr>
          <w:color w:val="595D5B"/>
          <w:spacing w:val="19"/>
          <w:w w:val="115"/>
          <w:sz w:val="12"/>
        </w:rPr>
        <w:t xml:space="preserve"> </w:t>
      </w:r>
      <w:r>
        <w:rPr>
          <w:color w:val="595D5B"/>
          <w:spacing w:val="-5"/>
          <w:w w:val="115"/>
          <w:sz w:val="12"/>
        </w:rPr>
        <w:t>ORA</w:t>
      </w:r>
    </w:p>
    <w:p w14:paraId="739793AA" w14:textId="77777777" w:rsidR="00E4358E" w:rsidRDefault="00E4358E">
      <w:pPr>
        <w:rPr>
          <w:sz w:val="12"/>
        </w:rPr>
        <w:sectPr w:rsidR="00E4358E">
          <w:type w:val="continuous"/>
          <w:pgSz w:w="11920" w:h="16850"/>
          <w:pgMar w:top="1100" w:right="1140" w:bottom="0" w:left="1200" w:header="720" w:footer="720" w:gutter="0"/>
          <w:cols w:num="2" w:space="720" w:equalWidth="0">
            <w:col w:w="3123" w:space="2783"/>
            <w:col w:w="3674"/>
          </w:cols>
        </w:sectPr>
      </w:pPr>
    </w:p>
    <w:p w14:paraId="1908E41C" w14:textId="77777777" w:rsidR="00E4358E" w:rsidRDefault="00D17204">
      <w:pPr>
        <w:pStyle w:val="BodyText"/>
        <w:spacing w:before="2"/>
        <w:rPr>
          <w:sz w:val="18"/>
        </w:rPr>
      </w:pPr>
      <w:r>
        <w:pict w14:anchorId="40E2925A">
          <v:group id="docshapegroup1" o:spid="_x0000_s1026" style="position:absolute;margin-left:476.95pt;margin-top:836.4pt;width:109.65pt;height:.5pt;z-index:15729152;mso-position-horizontal-relative:page;mso-position-vertical-relative:page" coordorigin="9539,16728" coordsize="2193,10">
            <v:line id="_x0000_s1028" style="position:absolute" from="10231,16733" to="11731,16733" strokeweight=".16953mm"/>
            <v:line id="_x0000_s1027" style="position:absolute" from="9539,16733" to="10173,16733" strokeweight=".08475mm"/>
            <w10:wrap anchorx="page" anchory="page"/>
          </v:group>
        </w:pict>
      </w:r>
    </w:p>
    <w:p w14:paraId="0523C9B0" w14:textId="77777777" w:rsidR="00E4358E" w:rsidRDefault="00D17204">
      <w:pPr>
        <w:tabs>
          <w:tab w:val="left" w:pos="2177"/>
          <w:tab w:val="left" w:pos="2804"/>
          <w:tab w:val="left" w:pos="4379"/>
          <w:tab w:val="left" w:pos="4994"/>
          <w:tab w:val="left" w:pos="6993"/>
        </w:tabs>
        <w:spacing w:before="85" w:line="252" w:lineRule="auto"/>
        <w:ind w:left="126" w:right="459" w:hanging="3"/>
        <w:rPr>
          <w:rFonts w:ascii="Times New Roman"/>
          <w:b/>
          <w:sz w:val="37"/>
        </w:rPr>
      </w:pPr>
      <w:r>
        <w:rPr>
          <w:rFonts w:ascii="Times New Roman"/>
          <w:b/>
          <w:color w:val="3D413F"/>
          <w:spacing w:val="-2"/>
          <w:w w:val="115"/>
          <w:sz w:val="37"/>
        </w:rPr>
        <w:t>Approach</w:t>
      </w:r>
      <w:r>
        <w:rPr>
          <w:rFonts w:ascii="Times New Roman"/>
          <w:b/>
          <w:color w:val="3D413F"/>
          <w:sz w:val="37"/>
        </w:rPr>
        <w:tab/>
      </w:r>
      <w:r>
        <w:rPr>
          <w:rFonts w:ascii="Times New Roman"/>
          <w:b/>
          <w:color w:val="3D413F"/>
          <w:spacing w:val="-6"/>
          <w:w w:val="115"/>
          <w:sz w:val="37"/>
        </w:rPr>
        <w:t>to</w:t>
      </w:r>
      <w:r>
        <w:rPr>
          <w:rFonts w:ascii="Times New Roman"/>
          <w:b/>
          <w:color w:val="3D413F"/>
          <w:sz w:val="37"/>
        </w:rPr>
        <w:tab/>
      </w:r>
      <w:r>
        <w:rPr>
          <w:rFonts w:ascii="Times New Roman"/>
          <w:b/>
          <w:color w:val="3D413F"/>
          <w:spacing w:val="-2"/>
          <w:w w:val="115"/>
          <w:sz w:val="37"/>
        </w:rPr>
        <w:t>Deliver</w:t>
      </w:r>
      <w:r>
        <w:rPr>
          <w:rFonts w:ascii="Times New Roman"/>
          <w:b/>
          <w:color w:val="3D413F"/>
          <w:sz w:val="37"/>
        </w:rPr>
        <w:tab/>
      </w:r>
      <w:r>
        <w:rPr>
          <w:rFonts w:ascii="Times New Roman"/>
          <w:b/>
          <w:color w:val="3D413F"/>
          <w:spacing w:val="-6"/>
          <w:w w:val="115"/>
          <w:sz w:val="37"/>
        </w:rPr>
        <w:t>to</w:t>
      </w:r>
      <w:r>
        <w:rPr>
          <w:rFonts w:ascii="Times New Roman"/>
          <w:b/>
          <w:color w:val="3D413F"/>
          <w:sz w:val="37"/>
        </w:rPr>
        <w:tab/>
      </w:r>
      <w:r>
        <w:rPr>
          <w:rFonts w:ascii="Times New Roman"/>
          <w:b/>
          <w:color w:val="3D413F"/>
          <w:spacing w:val="-2"/>
          <w:w w:val="115"/>
          <w:sz w:val="37"/>
        </w:rPr>
        <w:t>Equitable</w:t>
      </w:r>
      <w:r>
        <w:rPr>
          <w:rFonts w:ascii="Times New Roman"/>
          <w:b/>
          <w:color w:val="3D413F"/>
          <w:sz w:val="37"/>
        </w:rPr>
        <w:tab/>
      </w:r>
      <w:r>
        <w:rPr>
          <w:rFonts w:ascii="Times New Roman"/>
          <w:b/>
          <w:color w:val="3D413F"/>
          <w:spacing w:val="-2"/>
          <w:w w:val="115"/>
          <w:sz w:val="37"/>
        </w:rPr>
        <w:t>Transitions Strategy</w:t>
      </w:r>
    </w:p>
    <w:p w14:paraId="48FD0B4D" w14:textId="77777777" w:rsidR="00E4358E" w:rsidRDefault="00D17204">
      <w:pPr>
        <w:spacing w:before="255" w:line="484" w:lineRule="auto"/>
        <w:ind w:left="127" w:right="730" w:firstLine="7"/>
        <w:rPr>
          <w:sz w:val="20"/>
        </w:rPr>
      </w:pPr>
      <w:r>
        <w:rPr>
          <w:b/>
          <w:color w:val="595D5B"/>
          <w:w w:val="110"/>
          <w:sz w:val="23"/>
        </w:rPr>
        <w:t>Hon Carmel Sepuloni, Ministe</w:t>
      </w:r>
      <w:r>
        <w:rPr>
          <w:b/>
          <w:color w:val="3D413F"/>
          <w:w w:val="110"/>
          <w:sz w:val="23"/>
        </w:rPr>
        <w:t>r for Social Development and Employme</w:t>
      </w:r>
      <w:r>
        <w:rPr>
          <w:b/>
          <w:color w:val="595D5B"/>
          <w:w w:val="110"/>
          <w:sz w:val="23"/>
        </w:rPr>
        <w:t>nt Hon Stuart Nash, Minister</w:t>
      </w:r>
      <w:r>
        <w:rPr>
          <w:b/>
          <w:color w:val="595D5B"/>
          <w:spacing w:val="38"/>
          <w:w w:val="110"/>
          <w:sz w:val="23"/>
        </w:rPr>
        <w:t xml:space="preserve"> </w:t>
      </w:r>
      <w:r>
        <w:rPr>
          <w:b/>
          <w:color w:val="595D5B"/>
          <w:w w:val="110"/>
          <w:sz w:val="23"/>
        </w:rPr>
        <w:t xml:space="preserve">for </w:t>
      </w:r>
      <w:r>
        <w:rPr>
          <w:b/>
          <w:color w:val="3D413F"/>
          <w:w w:val="110"/>
          <w:sz w:val="23"/>
        </w:rPr>
        <w:t>Economic and</w:t>
      </w:r>
      <w:r>
        <w:rPr>
          <w:b/>
          <w:color w:val="3D413F"/>
          <w:spacing w:val="40"/>
          <w:w w:val="110"/>
          <w:sz w:val="23"/>
        </w:rPr>
        <w:t xml:space="preserve"> </w:t>
      </w:r>
      <w:r>
        <w:rPr>
          <w:b/>
          <w:color w:val="3D413F"/>
          <w:w w:val="110"/>
          <w:sz w:val="23"/>
        </w:rPr>
        <w:t xml:space="preserve">Regional Development </w:t>
      </w:r>
      <w:r>
        <w:rPr>
          <w:color w:val="3D413F"/>
          <w:w w:val="110"/>
          <w:sz w:val="20"/>
        </w:rPr>
        <w:t>These documents have been proacti</w:t>
      </w:r>
      <w:r>
        <w:rPr>
          <w:color w:val="595D5B"/>
          <w:w w:val="110"/>
          <w:sz w:val="20"/>
        </w:rPr>
        <w:t>vely</w:t>
      </w:r>
      <w:r>
        <w:rPr>
          <w:color w:val="595D5B"/>
          <w:spacing w:val="40"/>
          <w:w w:val="110"/>
          <w:sz w:val="20"/>
        </w:rPr>
        <w:t xml:space="preserve"> </w:t>
      </w:r>
      <w:r>
        <w:rPr>
          <w:color w:val="595D5B"/>
          <w:w w:val="110"/>
          <w:sz w:val="20"/>
        </w:rPr>
        <w:t>released.</w:t>
      </w:r>
    </w:p>
    <w:p w14:paraId="6686973B" w14:textId="6A0CD5F0" w:rsidR="00E4358E" w:rsidRDefault="00D17204" w:rsidP="00256A1A">
      <w:pPr>
        <w:spacing w:before="42" w:line="261" w:lineRule="auto"/>
        <w:ind w:left="117" w:right="811" w:hanging="2"/>
        <w:rPr>
          <w:i/>
          <w:sz w:val="20"/>
        </w:rPr>
      </w:pPr>
      <w:r>
        <w:rPr>
          <w:i/>
          <w:color w:val="3D413F"/>
          <w:w w:val="110"/>
          <w:sz w:val="20"/>
        </w:rPr>
        <w:t xml:space="preserve">19 October 2022, Cabinet paper </w:t>
      </w:r>
      <w:r>
        <w:rPr>
          <w:color w:val="3D413F"/>
          <w:w w:val="110"/>
          <w:sz w:val="20"/>
        </w:rPr>
        <w:t>-</w:t>
      </w:r>
      <w:r>
        <w:rPr>
          <w:color w:val="3D413F"/>
          <w:spacing w:val="40"/>
          <w:w w:val="110"/>
          <w:sz w:val="20"/>
        </w:rPr>
        <w:t xml:space="preserve"> </w:t>
      </w:r>
      <w:r>
        <w:rPr>
          <w:i/>
          <w:color w:val="3D413F"/>
          <w:w w:val="110"/>
          <w:sz w:val="20"/>
        </w:rPr>
        <w:t>Approach to Deliver the Equitable Transitions Strategy, including</w:t>
      </w:r>
      <w:r w:rsidR="00256A1A">
        <w:rPr>
          <w:i/>
          <w:color w:val="3D413F"/>
          <w:w w:val="110"/>
          <w:sz w:val="20"/>
        </w:rPr>
        <w:t xml:space="preserve"> </w:t>
      </w:r>
      <w:r>
        <w:rPr>
          <w:i/>
          <w:color w:val="3D413F"/>
          <w:sz w:val="20"/>
        </w:rPr>
        <w:t>Appendix 1</w:t>
      </w:r>
      <w:r>
        <w:rPr>
          <w:i/>
          <w:color w:val="3D413F"/>
          <w:spacing w:val="40"/>
          <w:sz w:val="20"/>
        </w:rPr>
        <w:t xml:space="preserve"> </w:t>
      </w:r>
      <w:r>
        <w:rPr>
          <w:color w:val="3D413F"/>
          <w:sz w:val="20"/>
        </w:rPr>
        <w:t>-</w:t>
      </w:r>
      <w:r>
        <w:rPr>
          <w:color w:val="3D413F"/>
          <w:spacing w:val="27"/>
          <w:sz w:val="20"/>
        </w:rPr>
        <w:t xml:space="preserve"> </w:t>
      </w:r>
      <w:r>
        <w:rPr>
          <w:i/>
          <w:color w:val="3D413F"/>
          <w:sz w:val="20"/>
        </w:rPr>
        <w:t>Draft</w:t>
      </w:r>
      <w:r>
        <w:rPr>
          <w:i/>
          <w:color w:val="3D413F"/>
          <w:spacing w:val="-3"/>
          <w:sz w:val="20"/>
        </w:rPr>
        <w:t xml:space="preserve"> </w:t>
      </w:r>
      <w:r>
        <w:rPr>
          <w:i/>
          <w:color w:val="3D413F"/>
          <w:sz w:val="20"/>
        </w:rPr>
        <w:t>Terms</w:t>
      </w:r>
      <w:r>
        <w:rPr>
          <w:i/>
          <w:color w:val="3D413F"/>
          <w:spacing w:val="-2"/>
          <w:sz w:val="20"/>
        </w:rPr>
        <w:t xml:space="preserve"> </w:t>
      </w:r>
      <w:r>
        <w:rPr>
          <w:i/>
          <w:color w:val="3D413F"/>
          <w:sz w:val="20"/>
        </w:rPr>
        <w:t xml:space="preserve">of Reference </w:t>
      </w:r>
      <w:r>
        <w:rPr>
          <w:color w:val="3D413F"/>
          <w:sz w:val="20"/>
        </w:rPr>
        <w:t>-</w:t>
      </w:r>
      <w:r>
        <w:rPr>
          <w:color w:val="3D413F"/>
          <w:spacing w:val="40"/>
          <w:sz w:val="20"/>
        </w:rPr>
        <w:t xml:space="preserve"> </w:t>
      </w:r>
      <w:r>
        <w:rPr>
          <w:i/>
          <w:color w:val="3D413F"/>
          <w:sz w:val="20"/>
        </w:rPr>
        <w:t>Equitable Transitions Strategy</w:t>
      </w:r>
      <w:r>
        <w:rPr>
          <w:i/>
          <w:color w:val="3D413F"/>
          <w:spacing w:val="-19"/>
          <w:sz w:val="20"/>
        </w:rPr>
        <w:t xml:space="preserve"> </w:t>
      </w:r>
      <w:r>
        <w:rPr>
          <w:i/>
          <w:color w:val="3D413F"/>
          <w:sz w:val="20"/>
        </w:rPr>
        <w:t>for</w:t>
      </w:r>
      <w:r>
        <w:rPr>
          <w:i/>
          <w:color w:val="3D413F"/>
          <w:spacing w:val="40"/>
          <w:sz w:val="20"/>
        </w:rPr>
        <w:t xml:space="preserve"> </w:t>
      </w:r>
      <w:r>
        <w:rPr>
          <w:i/>
          <w:color w:val="3D413F"/>
          <w:sz w:val="20"/>
        </w:rPr>
        <w:t>Aotearoa New Zealand</w:t>
      </w:r>
    </w:p>
    <w:p w14:paraId="5464B22F" w14:textId="0E768CE8" w:rsidR="00E4358E" w:rsidRDefault="00D17204">
      <w:pPr>
        <w:spacing w:before="102" w:line="261" w:lineRule="auto"/>
        <w:ind w:left="113" w:right="601" w:hanging="7"/>
        <w:rPr>
          <w:i/>
          <w:color w:val="3D413F"/>
          <w:w w:val="110"/>
          <w:sz w:val="20"/>
        </w:rPr>
      </w:pPr>
      <w:r>
        <w:rPr>
          <w:i/>
          <w:color w:val="3D413F"/>
          <w:w w:val="110"/>
          <w:sz w:val="20"/>
        </w:rPr>
        <w:t>19</w:t>
      </w:r>
      <w:r>
        <w:rPr>
          <w:i/>
          <w:color w:val="3D413F"/>
          <w:spacing w:val="40"/>
          <w:w w:val="110"/>
          <w:sz w:val="20"/>
        </w:rPr>
        <w:t xml:space="preserve"> </w:t>
      </w:r>
      <w:r>
        <w:rPr>
          <w:i/>
          <w:color w:val="3D413F"/>
          <w:w w:val="110"/>
          <w:sz w:val="20"/>
        </w:rPr>
        <w:t>October 2022, Cabinet Social Wellbeing Committee Minute SWC-22-M</w:t>
      </w:r>
      <w:r w:rsidR="00256A1A">
        <w:rPr>
          <w:i/>
          <w:color w:val="3D413F"/>
          <w:w w:val="110"/>
          <w:sz w:val="20"/>
        </w:rPr>
        <w:t>I</w:t>
      </w:r>
      <w:r>
        <w:rPr>
          <w:i/>
          <w:color w:val="3D413F"/>
          <w:w w:val="110"/>
          <w:sz w:val="20"/>
        </w:rPr>
        <w:t>N-0181, Cabinet Office.</w:t>
      </w:r>
    </w:p>
    <w:p w14:paraId="5FC12A6E" w14:textId="77777777" w:rsidR="00256A1A" w:rsidRDefault="00256A1A">
      <w:pPr>
        <w:spacing w:before="102" w:line="261" w:lineRule="auto"/>
        <w:ind w:left="113" w:right="601" w:hanging="7"/>
        <w:rPr>
          <w:i/>
          <w:sz w:val="20"/>
        </w:rPr>
      </w:pPr>
    </w:p>
    <w:p w14:paraId="3614A9AA" w14:textId="77777777" w:rsidR="00E4358E" w:rsidRDefault="00D17204" w:rsidP="00256A1A">
      <w:pPr>
        <w:pStyle w:val="BodyText"/>
        <w:spacing w:after="240" w:line="276" w:lineRule="auto"/>
        <w:ind w:left="123" w:right="731" w:hanging="6"/>
      </w:pPr>
      <w:r>
        <w:rPr>
          <w:color w:val="3D413F"/>
          <w:w w:val="110"/>
        </w:rPr>
        <w:t>This paper seeks agreement</w:t>
      </w:r>
      <w:r>
        <w:rPr>
          <w:color w:val="3D413F"/>
          <w:spacing w:val="39"/>
          <w:w w:val="110"/>
        </w:rPr>
        <w:t xml:space="preserve"> </w:t>
      </w:r>
      <w:r>
        <w:rPr>
          <w:color w:val="3D413F"/>
          <w:w w:val="110"/>
        </w:rPr>
        <w:t>to</w:t>
      </w:r>
      <w:r>
        <w:rPr>
          <w:color w:val="3D413F"/>
          <w:spacing w:val="34"/>
          <w:w w:val="110"/>
        </w:rPr>
        <w:t xml:space="preserve"> </w:t>
      </w:r>
      <w:r>
        <w:rPr>
          <w:color w:val="3D413F"/>
          <w:w w:val="110"/>
        </w:rPr>
        <w:t>the overarching</w:t>
      </w:r>
      <w:r>
        <w:rPr>
          <w:color w:val="3D413F"/>
          <w:spacing w:val="36"/>
          <w:w w:val="110"/>
        </w:rPr>
        <w:t xml:space="preserve"> </w:t>
      </w:r>
      <w:r>
        <w:rPr>
          <w:color w:val="3D413F"/>
          <w:w w:val="110"/>
        </w:rPr>
        <w:t>approach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for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the</w:t>
      </w:r>
      <w:r>
        <w:rPr>
          <w:color w:val="3D413F"/>
          <w:spacing w:val="38"/>
          <w:w w:val="110"/>
        </w:rPr>
        <w:t xml:space="preserve"> </w:t>
      </w:r>
      <w:r>
        <w:rPr>
          <w:color w:val="3D413F"/>
          <w:w w:val="110"/>
        </w:rPr>
        <w:t>delivery</w:t>
      </w:r>
      <w:r>
        <w:rPr>
          <w:color w:val="3D413F"/>
          <w:spacing w:val="37"/>
          <w:w w:val="110"/>
        </w:rPr>
        <w:t xml:space="preserve"> </w:t>
      </w:r>
      <w:r>
        <w:rPr>
          <w:color w:val="3D413F"/>
          <w:w w:val="110"/>
        </w:rPr>
        <w:t>of</w:t>
      </w:r>
      <w:r>
        <w:rPr>
          <w:color w:val="3D413F"/>
          <w:spacing w:val="34"/>
          <w:w w:val="110"/>
        </w:rPr>
        <w:t xml:space="preserve"> </w:t>
      </w:r>
      <w:r>
        <w:rPr>
          <w:color w:val="3D413F"/>
          <w:w w:val="110"/>
        </w:rPr>
        <w:t>the Equitable Transitions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Strategy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(the Strategy),</w:t>
      </w:r>
      <w:r>
        <w:rPr>
          <w:color w:val="3D413F"/>
          <w:spacing w:val="34"/>
          <w:w w:val="110"/>
        </w:rPr>
        <w:t xml:space="preserve"> </w:t>
      </w:r>
      <w:r>
        <w:rPr>
          <w:color w:val="3D413F"/>
          <w:w w:val="110"/>
        </w:rPr>
        <w:t>including</w:t>
      </w:r>
      <w:r>
        <w:rPr>
          <w:color w:val="3D413F"/>
          <w:spacing w:val="39"/>
          <w:w w:val="110"/>
        </w:rPr>
        <w:t xml:space="preserve"> </w:t>
      </w:r>
      <w:r>
        <w:rPr>
          <w:color w:val="3D413F"/>
          <w:w w:val="110"/>
        </w:rPr>
        <w:t>the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terms</w:t>
      </w:r>
      <w:r>
        <w:rPr>
          <w:color w:val="3D413F"/>
          <w:spacing w:val="28"/>
          <w:w w:val="110"/>
        </w:rPr>
        <w:t xml:space="preserve"> </w:t>
      </w:r>
      <w:r>
        <w:rPr>
          <w:color w:val="3D413F"/>
          <w:w w:val="110"/>
        </w:rPr>
        <w:t>of reference</w:t>
      </w:r>
      <w:r>
        <w:rPr>
          <w:color w:val="3D413F"/>
          <w:spacing w:val="28"/>
          <w:w w:val="110"/>
        </w:rPr>
        <w:t xml:space="preserve"> </w:t>
      </w:r>
      <w:r>
        <w:rPr>
          <w:color w:val="3D413F"/>
          <w:w w:val="110"/>
        </w:rPr>
        <w:t>and the process to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begin public engagement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on development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of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the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Strategy.</w:t>
      </w:r>
    </w:p>
    <w:p w14:paraId="51BDAA82" w14:textId="3A13F85B" w:rsidR="00E4358E" w:rsidRDefault="00D17204" w:rsidP="00256A1A">
      <w:pPr>
        <w:pStyle w:val="BodyText"/>
        <w:spacing w:after="240" w:line="276" w:lineRule="auto"/>
        <w:ind w:left="114" w:right="731" w:firstLine="3"/>
      </w:pPr>
      <w:r>
        <w:rPr>
          <w:color w:val="3D413F"/>
          <w:w w:val="110"/>
        </w:rPr>
        <w:t>These documents have been released in full. Please note -</w:t>
      </w:r>
      <w:r>
        <w:rPr>
          <w:color w:val="3D413F"/>
          <w:spacing w:val="40"/>
          <w:w w:val="110"/>
        </w:rPr>
        <w:t xml:space="preserve"> </w:t>
      </w:r>
      <w:r w:rsidR="00256A1A">
        <w:rPr>
          <w:color w:val="3D413F"/>
          <w:spacing w:val="40"/>
          <w:w w:val="110"/>
        </w:rPr>
        <w:t>t</w:t>
      </w:r>
      <w:r>
        <w:rPr>
          <w:color w:val="3D413F"/>
          <w:w w:val="110"/>
        </w:rPr>
        <w:t>he Cabinet paper had a reference sourc</w:t>
      </w:r>
      <w:r>
        <w:rPr>
          <w:color w:val="3D413F"/>
          <w:w w:val="110"/>
        </w:rPr>
        <w:t>e error in paragraph 77: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the reference should be to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the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key communications me</w:t>
      </w:r>
      <w:r>
        <w:rPr>
          <w:color w:val="3D413F"/>
          <w:w w:val="110"/>
        </w:rPr>
        <w:t>ssages set out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 xml:space="preserve">in </w:t>
      </w:r>
      <w:r w:rsidR="00256A1A">
        <w:rPr>
          <w:color w:val="3D413F"/>
          <w:w w:val="110"/>
        </w:rPr>
        <w:t>p</w:t>
      </w:r>
      <w:r>
        <w:rPr>
          <w:color w:val="3D413F"/>
          <w:w w:val="110"/>
        </w:rPr>
        <w:t>aragraph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58 of the</w:t>
      </w:r>
      <w:r>
        <w:rPr>
          <w:color w:val="3D413F"/>
          <w:spacing w:val="40"/>
          <w:w w:val="110"/>
        </w:rPr>
        <w:t xml:space="preserve"> </w:t>
      </w:r>
      <w:r>
        <w:rPr>
          <w:color w:val="3D413F"/>
          <w:w w:val="110"/>
        </w:rPr>
        <w:t>paper.</w:t>
      </w:r>
    </w:p>
    <w:p w14:paraId="6C35904B" w14:textId="77777777" w:rsidR="00256A1A" w:rsidRDefault="00256A1A" w:rsidP="00256A1A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5" w:history="1">
        <w:r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5084AE8F" w14:textId="77777777" w:rsidR="00E4358E" w:rsidRDefault="00E4358E">
      <w:pPr>
        <w:pStyle w:val="BodyText"/>
        <w:spacing w:before="7"/>
        <w:rPr>
          <w:i/>
          <w:sz w:val="22"/>
        </w:rPr>
      </w:pPr>
    </w:p>
    <w:p w14:paraId="0D29788C" w14:textId="77777777" w:rsidR="00E4358E" w:rsidRDefault="00D17204">
      <w:pPr>
        <w:spacing w:before="1" w:line="242" w:lineRule="auto"/>
        <w:ind w:left="116" w:right="459" w:hanging="2"/>
        <w:rPr>
          <w:b/>
          <w:sz w:val="21"/>
        </w:rPr>
      </w:pPr>
      <w:r>
        <w:rPr>
          <w:b/>
          <w:color w:val="3D413F"/>
          <w:w w:val="110"/>
          <w:sz w:val="21"/>
        </w:rPr>
        <w:t>Search Tags:</w:t>
      </w:r>
      <w:r>
        <w:rPr>
          <w:b/>
          <w:color w:val="3D413F"/>
          <w:spacing w:val="40"/>
          <w:w w:val="110"/>
          <w:sz w:val="21"/>
        </w:rPr>
        <w:t xml:space="preserve"> </w:t>
      </w:r>
      <w:r>
        <w:rPr>
          <w:b/>
          <w:color w:val="3D413F"/>
          <w:w w:val="110"/>
          <w:sz w:val="21"/>
        </w:rPr>
        <w:t>Equitable Transitions Strategy,</w:t>
      </w:r>
      <w:r>
        <w:rPr>
          <w:b/>
          <w:color w:val="3D413F"/>
          <w:spacing w:val="-1"/>
          <w:w w:val="110"/>
          <w:sz w:val="21"/>
        </w:rPr>
        <w:t xml:space="preserve"> </w:t>
      </w:r>
      <w:r>
        <w:rPr>
          <w:b/>
          <w:color w:val="3D413F"/>
          <w:w w:val="110"/>
          <w:sz w:val="21"/>
        </w:rPr>
        <w:t>Climate Change, Emissions Reduction Plan</w:t>
      </w:r>
    </w:p>
    <w:sectPr w:rsidR="00E4358E">
      <w:type w:val="continuous"/>
      <w:pgSz w:w="11920" w:h="16850"/>
      <w:pgMar w:top="1100" w:right="114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358E"/>
    <w:rsid w:val="00256A1A"/>
    <w:rsid w:val="00E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281354F"/>
  <w15:docId w15:val="{90959191-3F80-4D3C-9C61-7CE0F06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44"/>
    </w:pPr>
    <w:rPr>
      <w:rFonts w:ascii="Times New Roman" w:eastAsia="Times New Roman" w:hAnsi="Times New Roman" w:cs="Times New Roman"/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6A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6A1A"/>
    <w:pPr>
      <w:widowControl/>
      <w:autoSpaceDE/>
      <w:autoSpaceDN/>
      <w:spacing w:after="120" w:line="288" w:lineRule="auto"/>
    </w:pPr>
    <w:rPr>
      <w:rFonts w:ascii="Verdana" w:eastAsia="Calibri" w:hAnsi="Verdana" w:cs="Times New Roman"/>
      <w:sz w:val="20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2022-11-11T00:52:00Z</dcterms:created>
  <dcterms:modified xsi:type="dcterms:W3CDTF">2022-11-11T00:52:00Z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ApeosPort-VI C4471</vt:lpwstr>
  </property>
  <property fmtid="{D5CDD505-2E9C-101B-9397-08002B2CF9AE}" pid="4" name="LastSaved">
    <vt:filetime>2022-11-11T00:00:00Z</vt:filetime>
  </property>
  <property fmtid="{D5CDD505-2E9C-101B-9397-08002B2CF9AE}" pid="5" name="Producer">
    <vt:lpwstr>ApeosPort-VI C4471</vt:lpwstr>
  </property>
</Properties>
</file>