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C44A" w14:textId="77777777" w:rsidR="00841998" w:rsidRDefault="006E6906">
      <w:pPr>
        <w:pStyle w:val="Heading2"/>
        <w:spacing w:before="67"/>
        <w:rPr>
          <w:rFonts w:ascii="Arial"/>
        </w:rPr>
      </w:pPr>
      <w:r>
        <w:rPr>
          <w:rFonts w:ascii="Arial"/>
        </w:rPr>
        <w:t xml:space="preserve">In </w:t>
      </w:r>
      <w:r>
        <w:rPr>
          <w:rFonts w:ascii="Arial"/>
          <w:spacing w:val="-2"/>
        </w:rPr>
        <w:t>confidence</w:t>
      </w:r>
    </w:p>
    <w:p w14:paraId="17A2240D" w14:textId="77777777" w:rsidR="00841998" w:rsidRDefault="00841998">
      <w:pPr>
        <w:pStyle w:val="BodyText"/>
        <w:spacing w:before="11"/>
        <w:rPr>
          <w:b/>
          <w:sz w:val="13"/>
        </w:rPr>
      </w:pPr>
    </w:p>
    <w:p w14:paraId="424DC00B" w14:textId="77777777" w:rsidR="00841998" w:rsidRDefault="006E6906">
      <w:pPr>
        <w:pStyle w:val="BodyText"/>
        <w:spacing w:before="93" w:line="252" w:lineRule="exact"/>
        <w:ind w:right="110"/>
        <w:jc w:val="right"/>
      </w:pP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Development and</w:t>
      </w:r>
      <w:r>
        <w:rPr>
          <w:spacing w:val="-8"/>
        </w:rPr>
        <w:t xml:space="preserve"> </w:t>
      </w:r>
      <w:r>
        <w:rPr>
          <w:spacing w:val="-2"/>
        </w:rPr>
        <w:t>Employment</w:t>
      </w:r>
    </w:p>
    <w:p w14:paraId="3BCD3E1D" w14:textId="77777777" w:rsidR="00841998" w:rsidRDefault="006E6906">
      <w:pPr>
        <w:pStyle w:val="BodyText"/>
        <w:spacing w:line="252" w:lineRule="exact"/>
        <w:ind w:right="109"/>
        <w:jc w:val="right"/>
      </w:pP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Health</w:t>
      </w:r>
    </w:p>
    <w:p w14:paraId="4BD4A963" w14:textId="77777777" w:rsidR="00841998" w:rsidRDefault="00841998">
      <w:pPr>
        <w:pStyle w:val="BodyText"/>
        <w:rPr>
          <w:sz w:val="20"/>
        </w:rPr>
      </w:pPr>
    </w:p>
    <w:p w14:paraId="3873266A" w14:textId="77777777" w:rsidR="00841998" w:rsidRDefault="00841998">
      <w:pPr>
        <w:pStyle w:val="BodyText"/>
        <w:spacing w:before="10"/>
        <w:rPr>
          <w:sz w:val="15"/>
        </w:rPr>
      </w:pPr>
    </w:p>
    <w:p w14:paraId="3495761E" w14:textId="77777777" w:rsidR="00841998" w:rsidRDefault="006E6906">
      <w:pPr>
        <w:pStyle w:val="BodyText"/>
        <w:spacing w:before="93"/>
        <w:ind w:left="112"/>
      </w:pPr>
      <w:r>
        <w:rPr>
          <w:spacing w:val="-2"/>
        </w:rPr>
        <w:t>Chair</w:t>
      </w:r>
    </w:p>
    <w:p w14:paraId="64E12CEC" w14:textId="77777777" w:rsidR="00841998" w:rsidRDefault="006E6906">
      <w:pPr>
        <w:pStyle w:val="BodyText"/>
        <w:spacing w:before="2"/>
        <w:ind w:left="112"/>
      </w:pPr>
      <w:r>
        <w:t>Cabinet</w:t>
      </w:r>
      <w:r>
        <w:rPr>
          <w:spacing w:val="-8"/>
        </w:rPr>
        <w:t xml:space="preserve"> </w:t>
      </w:r>
      <w:r>
        <w:t>Legislation</w:t>
      </w:r>
      <w:r>
        <w:rPr>
          <w:spacing w:val="-9"/>
        </w:rPr>
        <w:t xml:space="preserve"> </w:t>
      </w:r>
      <w:r>
        <w:rPr>
          <w:spacing w:val="-2"/>
        </w:rPr>
        <w:t>Committee</w:t>
      </w:r>
    </w:p>
    <w:p w14:paraId="2D853346" w14:textId="77777777" w:rsidR="00841998" w:rsidRDefault="00841998">
      <w:pPr>
        <w:pStyle w:val="BodyText"/>
        <w:rPr>
          <w:sz w:val="24"/>
        </w:rPr>
      </w:pPr>
    </w:p>
    <w:p w14:paraId="6A0CE097" w14:textId="77777777" w:rsidR="00841998" w:rsidRDefault="00841998">
      <w:pPr>
        <w:pStyle w:val="BodyText"/>
        <w:spacing w:before="10"/>
        <w:rPr>
          <w:sz w:val="19"/>
        </w:rPr>
      </w:pPr>
    </w:p>
    <w:p w14:paraId="0B10EABC" w14:textId="77777777" w:rsidR="00841998" w:rsidRDefault="006E6906">
      <w:pPr>
        <w:pStyle w:val="Heading2"/>
        <w:spacing w:before="1"/>
        <w:ind w:right="232"/>
        <w:rPr>
          <w:rFonts w:ascii="Arial"/>
        </w:rPr>
      </w:pPr>
      <w:r>
        <w:rPr>
          <w:rFonts w:ascii="Arial"/>
        </w:rPr>
        <w:t>ADJUSTMENT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RESIDENTIAL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SUBSIDY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ANNUAL GENERAL ADJUSTMENT 2023</w:t>
      </w:r>
    </w:p>
    <w:p w14:paraId="2309D4AA" w14:textId="77777777" w:rsidR="00841998" w:rsidRDefault="00841998">
      <w:pPr>
        <w:pStyle w:val="BodyText"/>
        <w:spacing w:before="3"/>
        <w:rPr>
          <w:b/>
          <w:sz w:val="31"/>
        </w:rPr>
      </w:pPr>
    </w:p>
    <w:p w14:paraId="4B30313C" w14:textId="77777777" w:rsidR="00841998" w:rsidRDefault="006E6906">
      <w:pPr>
        <w:ind w:left="112"/>
        <w:rPr>
          <w:rFonts w:ascii="Georgia"/>
          <w:b/>
        </w:rPr>
      </w:pPr>
      <w:r>
        <w:rPr>
          <w:rFonts w:ascii="Georgia"/>
          <w:b/>
          <w:spacing w:val="-2"/>
        </w:rPr>
        <w:t>Proposal</w:t>
      </w:r>
    </w:p>
    <w:p w14:paraId="12DD9C79" w14:textId="77777777" w:rsidR="00841998" w:rsidRDefault="00841998">
      <w:pPr>
        <w:pStyle w:val="BodyText"/>
        <w:spacing w:before="2"/>
        <w:rPr>
          <w:rFonts w:ascii="Georgia"/>
          <w:b/>
          <w:sz w:val="21"/>
        </w:rPr>
      </w:pPr>
    </w:p>
    <w:p w14:paraId="5AC880FB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ind w:right="114"/>
        <w:jc w:val="both"/>
      </w:pPr>
      <w:r>
        <w:t>Every year, changes are made to the Residential Care and Disability Support Services regulations to reflect changes in Consumer Price Index (CPI).</w:t>
      </w:r>
    </w:p>
    <w:p w14:paraId="590911C5" w14:textId="77777777" w:rsidR="00841998" w:rsidRDefault="00841998">
      <w:pPr>
        <w:pStyle w:val="BodyText"/>
        <w:spacing w:before="10"/>
        <w:rPr>
          <w:sz w:val="20"/>
        </w:rPr>
      </w:pPr>
    </w:p>
    <w:p w14:paraId="4BFBA4AF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spacing w:before="1"/>
        <w:ind w:right="106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Cabinet</w:t>
      </w:r>
      <w:r>
        <w:rPr>
          <w:spacing w:val="-5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proofErr w:type="spellStart"/>
      <w:r>
        <w:t>authorise</w:t>
      </w:r>
      <w:proofErr w:type="spell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following two amendment instruments (collectively ‘the Amendment Regulations’) to the Executive </w:t>
      </w:r>
      <w:r>
        <w:rPr>
          <w:spacing w:val="-2"/>
        </w:rPr>
        <w:t>Council:</w:t>
      </w:r>
    </w:p>
    <w:p w14:paraId="0FE9998E" w14:textId="77777777" w:rsidR="00841998" w:rsidRDefault="00841998">
      <w:pPr>
        <w:pStyle w:val="BodyText"/>
        <w:spacing w:before="9"/>
        <w:rPr>
          <w:sz w:val="20"/>
        </w:rPr>
      </w:pPr>
    </w:p>
    <w:p w14:paraId="0FB4971C" w14:textId="77777777" w:rsidR="00841998" w:rsidRDefault="006E6906">
      <w:pPr>
        <w:pStyle w:val="ListParagraph"/>
        <w:numPr>
          <w:ilvl w:val="1"/>
          <w:numId w:val="4"/>
        </w:numPr>
        <w:tabs>
          <w:tab w:val="left" w:pos="1100"/>
        </w:tabs>
        <w:ind w:right="109"/>
      </w:pPr>
      <w:r>
        <w:t>The Residential Care and Disability Support Services (Annual Adjustment of Applicable Asset Thresholds and Income-from</w:t>
      </w:r>
      <w:r>
        <w:t>-assets Exemption) Regulations 2023 and</w:t>
      </w:r>
    </w:p>
    <w:p w14:paraId="1E15BB55" w14:textId="77777777" w:rsidR="00841998" w:rsidRDefault="00841998">
      <w:pPr>
        <w:pStyle w:val="BodyText"/>
        <w:spacing w:before="10"/>
        <w:rPr>
          <w:sz w:val="20"/>
        </w:rPr>
      </w:pPr>
    </w:p>
    <w:p w14:paraId="42C05B29" w14:textId="77777777" w:rsidR="00841998" w:rsidRDefault="006E6906">
      <w:pPr>
        <w:pStyle w:val="ListParagraph"/>
        <w:numPr>
          <w:ilvl w:val="1"/>
          <w:numId w:val="4"/>
        </w:numPr>
        <w:tabs>
          <w:tab w:val="left" w:pos="1100"/>
        </w:tabs>
        <w:spacing w:before="1"/>
        <w:ind w:right="115"/>
      </w:pPr>
      <w:r>
        <w:t>The</w:t>
      </w:r>
      <w:r>
        <w:rPr>
          <w:spacing w:val="29"/>
        </w:rPr>
        <w:t xml:space="preserve"> </w:t>
      </w:r>
      <w:r>
        <w:t>Residential</w:t>
      </w:r>
      <w:r>
        <w:rPr>
          <w:spacing w:val="29"/>
        </w:rPr>
        <w:t xml:space="preserve"> </w:t>
      </w:r>
      <w:r>
        <w:t>Care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Disability</w:t>
      </w:r>
      <w:r>
        <w:rPr>
          <w:spacing w:val="30"/>
        </w:rPr>
        <w:t xml:space="preserve"> </w:t>
      </w:r>
      <w:r>
        <w:t>Support</w:t>
      </w:r>
      <w:r>
        <w:rPr>
          <w:spacing w:val="29"/>
        </w:rPr>
        <w:t xml:space="preserve"> </w:t>
      </w:r>
      <w:r>
        <w:t>Services</w:t>
      </w:r>
      <w:r>
        <w:rPr>
          <w:spacing w:val="30"/>
        </w:rPr>
        <w:t xml:space="preserve"> </w:t>
      </w:r>
      <w:r>
        <w:t>Amendment</w:t>
      </w:r>
      <w:r>
        <w:rPr>
          <w:spacing w:val="31"/>
        </w:rPr>
        <w:t xml:space="preserve"> </w:t>
      </w:r>
      <w:r>
        <w:t>Regulations</w:t>
      </w:r>
      <w:r>
        <w:rPr>
          <w:spacing w:val="30"/>
        </w:rPr>
        <w:t xml:space="preserve"> </w:t>
      </w:r>
      <w:r>
        <w:t>(No</w:t>
      </w:r>
      <w:r>
        <w:rPr>
          <w:spacing w:val="30"/>
        </w:rPr>
        <w:t xml:space="preserve"> </w:t>
      </w:r>
      <w:r>
        <w:t xml:space="preserve">2) </w:t>
      </w:r>
      <w:r>
        <w:rPr>
          <w:spacing w:val="-2"/>
        </w:rPr>
        <w:t>2023.</w:t>
      </w:r>
    </w:p>
    <w:p w14:paraId="6875FEF8" w14:textId="77777777" w:rsidR="00841998" w:rsidRDefault="00841998">
      <w:pPr>
        <w:pStyle w:val="BodyText"/>
        <w:spacing w:before="10"/>
        <w:rPr>
          <w:sz w:val="20"/>
        </w:rPr>
      </w:pPr>
    </w:p>
    <w:p w14:paraId="11C37073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ind w:right="230"/>
        <w:jc w:val="both"/>
      </w:pPr>
      <w:r>
        <w:t>The</w:t>
      </w:r>
      <w:r>
        <w:rPr>
          <w:spacing w:val="-3"/>
        </w:rPr>
        <w:t xml:space="preserve"> </w:t>
      </w:r>
      <w:r>
        <w:t>adjustments</w:t>
      </w:r>
      <w:r>
        <w:rPr>
          <w:spacing w:val="-5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that occurs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basis with any changes taking effect from 1 July 2023.</w:t>
      </w:r>
    </w:p>
    <w:p w14:paraId="11BDA507" w14:textId="77777777" w:rsidR="00841998" w:rsidRDefault="00841998">
      <w:pPr>
        <w:pStyle w:val="BodyText"/>
        <w:spacing w:before="11"/>
        <w:rPr>
          <w:sz w:val="20"/>
        </w:rPr>
      </w:pPr>
    </w:p>
    <w:p w14:paraId="3370A854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560"/>
      </w:pPr>
      <w:r>
        <w:t>The</w:t>
      </w:r>
      <w:r>
        <w:rPr>
          <w:spacing w:val="-2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 1.2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Price Index triggers a $500 increase in gifting levels.</w:t>
      </w:r>
    </w:p>
    <w:p w14:paraId="03F66D7E" w14:textId="77777777" w:rsidR="00841998" w:rsidRDefault="00841998">
      <w:pPr>
        <w:pStyle w:val="BodyText"/>
        <w:spacing w:before="8"/>
        <w:rPr>
          <w:sz w:val="20"/>
        </w:rPr>
      </w:pPr>
    </w:p>
    <w:p w14:paraId="1FD33F7C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hanging="496"/>
      </w:pPr>
      <w:r>
        <w:t>The</w:t>
      </w:r>
      <w:r>
        <w:rPr>
          <w:spacing w:val="-6"/>
        </w:rPr>
        <w:t xml:space="preserve"> </w:t>
      </w:r>
      <w:r>
        <w:t>Amendment</w:t>
      </w:r>
      <w:r>
        <w:rPr>
          <w:spacing w:val="-7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5"/>
        </w:rPr>
        <w:t>to:</w:t>
      </w:r>
    </w:p>
    <w:p w14:paraId="0637412E" w14:textId="77777777" w:rsidR="00841998" w:rsidRDefault="00841998">
      <w:pPr>
        <w:pStyle w:val="BodyText"/>
        <w:spacing w:before="11"/>
        <w:rPr>
          <w:sz w:val="20"/>
        </w:rPr>
      </w:pPr>
    </w:p>
    <w:p w14:paraId="10CC3FFB" w14:textId="77777777" w:rsidR="00841998" w:rsidRDefault="006E6906">
      <w:pPr>
        <w:pStyle w:val="ListParagraph"/>
        <w:numPr>
          <w:ilvl w:val="0"/>
          <w:numId w:val="3"/>
        </w:numPr>
        <w:tabs>
          <w:tab w:val="left" w:pos="1327"/>
          <w:tab w:val="left" w:pos="1328"/>
        </w:tabs>
        <w:ind w:right="443"/>
      </w:pP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asset</w:t>
      </w:r>
      <w:r>
        <w:rPr>
          <w:spacing w:val="-4"/>
        </w:rPr>
        <w:t xml:space="preserve"> </w:t>
      </w:r>
      <w:r>
        <w:t>th</w:t>
      </w:r>
      <w:r>
        <w:t>resholds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Residential Care Subsidy by 6.7 percent from 1 July 2023, in line with the increase in the </w:t>
      </w:r>
      <w:proofErr w:type="gramStart"/>
      <w:r>
        <w:t>All Groups</w:t>
      </w:r>
      <w:proofErr w:type="gramEnd"/>
      <w:r>
        <w:t xml:space="preserve"> Consumers Price Index for the year ending 31 March 2023</w:t>
      </w:r>
    </w:p>
    <w:p w14:paraId="06BF317E" w14:textId="77777777" w:rsidR="00841998" w:rsidRDefault="00841998">
      <w:pPr>
        <w:pStyle w:val="BodyText"/>
        <w:rPr>
          <w:sz w:val="21"/>
        </w:rPr>
      </w:pPr>
    </w:p>
    <w:p w14:paraId="6FDA4FD0" w14:textId="77777777" w:rsidR="00841998" w:rsidRDefault="006E6906">
      <w:pPr>
        <w:pStyle w:val="ListParagraph"/>
        <w:numPr>
          <w:ilvl w:val="0"/>
          <w:numId w:val="3"/>
        </w:numPr>
        <w:tabs>
          <w:tab w:val="left" w:pos="1327"/>
          <w:tab w:val="left" w:pos="1328"/>
        </w:tabs>
        <w:spacing w:line="237" w:lineRule="auto"/>
        <w:ind w:right="145"/>
      </w:pPr>
      <w:r>
        <w:t>increase the yearly income-from-assets exemptions used to assess a person’s 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by 6.7</w:t>
      </w:r>
      <w:r>
        <w:rPr>
          <w:spacing w:val="-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2023, in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All Groups</w:t>
      </w:r>
      <w:proofErr w:type="gramEnd"/>
      <w:r>
        <w:t xml:space="preserve"> Consumers Price Index for the year ending 31 March 2023</w:t>
      </w:r>
      <w:r>
        <w:rPr>
          <w:vertAlign w:val="superscript"/>
        </w:rPr>
        <w:t>1</w:t>
      </w:r>
    </w:p>
    <w:p w14:paraId="2534E2BD" w14:textId="77777777" w:rsidR="00841998" w:rsidRDefault="00841998">
      <w:pPr>
        <w:pStyle w:val="BodyText"/>
        <w:spacing w:before="7"/>
      </w:pPr>
    </w:p>
    <w:p w14:paraId="78EB3004" w14:textId="77777777" w:rsidR="00841998" w:rsidRDefault="006E6906">
      <w:pPr>
        <w:pStyle w:val="ListParagraph"/>
        <w:numPr>
          <w:ilvl w:val="0"/>
          <w:numId w:val="3"/>
        </w:numPr>
        <w:tabs>
          <w:tab w:val="left" w:pos="1328"/>
        </w:tabs>
        <w:spacing w:before="1" w:line="237" w:lineRule="auto"/>
        <w:ind w:right="109"/>
        <w:jc w:val="both"/>
      </w:pPr>
      <w:r>
        <w:t>adjust the allowable g</w:t>
      </w:r>
      <w:r>
        <w:t xml:space="preserve">ifting amount over five years – the gifting period - from $7,000 a year to $7,500 a year. </w:t>
      </w:r>
      <w:proofErr w:type="gramStart"/>
      <w:r>
        <w:t>As a consequence of</w:t>
      </w:r>
      <w:proofErr w:type="gramEnd"/>
      <w:r>
        <w:t xml:space="preserve"> adjusting the allowable gifting amount the maximum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person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gift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recognition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increase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$35,000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$37,500.</w:t>
      </w:r>
    </w:p>
    <w:p w14:paraId="719E14F8" w14:textId="77777777" w:rsidR="00841998" w:rsidRDefault="00841998">
      <w:pPr>
        <w:pStyle w:val="BodyText"/>
        <w:spacing w:before="4"/>
        <w:rPr>
          <w:sz w:val="31"/>
        </w:rPr>
      </w:pPr>
    </w:p>
    <w:p w14:paraId="58975053" w14:textId="77777777" w:rsidR="00841998" w:rsidRDefault="006E6906">
      <w:pPr>
        <w:pStyle w:val="Heading2"/>
      </w:pPr>
      <w:r>
        <w:rPr>
          <w:spacing w:val="-2"/>
        </w:rPr>
        <w:t>Background</w:t>
      </w:r>
    </w:p>
    <w:p w14:paraId="3FF15F16" w14:textId="77777777" w:rsidR="00841998" w:rsidRDefault="00841998">
      <w:pPr>
        <w:pStyle w:val="BodyText"/>
        <w:spacing w:before="3"/>
        <w:rPr>
          <w:rFonts w:ascii="Georgia"/>
          <w:b/>
          <w:sz w:val="21"/>
        </w:rPr>
      </w:pPr>
    </w:p>
    <w:p w14:paraId="29D9AE27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349"/>
      </w:pPr>
      <w:r>
        <w:t>The</w:t>
      </w:r>
      <w:r>
        <w:rPr>
          <w:spacing w:val="-3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Subsidy</w:t>
      </w:r>
      <w:r>
        <w:rPr>
          <w:spacing w:val="-2"/>
        </w:rPr>
        <w:t xml:space="preserve"> </w:t>
      </w:r>
      <w:r>
        <w:t>(RCS)</w:t>
      </w:r>
      <w:r>
        <w:rPr>
          <w:spacing w:val="-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long- term residential care in a hospital or rest home.</w:t>
      </w:r>
    </w:p>
    <w:p w14:paraId="1EFADBDF" w14:textId="77777777" w:rsidR="00841998" w:rsidRDefault="00841998">
      <w:pPr>
        <w:pStyle w:val="BodyText"/>
        <w:rPr>
          <w:sz w:val="20"/>
        </w:rPr>
      </w:pPr>
    </w:p>
    <w:p w14:paraId="18D1BB5A" w14:textId="77777777" w:rsidR="00841998" w:rsidRDefault="006E6906">
      <w:pPr>
        <w:pStyle w:val="BodyText"/>
        <w:spacing w:before="8"/>
        <w:rPr>
          <w:sz w:val="10"/>
        </w:rPr>
      </w:pPr>
      <w:r>
        <w:pict w14:anchorId="0E217899">
          <v:rect id="docshape2" o:spid="_x0000_s2050" style="position:absolute;margin-left:56.65pt;margin-top:7.4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10D2E28" w14:textId="77777777" w:rsidR="00841998" w:rsidRDefault="006E6906">
      <w:pPr>
        <w:spacing w:before="86"/>
        <w:ind w:left="112" w:right="36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4"/>
          <w:position w:val="6"/>
          <w:sz w:val="12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unrounded</w:t>
      </w:r>
      <w:r>
        <w:rPr>
          <w:spacing w:val="-3"/>
          <w:sz w:val="18"/>
        </w:rPr>
        <w:t xml:space="preserve"> </w:t>
      </w:r>
      <w:r>
        <w:rPr>
          <w:sz w:val="18"/>
        </w:rPr>
        <w:t>CPI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actually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6.6549912%,</w:t>
      </w:r>
      <w:r>
        <w:rPr>
          <w:spacing w:val="-4"/>
          <w:sz w:val="18"/>
        </w:rPr>
        <w:t xml:space="preserve"> </w:t>
      </w:r>
      <w:r>
        <w:rPr>
          <w:sz w:val="18"/>
        </w:rPr>
        <w:t>applied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unrounded</w:t>
      </w:r>
      <w:r>
        <w:rPr>
          <w:spacing w:val="-4"/>
          <w:sz w:val="18"/>
        </w:rPr>
        <w:t xml:space="preserve"> </w:t>
      </w:r>
      <w:r>
        <w:rPr>
          <w:sz w:val="18"/>
        </w:rPr>
        <w:t>threshold</w:t>
      </w:r>
      <w:r>
        <w:rPr>
          <w:spacing w:val="-3"/>
          <w:sz w:val="18"/>
        </w:rPr>
        <w:t xml:space="preserve"> </w:t>
      </w:r>
      <w:r>
        <w:rPr>
          <w:sz w:val="18"/>
        </w:rPr>
        <w:t>amounts</w:t>
      </w:r>
      <w:r>
        <w:rPr>
          <w:spacing w:val="-2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rounding</w:t>
      </w:r>
      <w:r>
        <w:rPr>
          <w:spacing w:val="-3"/>
          <w:sz w:val="18"/>
        </w:rPr>
        <w:t xml:space="preserve"> </w:t>
      </w:r>
      <w:r>
        <w:rPr>
          <w:sz w:val="18"/>
        </w:rPr>
        <w:t>up to the next whole dollar.</w:t>
      </w:r>
    </w:p>
    <w:p w14:paraId="31B092CB" w14:textId="77777777" w:rsidR="00841998" w:rsidRDefault="00841998">
      <w:pPr>
        <w:rPr>
          <w:sz w:val="18"/>
        </w:rPr>
        <w:sectPr w:rsidR="00841998">
          <w:footerReference w:type="default" r:id="rId7"/>
          <w:type w:val="continuous"/>
          <w:pgSz w:w="11910" w:h="16850"/>
          <w:pgMar w:top="1180" w:right="1020" w:bottom="480" w:left="1020" w:header="0" w:footer="283" w:gutter="0"/>
          <w:pgNumType w:start="1"/>
          <w:cols w:space="720"/>
        </w:sectPr>
      </w:pPr>
    </w:p>
    <w:p w14:paraId="5DFC3C8D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3"/>
          <w:tab w:val="left" w:pos="614"/>
        </w:tabs>
        <w:spacing w:before="79" w:line="242" w:lineRule="auto"/>
        <w:ind w:left="609" w:right="473" w:hanging="497"/>
        <w:rPr>
          <w:color w:val="1A181F"/>
        </w:rPr>
      </w:pPr>
      <w:r>
        <w:rPr>
          <w:color w:val="1A181F"/>
        </w:rPr>
        <w:t>A person must first undergo an asset and income test, known as the Financial Means Assessment, to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dete</w:t>
      </w:r>
      <w:r>
        <w:rPr>
          <w:color w:val="1C2344"/>
        </w:rPr>
        <w:t>r</w:t>
      </w:r>
      <w:r>
        <w:rPr>
          <w:color w:val="1A181F"/>
        </w:rPr>
        <w:t>mine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if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a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person is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financially eligible to</w:t>
      </w:r>
      <w:r>
        <w:rPr>
          <w:color w:val="1A181F"/>
          <w:spacing w:val="-9"/>
        </w:rPr>
        <w:t xml:space="preserve"> </w:t>
      </w:r>
      <w:r>
        <w:rPr>
          <w:color w:val="312A2F"/>
        </w:rPr>
        <w:t xml:space="preserve">receive </w:t>
      </w:r>
      <w:r>
        <w:rPr>
          <w:color w:val="1A181F"/>
        </w:rPr>
        <w:t>RCS.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This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 xml:space="preserve">determines </w:t>
      </w:r>
      <w:r>
        <w:rPr>
          <w:color w:val="312A2F"/>
        </w:rPr>
        <w:t xml:space="preserve">the </w:t>
      </w:r>
      <w:r>
        <w:rPr>
          <w:color w:val="1A181F"/>
        </w:rPr>
        <w:t>contribution they are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requ</w:t>
      </w:r>
      <w:r>
        <w:rPr>
          <w:color w:val="3D3B3D"/>
        </w:rPr>
        <w:t>i</w:t>
      </w:r>
      <w:r>
        <w:rPr>
          <w:color w:val="1A181F"/>
        </w:rPr>
        <w:t>red to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make towards the cost of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their contracted care</w:t>
      </w:r>
      <w:r>
        <w:rPr>
          <w:color w:val="010101"/>
        </w:rPr>
        <w:t>.</w:t>
      </w:r>
    </w:p>
    <w:p w14:paraId="30ABE004" w14:textId="77777777" w:rsidR="00841998" w:rsidRDefault="00841998">
      <w:pPr>
        <w:pStyle w:val="BodyText"/>
        <w:spacing w:before="2"/>
        <w:rPr>
          <w:sz w:val="20"/>
        </w:rPr>
      </w:pPr>
    </w:p>
    <w:p w14:paraId="4CBDB76B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spacing w:line="242" w:lineRule="auto"/>
        <w:ind w:left="608" w:right="601"/>
        <w:rPr>
          <w:color w:val="1A181F"/>
        </w:rPr>
      </w:pPr>
      <w:r>
        <w:rPr>
          <w:color w:val="1A181F"/>
        </w:rPr>
        <w:t>If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their assets a</w:t>
      </w:r>
      <w:r>
        <w:rPr>
          <w:color w:val="3D3B3D"/>
        </w:rPr>
        <w:t>r</w:t>
      </w:r>
      <w:r>
        <w:rPr>
          <w:color w:val="1A181F"/>
        </w:rPr>
        <w:t>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above the appl</w:t>
      </w:r>
      <w:r>
        <w:rPr>
          <w:color w:val="1C2344"/>
        </w:rPr>
        <w:t>i</w:t>
      </w:r>
      <w:r>
        <w:rPr>
          <w:color w:val="1A181F"/>
        </w:rPr>
        <w:t>cable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th</w:t>
      </w:r>
      <w:r>
        <w:rPr>
          <w:color w:val="1C2344"/>
        </w:rPr>
        <w:t>r</w:t>
      </w:r>
      <w:r>
        <w:rPr>
          <w:color w:val="1A181F"/>
        </w:rPr>
        <w:t>eshold</w:t>
      </w:r>
      <w:r>
        <w:rPr>
          <w:color w:val="4D4D4D"/>
        </w:rPr>
        <w:t>,</w:t>
      </w:r>
      <w:r>
        <w:rPr>
          <w:color w:val="4D4D4D"/>
          <w:spacing w:val="-19"/>
        </w:rPr>
        <w:t xml:space="preserve"> </w:t>
      </w:r>
      <w:r>
        <w:rPr>
          <w:color w:val="1A181F"/>
        </w:rPr>
        <w:t>they pay the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max</w:t>
      </w:r>
      <w:r>
        <w:rPr>
          <w:color w:val="1C2344"/>
        </w:rPr>
        <w:t>i</w:t>
      </w:r>
      <w:r>
        <w:rPr>
          <w:color w:val="1A181F"/>
        </w:rPr>
        <w:t>mum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contribution rate wh</w:t>
      </w:r>
      <w:r>
        <w:rPr>
          <w:color w:val="4D4D4D"/>
        </w:rPr>
        <w:t>i</w:t>
      </w:r>
      <w:r>
        <w:rPr>
          <w:color w:val="1A181F"/>
        </w:rPr>
        <w:t>ch</w:t>
      </w:r>
      <w:r>
        <w:rPr>
          <w:color w:val="1A181F"/>
          <w:spacing w:val="-9"/>
        </w:rPr>
        <w:t xml:space="preserve"> </w:t>
      </w:r>
      <w:r>
        <w:rPr>
          <w:color w:val="312A2F"/>
        </w:rPr>
        <w:t>is</w:t>
      </w:r>
      <w:r>
        <w:rPr>
          <w:color w:val="312A2F"/>
          <w:spacing w:val="-1"/>
        </w:rPr>
        <w:t xml:space="preserve"> </w:t>
      </w:r>
      <w:r>
        <w:rPr>
          <w:color w:val="1A181F"/>
        </w:rPr>
        <w:t>set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equal to the contracted cost of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 xml:space="preserve">rest home level care. </w:t>
      </w:r>
      <w:r>
        <w:rPr>
          <w:color w:val="160C38"/>
        </w:rPr>
        <w:t>If</w:t>
      </w:r>
      <w:r>
        <w:rPr>
          <w:color w:val="160C38"/>
          <w:spacing w:val="-6"/>
        </w:rPr>
        <w:t xml:space="preserve"> </w:t>
      </w:r>
      <w:r>
        <w:rPr>
          <w:color w:val="1A181F"/>
        </w:rPr>
        <w:t>their assets are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at, or below</w:t>
      </w:r>
      <w:r>
        <w:rPr>
          <w:color w:val="3D3B3D"/>
        </w:rPr>
        <w:t>,</w:t>
      </w:r>
      <w:r>
        <w:rPr>
          <w:color w:val="3D3B3D"/>
          <w:spacing w:val="-8"/>
        </w:rPr>
        <w:t xml:space="preserve"> </w:t>
      </w:r>
      <w:r>
        <w:rPr>
          <w:color w:val="1A181F"/>
        </w:rPr>
        <w:t>the re</w:t>
      </w:r>
      <w:r>
        <w:rPr>
          <w:color w:val="3D3B3D"/>
        </w:rPr>
        <w:t>l</w:t>
      </w:r>
      <w:r>
        <w:rPr>
          <w:color w:val="1A181F"/>
        </w:rPr>
        <w:t>evant threshold, they are financially eligible for the subs</w:t>
      </w:r>
      <w:r>
        <w:rPr>
          <w:color w:val="1C2344"/>
        </w:rPr>
        <w:t>i</w:t>
      </w:r>
      <w:r>
        <w:rPr>
          <w:color w:val="1A181F"/>
        </w:rPr>
        <w:t>dy.</w:t>
      </w:r>
    </w:p>
    <w:p w14:paraId="25326607" w14:textId="77777777" w:rsidR="00841998" w:rsidRDefault="00841998">
      <w:pPr>
        <w:pStyle w:val="BodyText"/>
        <w:spacing w:before="3"/>
        <w:rPr>
          <w:sz w:val="20"/>
        </w:rPr>
      </w:pPr>
    </w:p>
    <w:p w14:paraId="1980F270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3"/>
          <w:tab w:val="left" w:pos="614"/>
        </w:tabs>
        <w:spacing w:line="244" w:lineRule="auto"/>
        <w:ind w:left="604" w:right="308" w:hanging="491"/>
        <w:rPr>
          <w:color w:val="1A181F"/>
        </w:rPr>
      </w:pPr>
      <w:r>
        <w:rPr>
          <w:color w:val="1A181F"/>
        </w:rPr>
        <w:t>A person</w:t>
      </w:r>
      <w:r>
        <w:rPr>
          <w:color w:val="3D3B3D"/>
        </w:rPr>
        <w:t>'</w:t>
      </w:r>
      <w:r>
        <w:rPr>
          <w:color w:val="1A181F"/>
        </w:rPr>
        <w:t>s</w:t>
      </w:r>
      <w:r>
        <w:rPr>
          <w:color w:val="1A181F"/>
          <w:spacing w:val="-13"/>
        </w:rPr>
        <w:t xml:space="preserve"> </w:t>
      </w:r>
      <w:r>
        <w:rPr>
          <w:color w:val="312A2F"/>
        </w:rPr>
        <w:t xml:space="preserve">income </w:t>
      </w:r>
      <w:r>
        <w:rPr>
          <w:color w:val="1A181F"/>
        </w:rPr>
        <w:t>is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then assessed to determine the contr</w:t>
      </w:r>
      <w:r>
        <w:rPr>
          <w:color w:val="1C2344"/>
        </w:rPr>
        <w:t>i</w:t>
      </w:r>
      <w:r>
        <w:rPr>
          <w:color w:val="1A181F"/>
        </w:rPr>
        <w:t>bution</w:t>
      </w:r>
      <w:r>
        <w:rPr>
          <w:color w:val="1A181F"/>
          <w:spacing w:val="-7"/>
        </w:rPr>
        <w:t xml:space="preserve"> </w:t>
      </w:r>
      <w:r>
        <w:rPr>
          <w:color w:val="312A2F"/>
        </w:rPr>
        <w:t xml:space="preserve">they </w:t>
      </w:r>
      <w:r>
        <w:rPr>
          <w:color w:val="1A181F"/>
        </w:rPr>
        <w:t>must make towards the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cost of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their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care.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amount of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 xml:space="preserve">subsidy </w:t>
      </w:r>
      <w:r>
        <w:rPr>
          <w:color w:val="312A2F"/>
        </w:rPr>
        <w:t>is</w:t>
      </w:r>
      <w:r>
        <w:rPr>
          <w:color w:val="312A2F"/>
          <w:spacing w:val="-7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difference between the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cost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of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contracted care services and the amount a pe</w:t>
      </w:r>
      <w:r>
        <w:rPr>
          <w:color w:val="1C2344"/>
        </w:rPr>
        <w:t>r</w:t>
      </w:r>
      <w:r>
        <w:rPr>
          <w:color w:val="1A181F"/>
        </w:rPr>
        <w:t>son is required to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contribute.</w:t>
      </w:r>
    </w:p>
    <w:p w14:paraId="02E168A4" w14:textId="77777777" w:rsidR="00841998" w:rsidRDefault="00841998">
      <w:pPr>
        <w:pStyle w:val="BodyText"/>
        <w:spacing w:before="11"/>
        <w:rPr>
          <w:sz w:val="19"/>
        </w:rPr>
      </w:pPr>
    </w:p>
    <w:p w14:paraId="1C7806AA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3"/>
          <w:tab w:val="left" w:pos="614"/>
        </w:tabs>
        <w:ind w:left="606" w:right="178" w:hanging="498"/>
        <w:rPr>
          <w:color w:val="1A181F"/>
        </w:rPr>
      </w:pPr>
      <w:r>
        <w:rPr>
          <w:color w:val="1A181F"/>
        </w:rPr>
        <w:t>A person can</w:t>
      </w:r>
      <w:r>
        <w:rPr>
          <w:color w:val="1A181F"/>
          <w:spacing w:val="-3"/>
        </w:rPr>
        <w:t xml:space="preserve"> </w:t>
      </w:r>
      <w:proofErr w:type="gramStart"/>
      <w:r>
        <w:rPr>
          <w:color w:val="1A181F"/>
        </w:rPr>
        <w:t>gift:</w:t>
      </w:r>
      <w:proofErr w:type="gramEnd"/>
      <w:r>
        <w:rPr>
          <w:color w:val="1A181F"/>
          <w:spacing w:val="-21"/>
        </w:rPr>
        <w:t xml:space="preserve"> </w:t>
      </w:r>
      <w:r>
        <w:rPr>
          <w:color w:val="1A181F"/>
        </w:rPr>
        <w:t>up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to a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specific max</w:t>
      </w:r>
      <w:r>
        <w:rPr>
          <w:color w:val="1C2344"/>
        </w:rPr>
        <w:t>i</w:t>
      </w:r>
      <w:r>
        <w:rPr>
          <w:color w:val="1A181F"/>
        </w:rPr>
        <w:t>mum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 xml:space="preserve">gifting amount </w:t>
      </w:r>
      <w:r>
        <w:rPr>
          <w:color w:val="312A2F"/>
        </w:rPr>
        <w:t xml:space="preserve">within </w:t>
      </w:r>
      <w:r>
        <w:rPr>
          <w:color w:val="1A181F"/>
        </w:rPr>
        <w:t>the five-year per</w:t>
      </w:r>
      <w:r>
        <w:rPr>
          <w:color w:val="3D3B3D"/>
        </w:rPr>
        <w:t>i</w:t>
      </w:r>
      <w:r>
        <w:rPr>
          <w:color w:val="1A181F"/>
        </w:rPr>
        <w:t>od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leading up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their appl</w:t>
      </w:r>
      <w:r>
        <w:rPr>
          <w:color w:val="1C2344"/>
        </w:rPr>
        <w:t>i</w:t>
      </w:r>
      <w:r>
        <w:rPr>
          <w:color w:val="1A181F"/>
        </w:rPr>
        <w:t>cation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 xml:space="preserve">for the RCS </w:t>
      </w:r>
      <w:r>
        <w:rPr>
          <w:color w:val="312A2F"/>
        </w:rPr>
        <w:t xml:space="preserve">without it </w:t>
      </w:r>
      <w:r>
        <w:rPr>
          <w:color w:val="1A181F"/>
        </w:rPr>
        <w:t>affecting the</w:t>
      </w:r>
      <w:r>
        <w:rPr>
          <w:color w:val="1C2344"/>
        </w:rPr>
        <w:t>i</w:t>
      </w:r>
      <w:r>
        <w:rPr>
          <w:color w:val="1A181F"/>
        </w:rPr>
        <w:t>r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asset assessment.</w:t>
      </w:r>
      <w:r>
        <w:rPr>
          <w:color w:val="1A181F"/>
          <w:spacing w:val="35"/>
        </w:rPr>
        <w:t xml:space="preserve"> </w:t>
      </w:r>
      <w:r>
        <w:rPr>
          <w:color w:val="1A181F"/>
        </w:rPr>
        <w:t>The maximum gift</w:t>
      </w:r>
      <w:r>
        <w:rPr>
          <w:color w:val="1C2344"/>
        </w:rPr>
        <w:t>i</w:t>
      </w:r>
      <w:r>
        <w:rPr>
          <w:color w:val="1A181F"/>
        </w:rPr>
        <w:t>ng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amount is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not a</w:t>
      </w:r>
      <w:r>
        <w:rPr>
          <w:color w:val="1C2344"/>
        </w:rPr>
        <w:t>lw</w:t>
      </w:r>
      <w:r>
        <w:rPr>
          <w:color w:val="1A181F"/>
        </w:rPr>
        <w:t>ays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increased annua</w:t>
      </w:r>
      <w:r>
        <w:rPr>
          <w:color w:val="1C2344"/>
        </w:rPr>
        <w:t>ll</w:t>
      </w:r>
      <w:r>
        <w:rPr>
          <w:color w:val="1A181F"/>
        </w:rPr>
        <w:t>y,</w:t>
      </w:r>
      <w:r>
        <w:rPr>
          <w:color w:val="1A181F"/>
          <w:spacing w:val="-25"/>
        </w:rPr>
        <w:t xml:space="preserve"> </w:t>
      </w:r>
      <w:r>
        <w:rPr>
          <w:color w:val="3D3B3D"/>
        </w:rPr>
        <w:t>i</w:t>
      </w:r>
      <w:r>
        <w:rPr>
          <w:color w:val="1A181F"/>
        </w:rPr>
        <w:t>nstead</w:t>
      </w:r>
      <w:r>
        <w:rPr>
          <w:color w:val="1A181F"/>
          <w:spacing w:val="-11"/>
        </w:rPr>
        <w:t xml:space="preserve"> </w:t>
      </w:r>
      <w:r>
        <w:rPr>
          <w:color w:val="3D3B3D"/>
        </w:rPr>
        <w:t>i</w:t>
      </w:r>
      <w:r>
        <w:rPr>
          <w:color w:val="1A181F"/>
        </w:rPr>
        <w:t>t is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increased in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$500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 xml:space="preserve">increments </w:t>
      </w:r>
      <w:r>
        <w:rPr>
          <w:color w:val="312A2F"/>
        </w:rPr>
        <w:t xml:space="preserve">(on </w:t>
      </w:r>
      <w:r>
        <w:rPr>
          <w:color w:val="1A181F"/>
        </w:rPr>
        <w:t>1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Ju</w:t>
      </w:r>
      <w:r>
        <w:rPr>
          <w:color w:val="1C2344"/>
        </w:rPr>
        <w:t>l</w:t>
      </w:r>
      <w:r>
        <w:rPr>
          <w:color w:val="1A181F"/>
        </w:rPr>
        <w:t>y)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 xml:space="preserve">when </w:t>
      </w:r>
      <w:r>
        <w:rPr>
          <w:color w:val="312A2F"/>
        </w:rPr>
        <w:t xml:space="preserve">triggered </w:t>
      </w:r>
      <w:r>
        <w:rPr>
          <w:color w:val="1A181F"/>
        </w:rPr>
        <w:t>by cumu</w:t>
      </w:r>
      <w:r>
        <w:rPr>
          <w:color w:val="1C2344"/>
        </w:rPr>
        <w:t>l</w:t>
      </w:r>
      <w:r>
        <w:rPr>
          <w:color w:val="1A181F"/>
        </w:rPr>
        <w:t>ative changes in the Consumers</w:t>
      </w:r>
      <w:r>
        <w:rPr>
          <w:color w:val="1A181F"/>
          <w:spacing w:val="27"/>
        </w:rPr>
        <w:t xml:space="preserve"> </w:t>
      </w:r>
      <w:r>
        <w:rPr>
          <w:color w:val="1A181F"/>
        </w:rPr>
        <w:t>Pr</w:t>
      </w:r>
      <w:r>
        <w:rPr>
          <w:color w:val="1C2344"/>
        </w:rPr>
        <w:t>i</w:t>
      </w:r>
      <w:r>
        <w:rPr>
          <w:color w:val="1A181F"/>
        </w:rPr>
        <w:t>ce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Index, as is the case this year.</w:t>
      </w:r>
    </w:p>
    <w:p w14:paraId="43A46C3F" w14:textId="77777777" w:rsidR="00841998" w:rsidRDefault="00841998">
      <w:pPr>
        <w:pStyle w:val="BodyText"/>
        <w:spacing w:before="6"/>
        <w:rPr>
          <w:sz w:val="21"/>
        </w:rPr>
      </w:pPr>
    </w:p>
    <w:p w14:paraId="15D9781E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1"/>
          <w:tab w:val="left" w:pos="612"/>
        </w:tabs>
        <w:spacing w:before="1"/>
        <w:ind w:left="611" w:hanging="499"/>
        <w:rPr>
          <w:color w:val="1A181F"/>
        </w:rPr>
      </w:pPr>
      <w:r>
        <w:rPr>
          <w:color w:val="1A181F"/>
        </w:rPr>
        <w:t>Current</w:t>
      </w:r>
      <w:r>
        <w:rPr>
          <w:color w:val="1C2344"/>
        </w:rPr>
        <w:t>l</w:t>
      </w:r>
      <w:r>
        <w:rPr>
          <w:color w:val="1A181F"/>
        </w:rPr>
        <w:t>y</w:t>
      </w:r>
      <w:r>
        <w:rPr>
          <w:color w:val="1A181F"/>
          <w:spacing w:val="-13"/>
        </w:rPr>
        <w:t xml:space="preserve"> </w:t>
      </w:r>
      <w:r>
        <w:rPr>
          <w:color w:val="1A181F"/>
        </w:rPr>
        <w:t>there</w:t>
      </w:r>
      <w:r>
        <w:rPr>
          <w:color w:val="1A181F"/>
          <w:spacing w:val="2"/>
        </w:rPr>
        <w:t xml:space="preserve"> </w:t>
      </w:r>
      <w:r>
        <w:rPr>
          <w:color w:val="1A181F"/>
        </w:rPr>
        <w:t>are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around</w:t>
      </w:r>
      <w:r>
        <w:rPr>
          <w:color w:val="1A181F"/>
          <w:spacing w:val="9"/>
        </w:rPr>
        <w:t xml:space="preserve"> </w:t>
      </w:r>
      <w:r>
        <w:rPr>
          <w:color w:val="1A181F"/>
        </w:rPr>
        <w:t>20,000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p</w:t>
      </w:r>
      <w:r>
        <w:rPr>
          <w:color w:val="010101"/>
        </w:rPr>
        <w:t>e</w:t>
      </w:r>
      <w:r>
        <w:rPr>
          <w:color w:val="1A181F"/>
        </w:rPr>
        <w:t>ople</w:t>
      </w:r>
      <w:r>
        <w:rPr>
          <w:color w:val="1A181F"/>
          <w:spacing w:val="-15"/>
        </w:rPr>
        <w:t xml:space="preserve"> </w:t>
      </w:r>
      <w:r>
        <w:rPr>
          <w:color w:val="1A181F"/>
        </w:rPr>
        <w:t>receiving</w:t>
      </w:r>
      <w:r>
        <w:rPr>
          <w:color w:val="1A181F"/>
          <w:spacing w:val="-2"/>
        </w:rPr>
        <w:t xml:space="preserve"> </w:t>
      </w:r>
      <w:r>
        <w:rPr>
          <w:color w:val="1A181F"/>
          <w:spacing w:val="-4"/>
        </w:rPr>
        <w:t>RCS.</w:t>
      </w:r>
    </w:p>
    <w:p w14:paraId="52E1D876" w14:textId="77777777" w:rsidR="00841998" w:rsidRDefault="00841998">
      <w:pPr>
        <w:pStyle w:val="BodyText"/>
        <w:spacing w:before="8"/>
        <w:rPr>
          <w:sz w:val="20"/>
        </w:rPr>
      </w:pPr>
    </w:p>
    <w:p w14:paraId="3D39FE3C" w14:textId="77777777" w:rsidR="00841998" w:rsidRDefault="006E6906">
      <w:pPr>
        <w:pStyle w:val="Heading1"/>
      </w:pPr>
      <w:r>
        <w:rPr>
          <w:color w:val="1A181F"/>
          <w:w w:val="110"/>
        </w:rPr>
        <w:t>Residential</w:t>
      </w:r>
      <w:r>
        <w:rPr>
          <w:color w:val="1A181F"/>
          <w:spacing w:val="2"/>
          <w:w w:val="110"/>
        </w:rPr>
        <w:t xml:space="preserve"> </w:t>
      </w:r>
      <w:r>
        <w:rPr>
          <w:color w:val="1A181F"/>
          <w:w w:val="110"/>
        </w:rPr>
        <w:t>Ca1·e</w:t>
      </w:r>
      <w:r>
        <w:rPr>
          <w:color w:val="1A181F"/>
          <w:spacing w:val="1"/>
          <w:w w:val="110"/>
        </w:rPr>
        <w:t xml:space="preserve"> </w:t>
      </w:r>
      <w:r>
        <w:rPr>
          <w:color w:val="1A181F"/>
          <w:w w:val="110"/>
        </w:rPr>
        <w:t>Subsidy</w:t>
      </w:r>
      <w:r>
        <w:rPr>
          <w:color w:val="1A181F"/>
          <w:spacing w:val="1"/>
          <w:w w:val="110"/>
        </w:rPr>
        <w:t xml:space="preserve"> </w:t>
      </w:r>
      <w:r>
        <w:rPr>
          <w:color w:val="1A181F"/>
          <w:w w:val="110"/>
        </w:rPr>
        <w:t>asset</w:t>
      </w:r>
      <w:r>
        <w:rPr>
          <w:color w:val="1A181F"/>
          <w:spacing w:val="-6"/>
          <w:w w:val="110"/>
        </w:rPr>
        <w:t xml:space="preserve"> </w:t>
      </w:r>
      <w:r>
        <w:rPr>
          <w:color w:val="1A181F"/>
          <w:spacing w:val="-2"/>
          <w:w w:val="110"/>
        </w:rPr>
        <w:t>thresholds</w:t>
      </w:r>
    </w:p>
    <w:p w14:paraId="74DB15B1" w14:textId="77777777" w:rsidR="00841998" w:rsidRDefault="00841998">
      <w:pPr>
        <w:pStyle w:val="BodyText"/>
        <w:spacing w:before="3"/>
        <w:rPr>
          <w:rFonts w:ascii="Times New Roman"/>
          <w:b/>
          <w:sz w:val="20"/>
        </w:rPr>
      </w:pPr>
    </w:p>
    <w:p w14:paraId="13DC1599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5"/>
          <w:tab w:val="left" w:pos="606"/>
        </w:tabs>
        <w:spacing w:before="1" w:line="244" w:lineRule="auto"/>
        <w:ind w:left="608" w:right="286"/>
        <w:rPr>
          <w:color w:val="312A2F"/>
        </w:rPr>
      </w:pPr>
      <w:r>
        <w:rPr>
          <w:color w:val="1A181F"/>
        </w:rPr>
        <w:t xml:space="preserve">Prior to 2012 asset thresholds </w:t>
      </w:r>
      <w:r>
        <w:rPr>
          <w:color w:val="312A2F"/>
        </w:rPr>
        <w:t>were</w:t>
      </w:r>
      <w:r>
        <w:rPr>
          <w:color w:val="312A2F"/>
          <w:spacing w:val="-2"/>
        </w:rPr>
        <w:t xml:space="preserve"> </w:t>
      </w:r>
      <w:r>
        <w:rPr>
          <w:color w:val="4D4D4D"/>
        </w:rPr>
        <w:t>i</w:t>
      </w:r>
      <w:r>
        <w:rPr>
          <w:color w:val="1A181F"/>
        </w:rPr>
        <w:t>ncreased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yearly at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a</w:t>
      </w:r>
      <w:r>
        <w:rPr>
          <w:color w:val="1A181F"/>
          <w:spacing w:val="-13"/>
        </w:rPr>
        <w:t xml:space="preserve"> </w:t>
      </w:r>
      <w:r>
        <w:rPr>
          <w:color w:val="1A181F"/>
        </w:rPr>
        <w:t>flat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rate of $10</w:t>
      </w:r>
      <w:r>
        <w:rPr>
          <w:color w:val="3D3B3D"/>
        </w:rPr>
        <w:t>,</w:t>
      </w:r>
      <w:r>
        <w:rPr>
          <w:color w:val="1A181F"/>
        </w:rPr>
        <w:t>000.</w:t>
      </w:r>
      <w:r>
        <w:rPr>
          <w:color w:val="1A181F"/>
          <w:spacing w:val="-17"/>
        </w:rPr>
        <w:t xml:space="preserve"> </w:t>
      </w:r>
      <w:r>
        <w:rPr>
          <w:color w:val="1A181F"/>
        </w:rPr>
        <w:t>In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2012 the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flat increases of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 xml:space="preserve">$10,000 </w:t>
      </w:r>
      <w:r>
        <w:rPr>
          <w:color w:val="312A2F"/>
        </w:rPr>
        <w:t xml:space="preserve">were </w:t>
      </w:r>
      <w:r>
        <w:rPr>
          <w:color w:val="1A181F"/>
        </w:rPr>
        <w:t xml:space="preserve">changed </w:t>
      </w:r>
      <w:r>
        <w:rPr>
          <w:color w:val="1C2344"/>
        </w:rPr>
        <w:t>t</w:t>
      </w:r>
      <w:r>
        <w:rPr>
          <w:color w:val="1A181F"/>
        </w:rPr>
        <w:t>o a yearly increase of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asset thresholds based on increases to</w:t>
      </w:r>
      <w:r>
        <w:rPr>
          <w:color w:val="1A181F"/>
          <w:spacing w:val="-3"/>
        </w:rPr>
        <w:t xml:space="preserve"> </w:t>
      </w:r>
      <w:r>
        <w:rPr>
          <w:color w:val="312A2F"/>
        </w:rPr>
        <w:t>the</w:t>
      </w:r>
      <w:r>
        <w:rPr>
          <w:color w:val="312A2F"/>
          <w:spacing w:val="-2"/>
        </w:rPr>
        <w:t xml:space="preserve"> </w:t>
      </w:r>
      <w:r>
        <w:rPr>
          <w:color w:val="1A181F"/>
        </w:rPr>
        <w:t xml:space="preserve">Consumers Price Index </w:t>
      </w:r>
      <w:r>
        <w:rPr>
          <w:color w:val="312A2F"/>
        </w:rPr>
        <w:t xml:space="preserve">[Annex to </w:t>
      </w:r>
      <w:r>
        <w:rPr>
          <w:color w:val="1A181F"/>
        </w:rPr>
        <w:t>CAB Min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(12) 13</w:t>
      </w:r>
      <w:r>
        <w:rPr>
          <w:color w:val="3D3B3D"/>
        </w:rPr>
        <w:t>/</w:t>
      </w:r>
      <w:r>
        <w:rPr>
          <w:color w:val="1A181F"/>
        </w:rPr>
        <w:t>3(15)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In</w:t>
      </w:r>
      <w:r>
        <w:rPr>
          <w:color w:val="1C2344"/>
        </w:rPr>
        <w:t>i</w:t>
      </w:r>
      <w:r>
        <w:rPr>
          <w:color w:val="1A181F"/>
        </w:rPr>
        <w:t>tiative no: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 xml:space="preserve">7532 </w:t>
      </w:r>
      <w:r>
        <w:rPr>
          <w:color w:val="1A181F"/>
          <w:spacing w:val="-2"/>
        </w:rPr>
        <w:t>refers</w:t>
      </w:r>
      <w:r>
        <w:rPr>
          <w:color w:val="1C2344"/>
          <w:spacing w:val="-2"/>
        </w:rPr>
        <w:t>].</w:t>
      </w:r>
    </w:p>
    <w:p w14:paraId="7D355071" w14:textId="77777777" w:rsidR="00841998" w:rsidRDefault="00841998">
      <w:pPr>
        <w:pStyle w:val="BodyText"/>
        <w:rPr>
          <w:sz w:val="20"/>
        </w:rPr>
      </w:pPr>
    </w:p>
    <w:p w14:paraId="015BF24B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  <w:tab w:val="left" w:pos="609"/>
        </w:tabs>
        <w:spacing w:line="242" w:lineRule="auto"/>
        <w:ind w:right="255" w:hanging="494"/>
        <w:rPr>
          <w:color w:val="312A2F"/>
        </w:rPr>
      </w:pPr>
      <w:r>
        <w:rPr>
          <w:color w:val="1A181F"/>
        </w:rPr>
        <w:t>The asset thresholds are</w:t>
      </w:r>
      <w:r>
        <w:rPr>
          <w:color w:val="1A181F"/>
          <w:spacing w:val="-9"/>
        </w:rPr>
        <w:t xml:space="preserve"> </w:t>
      </w:r>
      <w:r>
        <w:rPr>
          <w:color w:val="312A2F"/>
        </w:rPr>
        <w:t>required</w:t>
      </w:r>
      <w:r>
        <w:rPr>
          <w:color w:val="312A2F"/>
          <w:spacing w:val="-6"/>
        </w:rPr>
        <w:t xml:space="preserve"> </w:t>
      </w:r>
      <w:r>
        <w:rPr>
          <w:color w:val="1A181F"/>
        </w:rPr>
        <w:t>by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law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be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adjusted annually on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1 July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by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 xml:space="preserve">percentage increase </w:t>
      </w:r>
      <w:r>
        <w:rPr>
          <w:color w:val="1C2344"/>
        </w:rPr>
        <w:t>i</w:t>
      </w:r>
      <w:r>
        <w:rPr>
          <w:color w:val="1A181F"/>
        </w:rPr>
        <w:t>n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 xml:space="preserve">the Consumers Price Index </w:t>
      </w:r>
      <w:r>
        <w:rPr>
          <w:color w:val="312A2F"/>
        </w:rPr>
        <w:t xml:space="preserve">for </w:t>
      </w:r>
      <w:r>
        <w:rPr>
          <w:color w:val="1A181F"/>
        </w:rPr>
        <w:t>the year ending 31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March as set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out in section 75(1} of the Resident</w:t>
      </w:r>
      <w:r>
        <w:rPr>
          <w:color w:val="1C2344"/>
        </w:rPr>
        <w:t>i</w:t>
      </w:r>
      <w:r>
        <w:rPr>
          <w:color w:val="1A181F"/>
        </w:rPr>
        <w:t>al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 xml:space="preserve">Care and Disability Support Services Act 2018 </w:t>
      </w:r>
      <w:r>
        <w:rPr>
          <w:color w:val="312A2F"/>
        </w:rPr>
        <w:t xml:space="preserve">(the </w:t>
      </w:r>
      <w:r>
        <w:rPr>
          <w:color w:val="1A181F"/>
        </w:rPr>
        <w:t>Act)</w:t>
      </w:r>
      <w:r>
        <w:rPr>
          <w:color w:val="010101"/>
        </w:rPr>
        <w:t>.</w:t>
      </w:r>
    </w:p>
    <w:p w14:paraId="3F6AE8CF" w14:textId="77777777" w:rsidR="00841998" w:rsidRDefault="00841998">
      <w:pPr>
        <w:pStyle w:val="BodyText"/>
        <w:spacing w:before="3"/>
        <w:rPr>
          <w:sz w:val="20"/>
        </w:rPr>
      </w:pPr>
    </w:p>
    <w:p w14:paraId="03722492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  <w:tab w:val="left" w:pos="609"/>
        </w:tabs>
        <w:ind w:left="608" w:hanging="496"/>
        <w:rPr>
          <w:color w:val="1C2344"/>
        </w:rPr>
      </w:pPr>
      <w:r>
        <w:rPr>
          <w:color w:val="312A2F"/>
        </w:rPr>
        <w:t>The</w:t>
      </w:r>
      <w:r>
        <w:rPr>
          <w:color w:val="312A2F"/>
          <w:spacing w:val="-4"/>
        </w:rPr>
        <w:t xml:space="preserve"> </w:t>
      </w:r>
      <w:r>
        <w:rPr>
          <w:color w:val="1A181F"/>
        </w:rPr>
        <w:t>Amendment</w:t>
      </w:r>
      <w:r>
        <w:rPr>
          <w:color w:val="1A181F"/>
          <w:spacing w:val="15"/>
        </w:rPr>
        <w:t xml:space="preserve"> </w:t>
      </w:r>
      <w:r>
        <w:rPr>
          <w:color w:val="1A181F"/>
        </w:rPr>
        <w:t>Regu</w:t>
      </w:r>
      <w:r>
        <w:rPr>
          <w:color w:val="1C2344"/>
        </w:rPr>
        <w:t>l</w:t>
      </w:r>
      <w:r>
        <w:rPr>
          <w:color w:val="1A181F"/>
        </w:rPr>
        <w:t>ations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are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required</w:t>
      </w:r>
      <w:r>
        <w:rPr>
          <w:color w:val="1A181F"/>
          <w:spacing w:val="8"/>
        </w:rPr>
        <w:t xml:space="preserve"> </w:t>
      </w:r>
      <w:r>
        <w:rPr>
          <w:color w:val="312A2F"/>
        </w:rPr>
        <w:t>to</w:t>
      </w:r>
      <w:r>
        <w:rPr>
          <w:color w:val="312A2F"/>
          <w:spacing w:val="-15"/>
        </w:rPr>
        <w:t xml:space="preserve"> </w:t>
      </w:r>
      <w:r>
        <w:rPr>
          <w:color w:val="312A2F"/>
        </w:rPr>
        <w:t>increase</w:t>
      </w:r>
      <w:r>
        <w:rPr>
          <w:color w:val="312A2F"/>
          <w:spacing w:val="4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asset</w:t>
      </w:r>
      <w:r>
        <w:rPr>
          <w:color w:val="1A181F"/>
          <w:spacing w:val="3"/>
        </w:rPr>
        <w:t xml:space="preserve"> </w:t>
      </w:r>
      <w:r>
        <w:rPr>
          <w:color w:val="312A2F"/>
        </w:rPr>
        <w:t>thresholds</w:t>
      </w:r>
      <w:r>
        <w:rPr>
          <w:color w:val="312A2F"/>
          <w:spacing w:val="-1"/>
        </w:rPr>
        <w:t xml:space="preserve"> </w:t>
      </w:r>
      <w:r>
        <w:rPr>
          <w:color w:val="543D34"/>
        </w:rPr>
        <w:t>i</w:t>
      </w:r>
      <w:r>
        <w:rPr>
          <w:color w:val="1A181F"/>
        </w:rPr>
        <w:t>n</w:t>
      </w:r>
      <w:r>
        <w:rPr>
          <w:color w:val="1A181F"/>
          <w:spacing w:val="-12"/>
        </w:rPr>
        <w:t xml:space="preserve"> </w:t>
      </w:r>
      <w:r>
        <w:rPr>
          <w:color w:val="1C2344"/>
        </w:rPr>
        <w:t>l</w:t>
      </w:r>
      <w:r>
        <w:rPr>
          <w:color w:val="1A181F"/>
        </w:rPr>
        <w:t>ine</w:t>
      </w:r>
      <w:r>
        <w:rPr>
          <w:color w:val="1A181F"/>
          <w:spacing w:val="-8"/>
        </w:rPr>
        <w:t xml:space="preserve"> </w:t>
      </w:r>
      <w:r>
        <w:rPr>
          <w:color w:val="312A2F"/>
        </w:rPr>
        <w:t>with</w:t>
      </w:r>
      <w:r>
        <w:rPr>
          <w:color w:val="312A2F"/>
          <w:spacing w:val="-12"/>
        </w:rPr>
        <w:t xml:space="preserve"> </w:t>
      </w:r>
      <w:r>
        <w:rPr>
          <w:color w:val="1A181F"/>
          <w:spacing w:val="-5"/>
        </w:rPr>
        <w:t>the</w:t>
      </w:r>
    </w:p>
    <w:p w14:paraId="4CF1AC09" w14:textId="77777777" w:rsidR="00841998" w:rsidRDefault="006E6906">
      <w:pPr>
        <w:pStyle w:val="BodyText"/>
        <w:spacing w:before="13" w:line="237" w:lineRule="auto"/>
        <w:ind w:left="607" w:hanging="3"/>
      </w:pPr>
      <w:r>
        <w:rPr>
          <w:color w:val="1A181F"/>
        </w:rPr>
        <w:t>6</w:t>
      </w:r>
      <w:r>
        <w:rPr>
          <w:color w:val="010101"/>
        </w:rPr>
        <w:t>.</w:t>
      </w:r>
      <w:r>
        <w:rPr>
          <w:color w:val="1A181F"/>
        </w:rPr>
        <w:t>7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percent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 xml:space="preserve">increase </w:t>
      </w:r>
      <w:r>
        <w:rPr>
          <w:color w:val="1C2344"/>
        </w:rPr>
        <w:t>i</w:t>
      </w:r>
      <w:r>
        <w:rPr>
          <w:color w:val="1A181F"/>
        </w:rPr>
        <w:t>n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4"/>
        </w:rPr>
        <w:t xml:space="preserve"> </w:t>
      </w:r>
      <w:proofErr w:type="gramStart"/>
      <w:r>
        <w:rPr>
          <w:color w:val="1A181F"/>
        </w:rPr>
        <w:t>All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Groups</w:t>
      </w:r>
      <w:proofErr w:type="gramEnd"/>
      <w:r>
        <w:rPr>
          <w:color w:val="1A181F"/>
        </w:rPr>
        <w:t xml:space="preserve"> Consumers Price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Index fo</w:t>
      </w:r>
      <w:r>
        <w:rPr>
          <w:color w:val="3D3B3D"/>
        </w:rPr>
        <w:t>r</w:t>
      </w:r>
      <w:r>
        <w:rPr>
          <w:color w:val="3D3B3D"/>
          <w:spacing w:val="-11"/>
        </w:rPr>
        <w:t xml:space="preserve"> </w:t>
      </w:r>
      <w:r>
        <w:rPr>
          <w:color w:val="1A181F"/>
        </w:rPr>
        <w:t>the year ending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31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 xml:space="preserve">March </w:t>
      </w:r>
      <w:r>
        <w:rPr>
          <w:color w:val="1A181F"/>
          <w:spacing w:val="-2"/>
        </w:rPr>
        <w:t>2023</w:t>
      </w:r>
      <w:r>
        <w:rPr>
          <w:color w:val="3D3B3D"/>
          <w:spacing w:val="-2"/>
        </w:rPr>
        <w:t>.</w:t>
      </w:r>
    </w:p>
    <w:p w14:paraId="6E61BB8B" w14:textId="77777777" w:rsidR="00841998" w:rsidRDefault="00841998">
      <w:pPr>
        <w:pStyle w:val="BodyText"/>
        <w:spacing w:before="7"/>
        <w:rPr>
          <w:sz w:val="20"/>
        </w:rPr>
      </w:pPr>
    </w:p>
    <w:p w14:paraId="3664C160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0"/>
          <w:tab w:val="left" w:pos="611"/>
        </w:tabs>
        <w:spacing w:line="249" w:lineRule="auto"/>
        <w:ind w:left="609" w:right="333" w:hanging="492"/>
        <w:rPr>
          <w:color w:val="1A181F"/>
        </w:rPr>
      </w:pPr>
      <w:r>
        <w:rPr>
          <w:color w:val="1A181F"/>
        </w:rPr>
        <w:t>We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are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proposing that the Amendment Regulations</w:t>
      </w:r>
      <w:r>
        <w:rPr>
          <w:color w:val="1A181F"/>
          <w:spacing w:val="-1"/>
        </w:rPr>
        <w:t xml:space="preserve"> </w:t>
      </w:r>
      <w:r>
        <w:rPr>
          <w:color w:val="312A2F"/>
        </w:rPr>
        <w:t>will</w:t>
      </w:r>
      <w:r>
        <w:rPr>
          <w:color w:val="312A2F"/>
          <w:spacing w:val="-16"/>
        </w:rPr>
        <w:t xml:space="preserve"> </w:t>
      </w:r>
      <w:r>
        <w:rPr>
          <w:color w:val="1A181F"/>
        </w:rPr>
        <w:t>make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follow</w:t>
      </w:r>
      <w:r>
        <w:rPr>
          <w:color w:val="542B23"/>
        </w:rPr>
        <w:t>i</w:t>
      </w:r>
      <w:r>
        <w:rPr>
          <w:color w:val="1A181F"/>
        </w:rPr>
        <w:t>ng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 xml:space="preserve">changes to asset </w:t>
      </w:r>
      <w:r>
        <w:rPr>
          <w:color w:val="312A2F"/>
          <w:spacing w:val="-2"/>
        </w:rPr>
        <w:t>thresholds:</w:t>
      </w:r>
    </w:p>
    <w:p w14:paraId="525B5FB5" w14:textId="77777777" w:rsidR="00841998" w:rsidRDefault="00841998">
      <w:pPr>
        <w:pStyle w:val="BodyText"/>
        <w:spacing w:before="11"/>
        <w:rPr>
          <w:sz w:val="18"/>
        </w:rPr>
      </w:pPr>
    </w:p>
    <w:tbl>
      <w:tblPr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2787"/>
        <w:gridCol w:w="1423"/>
        <w:gridCol w:w="1514"/>
      </w:tblGrid>
      <w:tr w:rsidR="00841998" w14:paraId="6AA47B9E" w14:textId="77777777">
        <w:trPr>
          <w:trHeight w:val="710"/>
        </w:trPr>
        <w:tc>
          <w:tcPr>
            <w:tcW w:w="5439" w:type="dxa"/>
            <w:gridSpan w:val="2"/>
            <w:tcBorders>
              <w:top w:val="nil"/>
              <w:left w:val="nil"/>
            </w:tcBorders>
          </w:tcPr>
          <w:p w14:paraId="167388CF" w14:textId="77777777" w:rsidR="00841998" w:rsidRDefault="0084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7" w:type="dxa"/>
            <w:gridSpan w:val="2"/>
          </w:tcPr>
          <w:p w14:paraId="69542FCF" w14:textId="77777777" w:rsidR="00841998" w:rsidRDefault="00841998">
            <w:pPr>
              <w:pStyle w:val="TableParagraph"/>
              <w:spacing w:before="7"/>
              <w:rPr>
                <w:sz w:val="21"/>
              </w:rPr>
            </w:pPr>
          </w:p>
          <w:p w14:paraId="5DBB0465" w14:textId="77777777" w:rsidR="00841998" w:rsidRDefault="006E6906">
            <w:pPr>
              <w:pStyle w:val="TableParagraph"/>
              <w:ind w:left="123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Asset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w w:val="105"/>
                <w:sz w:val="19"/>
              </w:rPr>
              <w:t>threshold</w:t>
            </w:r>
            <w:r>
              <w:rPr>
                <w:b/>
                <w:color w:val="1A181F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>from</w:t>
            </w:r>
          </w:p>
        </w:tc>
      </w:tr>
      <w:tr w:rsidR="00841998" w14:paraId="377DC313" w14:textId="77777777">
        <w:trPr>
          <w:trHeight w:val="758"/>
        </w:trPr>
        <w:tc>
          <w:tcPr>
            <w:tcW w:w="5439" w:type="dxa"/>
            <w:gridSpan w:val="2"/>
          </w:tcPr>
          <w:p w14:paraId="43274FF0" w14:textId="77777777" w:rsidR="00841998" w:rsidRDefault="00841998">
            <w:pPr>
              <w:pStyle w:val="TableParagraph"/>
              <w:spacing w:before="11"/>
              <w:rPr>
                <w:sz w:val="24"/>
              </w:rPr>
            </w:pPr>
          </w:p>
          <w:p w14:paraId="56328779" w14:textId="77777777" w:rsidR="00841998" w:rsidRDefault="006E6906">
            <w:pPr>
              <w:pStyle w:val="TableParagraph"/>
              <w:ind w:left="158"/>
              <w:rPr>
                <w:b/>
                <w:sz w:val="19"/>
              </w:rPr>
            </w:pPr>
            <w:r>
              <w:rPr>
                <w:b/>
                <w:color w:val="1A181F"/>
                <w:spacing w:val="-2"/>
                <w:w w:val="105"/>
                <w:sz w:val="19"/>
              </w:rPr>
              <w:t>Circumstance</w:t>
            </w:r>
          </w:p>
        </w:tc>
        <w:tc>
          <w:tcPr>
            <w:tcW w:w="1423" w:type="dxa"/>
          </w:tcPr>
          <w:p w14:paraId="6B840C43" w14:textId="77777777" w:rsidR="00841998" w:rsidRDefault="00841998">
            <w:pPr>
              <w:pStyle w:val="TableParagraph"/>
              <w:spacing w:before="2"/>
              <w:rPr>
                <w:sz w:val="21"/>
              </w:rPr>
            </w:pPr>
          </w:p>
          <w:p w14:paraId="43D76857" w14:textId="77777777" w:rsidR="00841998" w:rsidRDefault="006E6906">
            <w:pPr>
              <w:pStyle w:val="TableParagraph"/>
              <w:ind w:left="118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1 July</w:t>
            </w:r>
            <w:r>
              <w:rPr>
                <w:b/>
                <w:color w:val="1A181F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>2022</w:t>
            </w:r>
          </w:p>
        </w:tc>
        <w:tc>
          <w:tcPr>
            <w:tcW w:w="1514" w:type="dxa"/>
          </w:tcPr>
          <w:p w14:paraId="39CAB124" w14:textId="77777777" w:rsidR="00841998" w:rsidRDefault="00841998">
            <w:pPr>
              <w:pStyle w:val="TableParagraph"/>
              <w:spacing w:before="2"/>
              <w:rPr>
                <w:sz w:val="21"/>
              </w:rPr>
            </w:pPr>
          </w:p>
          <w:p w14:paraId="2FFA7C42" w14:textId="77777777" w:rsidR="00841998" w:rsidRDefault="006E6906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1</w:t>
            </w:r>
            <w:r>
              <w:rPr>
                <w:b/>
                <w:color w:val="1A181F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w w:val="105"/>
                <w:sz w:val="19"/>
              </w:rPr>
              <w:t>July</w:t>
            </w:r>
            <w:r>
              <w:rPr>
                <w:b/>
                <w:color w:val="1A181F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>2023</w:t>
            </w:r>
          </w:p>
        </w:tc>
      </w:tr>
      <w:tr w:rsidR="00841998" w14:paraId="705051FC" w14:textId="77777777">
        <w:trPr>
          <w:trHeight w:val="450"/>
        </w:trPr>
        <w:tc>
          <w:tcPr>
            <w:tcW w:w="5439" w:type="dxa"/>
            <w:gridSpan w:val="2"/>
          </w:tcPr>
          <w:p w14:paraId="6EB1743C" w14:textId="77777777" w:rsidR="00841998" w:rsidRDefault="006E6906">
            <w:pPr>
              <w:pStyle w:val="TableParagraph"/>
              <w:spacing w:before="13"/>
              <w:ind w:left="158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Single</w:t>
            </w:r>
            <w:r>
              <w:rPr>
                <w:color w:val="1A181F"/>
                <w:spacing w:val="-9"/>
                <w:w w:val="105"/>
                <w:sz w:val="19"/>
              </w:rPr>
              <w:t xml:space="preserve"> </w:t>
            </w:r>
            <w:r>
              <w:rPr>
                <w:color w:val="312A2F"/>
                <w:spacing w:val="-2"/>
                <w:w w:val="105"/>
                <w:sz w:val="19"/>
              </w:rPr>
              <w:t>person</w:t>
            </w:r>
          </w:p>
        </w:tc>
        <w:tc>
          <w:tcPr>
            <w:tcW w:w="1423" w:type="dxa"/>
          </w:tcPr>
          <w:p w14:paraId="28C514D0" w14:textId="77777777" w:rsidR="00841998" w:rsidRDefault="006E6906">
            <w:pPr>
              <w:pStyle w:val="TableParagraph"/>
              <w:spacing w:before="133"/>
              <w:ind w:right="99"/>
              <w:jc w:val="right"/>
              <w:rPr>
                <w:sz w:val="19"/>
              </w:rPr>
            </w:pPr>
            <w:r>
              <w:rPr>
                <w:color w:val="312A2F"/>
                <w:spacing w:val="-2"/>
                <w:w w:val="105"/>
                <w:sz w:val="19"/>
              </w:rPr>
              <w:t>$256,554</w:t>
            </w:r>
          </w:p>
        </w:tc>
        <w:tc>
          <w:tcPr>
            <w:tcW w:w="1514" w:type="dxa"/>
          </w:tcPr>
          <w:p w14:paraId="2BBC4282" w14:textId="77777777" w:rsidR="00841998" w:rsidRDefault="006E6906">
            <w:pPr>
              <w:pStyle w:val="TableParagraph"/>
              <w:spacing w:before="133"/>
              <w:ind w:right="81"/>
              <w:jc w:val="right"/>
              <w:rPr>
                <w:sz w:val="19"/>
              </w:rPr>
            </w:pPr>
            <w:r>
              <w:rPr>
                <w:color w:val="1A181F"/>
                <w:spacing w:val="-2"/>
                <w:w w:val="105"/>
                <w:sz w:val="19"/>
              </w:rPr>
              <w:t>$273,628</w:t>
            </w:r>
          </w:p>
        </w:tc>
      </w:tr>
      <w:tr w:rsidR="00841998" w14:paraId="151BEBDC" w14:textId="77777777">
        <w:trPr>
          <w:trHeight w:val="513"/>
        </w:trPr>
        <w:tc>
          <w:tcPr>
            <w:tcW w:w="5439" w:type="dxa"/>
            <w:gridSpan w:val="2"/>
          </w:tcPr>
          <w:p w14:paraId="54662BCE" w14:textId="77777777" w:rsidR="00841998" w:rsidRDefault="006E6906">
            <w:pPr>
              <w:pStyle w:val="TableParagraph"/>
              <w:spacing w:before="13"/>
              <w:ind w:left="163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Both</w:t>
            </w:r>
            <w:r>
              <w:rPr>
                <w:color w:val="1A181F"/>
                <w:spacing w:val="-2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partners</w:t>
            </w:r>
            <w:r>
              <w:rPr>
                <w:color w:val="1A181F"/>
                <w:spacing w:val="4"/>
                <w:w w:val="105"/>
                <w:sz w:val="19"/>
              </w:rPr>
              <w:t xml:space="preserve"> </w:t>
            </w:r>
            <w:r>
              <w:rPr>
                <w:color w:val="312A2F"/>
                <w:w w:val="105"/>
                <w:sz w:val="19"/>
              </w:rPr>
              <w:t>in</w:t>
            </w:r>
            <w:r>
              <w:rPr>
                <w:color w:val="312A2F"/>
                <w:spacing w:val="4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</w:t>
            </w:r>
            <w:r>
              <w:rPr>
                <w:color w:val="1A181F"/>
                <w:spacing w:val="-5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couple</w:t>
            </w:r>
            <w:r>
              <w:rPr>
                <w:color w:val="1A181F"/>
                <w:spacing w:val="9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are</w:t>
            </w:r>
            <w:r>
              <w:rPr>
                <w:color w:val="1A181F"/>
                <w:spacing w:val="-3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in</w:t>
            </w:r>
            <w:r>
              <w:rPr>
                <w:color w:val="1A181F"/>
                <w:spacing w:val="-16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res</w:t>
            </w:r>
            <w:r>
              <w:rPr>
                <w:color w:val="1C2344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den</w:t>
            </w:r>
            <w:r>
              <w:rPr>
                <w:color w:val="1C2344"/>
                <w:w w:val="105"/>
                <w:sz w:val="19"/>
              </w:rPr>
              <w:t>t</w:t>
            </w:r>
            <w:r>
              <w:rPr>
                <w:color w:val="1A181F"/>
                <w:w w:val="105"/>
                <w:sz w:val="19"/>
              </w:rPr>
              <w:t>ial</w:t>
            </w:r>
            <w:r>
              <w:rPr>
                <w:color w:val="1A181F"/>
                <w:spacing w:val="-14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4"/>
                <w:w w:val="105"/>
                <w:sz w:val="19"/>
              </w:rPr>
              <w:t>care</w:t>
            </w:r>
          </w:p>
        </w:tc>
        <w:tc>
          <w:tcPr>
            <w:tcW w:w="1423" w:type="dxa"/>
          </w:tcPr>
          <w:p w14:paraId="6EAB5008" w14:textId="77777777" w:rsidR="00841998" w:rsidRDefault="006E6906">
            <w:pPr>
              <w:pStyle w:val="TableParagraph"/>
              <w:spacing w:before="162"/>
              <w:ind w:right="107"/>
              <w:jc w:val="right"/>
              <w:rPr>
                <w:sz w:val="19"/>
              </w:rPr>
            </w:pPr>
            <w:r>
              <w:rPr>
                <w:color w:val="312A2F"/>
                <w:spacing w:val="-2"/>
                <w:w w:val="105"/>
                <w:sz w:val="19"/>
              </w:rPr>
              <w:t>$256,554</w:t>
            </w:r>
          </w:p>
        </w:tc>
        <w:tc>
          <w:tcPr>
            <w:tcW w:w="1514" w:type="dxa"/>
          </w:tcPr>
          <w:p w14:paraId="3D2A26B6" w14:textId="77777777" w:rsidR="00841998" w:rsidRDefault="006E6906">
            <w:pPr>
              <w:pStyle w:val="TableParagraph"/>
              <w:spacing w:before="162"/>
              <w:ind w:right="81"/>
              <w:jc w:val="right"/>
              <w:rPr>
                <w:sz w:val="19"/>
              </w:rPr>
            </w:pPr>
            <w:r>
              <w:rPr>
                <w:color w:val="1A181F"/>
                <w:spacing w:val="-2"/>
                <w:w w:val="105"/>
                <w:sz w:val="19"/>
              </w:rPr>
              <w:t>$273,628</w:t>
            </w:r>
          </w:p>
        </w:tc>
      </w:tr>
      <w:tr w:rsidR="00841998" w14:paraId="5F944554" w14:textId="77777777">
        <w:trPr>
          <w:trHeight w:val="561"/>
        </w:trPr>
        <w:tc>
          <w:tcPr>
            <w:tcW w:w="2652" w:type="dxa"/>
            <w:vMerge w:val="restart"/>
          </w:tcPr>
          <w:p w14:paraId="6B34254B" w14:textId="77777777" w:rsidR="00841998" w:rsidRDefault="006E6906">
            <w:pPr>
              <w:pStyle w:val="TableParagraph"/>
              <w:spacing w:before="8" w:line="254" w:lineRule="auto"/>
              <w:ind w:left="159" w:right="86" w:hanging="2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One</w:t>
            </w:r>
            <w:r>
              <w:rPr>
                <w:color w:val="1A181F"/>
                <w:spacing w:val="-4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partner</w:t>
            </w:r>
            <w:r>
              <w:rPr>
                <w:color w:val="1A181F"/>
                <w:spacing w:val="-4"/>
                <w:w w:val="105"/>
                <w:sz w:val="19"/>
              </w:rPr>
              <w:t xml:space="preserve"> </w:t>
            </w:r>
            <w:r>
              <w:rPr>
                <w:color w:val="3D3B3D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n</w:t>
            </w:r>
            <w:r>
              <w:rPr>
                <w:color w:val="1A181F"/>
                <w:spacing w:val="-10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</w:t>
            </w:r>
            <w:r>
              <w:rPr>
                <w:color w:val="1A181F"/>
                <w:spacing w:val="-9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couple</w:t>
            </w:r>
            <w:r>
              <w:rPr>
                <w:color w:val="1A181F"/>
                <w:spacing w:val="-4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is in residen</w:t>
            </w:r>
            <w:r>
              <w:rPr>
                <w:color w:val="1C2344"/>
                <w:w w:val="105"/>
                <w:sz w:val="19"/>
              </w:rPr>
              <w:t>t</w:t>
            </w:r>
            <w:r>
              <w:rPr>
                <w:color w:val="1A181F"/>
                <w:w w:val="105"/>
                <w:sz w:val="19"/>
              </w:rPr>
              <w:t>ial care</w:t>
            </w:r>
          </w:p>
        </w:tc>
        <w:tc>
          <w:tcPr>
            <w:tcW w:w="2787" w:type="dxa"/>
          </w:tcPr>
          <w:p w14:paraId="4A87AE4C" w14:textId="77777777" w:rsidR="00841998" w:rsidRDefault="006E6906">
            <w:pPr>
              <w:pStyle w:val="TableParagraph"/>
              <w:spacing w:before="8"/>
              <w:ind w:left="152"/>
              <w:rPr>
                <w:sz w:val="19"/>
              </w:rPr>
            </w:pPr>
            <w:r>
              <w:rPr>
                <w:color w:val="312A2F"/>
                <w:w w:val="105"/>
                <w:sz w:val="19"/>
              </w:rPr>
              <w:t>House</w:t>
            </w:r>
            <w:r>
              <w:rPr>
                <w:color w:val="312A2F"/>
                <w:spacing w:val="7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and</w:t>
            </w:r>
            <w:r>
              <w:rPr>
                <w:color w:val="1A181F"/>
                <w:spacing w:val="-10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 xml:space="preserve">car </w:t>
            </w:r>
            <w:proofErr w:type="gramStart"/>
            <w:r>
              <w:rPr>
                <w:color w:val="1A181F"/>
                <w:w w:val="105"/>
                <w:sz w:val="19"/>
              </w:rPr>
              <w:t>not</w:t>
            </w:r>
            <w:r>
              <w:rPr>
                <w:color w:val="1A181F"/>
                <w:spacing w:val="-4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2"/>
                <w:w w:val="105"/>
                <w:sz w:val="19"/>
              </w:rPr>
              <w:t>exempt</w:t>
            </w:r>
            <w:proofErr w:type="gramEnd"/>
          </w:p>
        </w:tc>
        <w:tc>
          <w:tcPr>
            <w:tcW w:w="1423" w:type="dxa"/>
          </w:tcPr>
          <w:p w14:paraId="523683C8" w14:textId="77777777" w:rsidR="00841998" w:rsidRDefault="006E6906">
            <w:pPr>
              <w:pStyle w:val="TableParagraph"/>
              <w:spacing w:before="176"/>
              <w:ind w:right="101"/>
              <w:jc w:val="right"/>
              <w:rPr>
                <w:sz w:val="19"/>
              </w:rPr>
            </w:pPr>
            <w:r>
              <w:rPr>
                <w:color w:val="1A181F"/>
                <w:spacing w:val="-2"/>
                <w:w w:val="105"/>
                <w:sz w:val="19"/>
              </w:rPr>
              <w:t>$256</w:t>
            </w:r>
            <w:r>
              <w:rPr>
                <w:color w:val="3D3B3D"/>
                <w:spacing w:val="-2"/>
                <w:w w:val="105"/>
                <w:sz w:val="19"/>
              </w:rPr>
              <w:t>,</w:t>
            </w:r>
            <w:r>
              <w:rPr>
                <w:color w:val="1A181F"/>
                <w:spacing w:val="-2"/>
                <w:w w:val="105"/>
                <w:sz w:val="19"/>
              </w:rPr>
              <w:t>554</w:t>
            </w:r>
          </w:p>
        </w:tc>
        <w:tc>
          <w:tcPr>
            <w:tcW w:w="1514" w:type="dxa"/>
          </w:tcPr>
          <w:p w14:paraId="106A7842" w14:textId="77777777" w:rsidR="00841998" w:rsidRDefault="006E6906">
            <w:pPr>
              <w:pStyle w:val="TableParagraph"/>
              <w:spacing w:before="176"/>
              <w:ind w:right="70"/>
              <w:jc w:val="right"/>
              <w:rPr>
                <w:sz w:val="19"/>
              </w:rPr>
            </w:pPr>
            <w:r>
              <w:rPr>
                <w:color w:val="1A181F"/>
                <w:spacing w:val="-2"/>
                <w:w w:val="105"/>
                <w:sz w:val="19"/>
              </w:rPr>
              <w:t>$273</w:t>
            </w:r>
            <w:r>
              <w:rPr>
                <w:color w:val="3D3B3D"/>
                <w:spacing w:val="-2"/>
                <w:w w:val="105"/>
                <w:sz w:val="19"/>
              </w:rPr>
              <w:t>,</w:t>
            </w:r>
            <w:r>
              <w:rPr>
                <w:color w:val="1A181F"/>
                <w:spacing w:val="-2"/>
                <w:w w:val="105"/>
                <w:sz w:val="19"/>
              </w:rPr>
              <w:t>628</w:t>
            </w:r>
          </w:p>
        </w:tc>
      </w:tr>
      <w:tr w:rsidR="00841998" w14:paraId="75E16413" w14:textId="77777777">
        <w:trPr>
          <w:trHeight w:val="301"/>
        </w:trPr>
        <w:tc>
          <w:tcPr>
            <w:tcW w:w="2652" w:type="dxa"/>
            <w:vMerge/>
            <w:tcBorders>
              <w:top w:val="nil"/>
            </w:tcBorders>
          </w:tcPr>
          <w:p w14:paraId="5634A10C" w14:textId="77777777" w:rsidR="00841998" w:rsidRDefault="00841998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14:paraId="3C133B07" w14:textId="77777777" w:rsidR="00841998" w:rsidRDefault="006E6906">
            <w:pPr>
              <w:pStyle w:val="TableParagraph"/>
              <w:spacing w:before="8"/>
              <w:ind w:left="152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House</w:t>
            </w:r>
            <w:r>
              <w:rPr>
                <w:color w:val="1A181F"/>
                <w:spacing w:val="5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and</w:t>
            </w:r>
            <w:r>
              <w:rPr>
                <w:color w:val="1A181F"/>
                <w:spacing w:val="-10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car</w:t>
            </w:r>
            <w:r>
              <w:rPr>
                <w:color w:val="1A181F"/>
                <w:spacing w:val="2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2"/>
                <w:w w:val="105"/>
                <w:sz w:val="19"/>
              </w:rPr>
              <w:t>exempt</w:t>
            </w:r>
          </w:p>
        </w:tc>
        <w:tc>
          <w:tcPr>
            <w:tcW w:w="1423" w:type="dxa"/>
          </w:tcPr>
          <w:p w14:paraId="48CC4413" w14:textId="77777777" w:rsidR="00841998" w:rsidRDefault="006E6906">
            <w:pPr>
              <w:pStyle w:val="TableParagraph"/>
              <w:spacing w:before="47"/>
              <w:ind w:right="99"/>
              <w:jc w:val="right"/>
              <w:rPr>
                <w:sz w:val="19"/>
              </w:rPr>
            </w:pPr>
            <w:r>
              <w:rPr>
                <w:color w:val="312A2F"/>
                <w:spacing w:val="-2"/>
                <w:w w:val="105"/>
                <w:sz w:val="19"/>
              </w:rPr>
              <w:t>$140,495</w:t>
            </w:r>
          </w:p>
        </w:tc>
        <w:tc>
          <w:tcPr>
            <w:tcW w:w="1514" w:type="dxa"/>
          </w:tcPr>
          <w:p w14:paraId="5F5C6025" w14:textId="77777777" w:rsidR="00841998" w:rsidRDefault="006E6906">
            <w:pPr>
              <w:pStyle w:val="TableParagraph"/>
              <w:spacing w:before="47"/>
              <w:ind w:right="81"/>
              <w:jc w:val="right"/>
              <w:rPr>
                <w:sz w:val="19"/>
              </w:rPr>
            </w:pPr>
            <w:r>
              <w:rPr>
                <w:color w:val="1A181F"/>
                <w:spacing w:val="-2"/>
                <w:w w:val="105"/>
                <w:sz w:val="19"/>
              </w:rPr>
              <w:t>$149,845</w:t>
            </w:r>
          </w:p>
        </w:tc>
      </w:tr>
    </w:tbl>
    <w:p w14:paraId="62C917AC" w14:textId="77777777" w:rsidR="00841998" w:rsidRDefault="00841998">
      <w:pPr>
        <w:jc w:val="right"/>
        <w:rPr>
          <w:sz w:val="19"/>
        </w:rPr>
        <w:sectPr w:rsidR="00841998">
          <w:footerReference w:type="default" r:id="rId8"/>
          <w:pgSz w:w="11920" w:h="16860"/>
          <w:pgMar w:top="1140" w:right="960" w:bottom="960" w:left="1020" w:header="0" w:footer="777" w:gutter="0"/>
          <w:pgNumType w:start="2"/>
          <w:cols w:space="720"/>
        </w:sectPr>
      </w:pPr>
    </w:p>
    <w:p w14:paraId="579E1B8B" w14:textId="77777777" w:rsidR="00841998" w:rsidRDefault="006E6906">
      <w:pPr>
        <w:pStyle w:val="Heading1"/>
        <w:spacing w:before="66"/>
      </w:pPr>
      <w:proofErr w:type="spellStart"/>
      <w:r>
        <w:rPr>
          <w:color w:val="1A181F"/>
          <w:w w:val="115"/>
        </w:rPr>
        <w:t>Incmne</w:t>
      </w:r>
      <w:proofErr w:type="spellEnd"/>
      <w:r>
        <w:rPr>
          <w:color w:val="1A181F"/>
          <w:w w:val="115"/>
        </w:rPr>
        <w:t>-from</w:t>
      </w:r>
      <w:r>
        <w:rPr>
          <w:color w:val="050505"/>
          <w:w w:val="115"/>
        </w:rPr>
        <w:t>-</w:t>
      </w:r>
      <w:r>
        <w:rPr>
          <w:color w:val="1A181F"/>
          <w:w w:val="115"/>
        </w:rPr>
        <w:t>assets</w:t>
      </w:r>
      <w:r>
        <w:rPr>
          <w:color w:val="1A181F"/>
          <w:spacing w:val="18"/>
          <w:w w:val="115"/>
        </w:rPr>
        <w:t xml:space="preserve"> </w:t>
      </w:r>
      <w:r>
        <w:rPr>
          <w:color w:val="1A181F"/>
          <w:spacing w:val="-2"/>
          <w:w w:val="115"/>
        </w:rPr>
        <w:t>exemptions</w:t>
      </w:r>
    </w:p>
    <w:p w14:paraId="67937936" w14:textId="77777777" w:rsidR="00841998" w:rsidRDefault="00841998">
      <w:pPr>
        <w:pStyle w:val="BodyText"/>
        <w:spacing w:before="8"/>
        <w:rPr>
          <w:rFonts w:ascii="Times New Roman"/>
          <w:b/>
          <w:sz w:val="20"/>
        </w:rPr>
      </w:pPr>
    </w:p>
    <w:p w14:paraId="1F9E0507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0"/>
          <w:tab w:val="left" w:pos="611"/>
        </w:tabs>
        <w:spacing w:line="242" w:lineRule="auto"/>
        <w:ind w:left="608" w:right="331" w:hanging="490"/>
        <w:rPr>
          <w:color w:val="1A181F"/>
        </w:rPr>
      </w:pPr>
      <w:r>
        <w:rPr>
          <w:color w:val="1A181F"/>
        </w:rPr>
        <w:t>Wh</w:t>
      </w:r>
      <w:r>
        <w:rPr>
          <w:color w:val="050505"/>
        </w:rPr>
        <w:t>e</w:t>
      </w:r>
      <w:r>
        <w:rPr>
          <w:color w:val="1A181F"/>
        </w:rPr>
        <w:t>n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a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person</w:t>
      </w:r>
      <w:r>
        <w:rPr>
          <w:color w:val="163A41"/>
        </w:rPr>
        <w:t>'</w:t>
      </w:r>
      <w:r>
        <w:rPr>
          <w:color w:val="1A181F"/>
        </w:rPr>
        <w:t>s</w:t>
      </w:r>
      <w:r>
        <w:rPr>
          <w:color w:val="1A181F"/>
          <w:spacing w:val="-15"/>
        </w:rPr>
        <w:t xml:space="preserve"> </w:t>
      </w:r>
      <w:r>
        <w:rPr>
          <w:color w:val="2D2F3D"/>
        </w:rPr>
        <w:t>i</w:t>
      </w:r>
      <w:r>
        <w:rPr>
          <w:color w:val="1A181F"/>
        </w:rPr>
        <w:t>ncome</w:t>
      </w:r>
      <w:r>
        <w:rPr>
          <w:color w:val="1A181F"/>
          <w:spacing w:val="-11"/>
        </w:rPr>
        <w:t xml:space="preserve"> </w:t>
      </w:r>
      <w:r>
        <w:rPr>
          <w:color w:val="3A2426"/>
        </w:rPr>
        <w:t xml:space="preserve">is </w:t>
      </w:r>
      <w:r>
        <w:rPr>
          <w:color w:val="1A181F"/>
        </w:rPr>
        <w:t>asse</w:t>
      </w:r>
      <w:r>
        <w:rPr>
          <w:color w:val="050505"/>
        </w:rPr>
        <w:t>s</w:t>
      </w:r>
      <w:r>
        <w:rPr>
          <w:color w:val="1A181F"/>
        </w:rPr>
        <w:t>sed,</w:t>
      </w:r>
      <w:r>
        <w:rPr>
          <w:color w:val="1A181F"/>
          <w:spacing w:val="-17"/>
        </w:rPr>
        <w:t xml:space="preserve"> </w:t>
      </w:r>
      <w:r>
        <w:rPr>
          <w:color w:val="1A181F"/>
        </w:rPr>
        <w:t>a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portion of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 xml:space="preserve">any </w:t>
      </w:r>
      <w:r>
        <w:rPr>
          <w:color w:val="2D2F3D"/>
        </w:rPr>
        <w:t>i</w:t>
      </w:r>
      <w:r>
        <w:rPr>
          <w:color w:val="1A181F"/>
        </w:rPr>
        <w:t>ncome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they receive from their ass</w:t>
      </w:r>
      <w:r>
        <w:rPr>
          <w:color w:val="050505"/>
        </w:rPr>
        <w:t>e</w:t>
      </w:r>
      <w:r>
        <w:rPr>
          <w:color w:val="1A181F"/>
        </w:rPr>
        <w:t>ts is exemp</w:t>
      </w:r>
      <w:r>
        <w:rPr>
          <w:color w:val="2D2F3D"/>
        </w:rPr>
        <w:t xml:space="preserve">t </w:t>
      </w:r>
      <w:r>
        <w:rPr>
          <w:color w:val="1A181F"/>
        </w:rPr>
        <w:t xml:space="preserve">from their </w:t>
      </w:r>
      <w:r>
        <w:rPr>
          <w:color w:val="2D2F3D"/>
        </w:rPr>
        <w:t>i</w:t>
      </w:r>
      <w:r>
        <w:rPr>
          <w:color w:val="1A181F"/>
        </w:rPr>
        <w:t>ncome assessm</w:t>
      </w:r>
      <w:r>
        <w:rPr>
          <w:color w:val="050505"/>
        </w:rPr>
        <w:t>e</w:t>
      </w:r>
      <w:r>
        <w:rPr>
          <w:color w:val="1A181F"/>
        </w:rPr>
        <w:t xml:space="preserve">nt. This amount </w:t>
      </w:r>
      <w:r>
        <w:rPr>
          <w:color w:val="2D2F3D"/>
        </w:rPr>
        <w:t>i</w:t>
      </w:r>
      <w:r>
        <w:rPr>
          <w:color w:val="1A181F"/>
        </w:rPr>
        <w:t xml:space="preserve">s referred to as the </w:t>
      </w:r>
      <w:r>
        <w:rPr>
          <w:color w:val="413B3B"/>
        </w:rPr>
        <w:t>"</w:t>
      </w:r>
      <w:r>
        <w:rPr>
          <w:color w:val="1A181F"/>
        </w:rPr>
        <w:t>income</w:t>
      </w:r>
      <w:r>
        <w:rPr>
          <w:color w:val="050505"/>
        </w:rPr>
        <w:t>-</w:t>
      </w:r>
      <w:r>
        <w:rPr>
          <w:color w:val="1A181F"/>
        </w:rPr>
        <w:t>fro</w:t>
      </w:r>
      <w:r>
        <w:rPr>
          <w:color w:val="2D2F3D"/>
        </w:rPr>
        <w:t>m</w:t>
      </w:r>
      <w:r>
        <w:rPr>
          <w:color w:val="050505"/>
        </w:rPr>
        <w:t xml:space="preserve">­ </w:t>
      </w:r>
      <w:r>
        <w:rPr>
          <w:color w:val="1A181F"/>
        </w:rPr>
        <w:t>assets exemption".</w:t>
      </w:r>
    </w:p>
    <w:p w14:paraId="0C33B36A" w14:textId="77777777" w:rsidR="00841998" w:rsidRDefault="00841998">
      <w:pPr>
        <w:pStyle w:val="BodyText"/>
        <w:spacing w:before="3"/>
        <w:rPr>
          <w:sz w:val="20"/>
        </w:rPr>
      </w:pPr>
    </w:p>
    <w:p w14:paraId="3676A321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5"/>
          <w:tab w:val="left" w:pos="606"/>
        </w:tabs>
        <w:spacing w:line="242" w:lineRule="auto"/>
        <w:ind w:left="605" w:right="403" w:hanging="492"/>
        <w:rPr>
          <w:color w:val="1A181F"/>
        </w:rPr>
      </w:pPr>
      <w:r>
        <w:rPr>
          <w:color w:val="1A181F"/>
        </w:rPr>
        <w:t>Every year</w:t>
      </w:r>
      <w:r>
        <w:rPr>
          <w:color w:val="2D2F3D"/>
        </w:rPr>
        <w:t>,</w:t>
      </w:r>
      <w:r>
        <w:rPr>
          <w:color w:val="2D2F3D"/>
          <w:spacing w:val="-16"/>
        </w:rPr>
        <w:t xml:space="preserve"> </w:t>
      </w:r>
      <w:r>
        <w:rPr>
          <w:color w:val="1A181F"/>
        </w:rPr>
        <w:t>th</w:t>
      </w:r>
      <w:r>
        <w:rPr>
          <w:color w:val="050505"/>
        </w:rPr>
        <w:t>e</w:t>
      </w:r>
      <w:r>
        <w:rPr>
          <w:color w:val="050505"/>
          <w:spacing w:val="-6"/>
        </w:rPr>
        <w:t xml:space="preserve"> </w:t>
      </w:r>
      <w:r>
        <w:rPr>
          <w:color w:val="3A2426"/>
        </w:rPr>
        <w:t>i</w:t>
      </w:r>
      <w:r>
        <w:rPr>
          <w:color w:val="1A181F"/>
        </w:rPr>
        <w:t>ncome-from</w:t>
      </w:r>
      <w:r>
        <w:rPr>
          <w:color w:val="050505"/>
        </w:rPr>
        <w:t>-</w:t>
      </w:r>
      <w:r>
        <w:rPr>
          <w:color w:val="1A181F"/>
        </w:rPr>
        <w:t>assets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exemptions are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requ</w:t>
      </w:r>
      <w:r>
        <w:rPr>
          <w:color w:val="413B3B"/>
        </w:rPr>
        <w:t>i</w:t>
      </w:r>
      <w:r>
        <w:rPr>
          <w:color w:val="1A181F"/>
        </w:rPr>
        <w:t>red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by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law to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be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 xml:space="preserve">adjusted annually on </w:t>
      </w:r>
      <w:r>
        <w:rPr>
          <w:color w:val="2D2F3D"/>
        </w:rPr>
        <w:t>1</w:t>
      </w:r>
      <w:r>
        <w:rPr>
          <w:color w:val="2D2F3D"/>
          <w:spacing w:val="-7"/>
        </w:rPr>
        <w:t xml:space="preserve"> </w:t>
      </w:r>
      <w:r>
        <w:rPr>
          <w:color w:val="1A181F"/>
        </w:rPr>
        <w:t>July by the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 xml:space="preserve">percentage </w:t>
      </w:r>
      <w:r>
        <w:rPr>
          <w:color w:val="3A2426"/>
        </w:rPr>
        <w:t xml:space="preserve">increase </w:t>
      </w:r>
      <w:r>
        <w:rPr>
          <w:color w:val="1A181F"/>
        </w:rPr>
        <w:t xml:space="preserve">in the </w:t>
      </w:r>
      <w:proofErr w:type="gramStart"/>
      <w:r>
        <w:rPr>
          <w:color w:val="1A181F"/>
        </w:rPr>
        <w:t>All Groups</w:t>
      </w:r>
      <w:proofErr w:type="gramEnd"/>
      <w:r>
        <w:rPr>
          <w:color w:val="1A181F"/>
        </w:rPr>
        <w:t xml:space="preserve"> Consumers</w:t>
      </w:r>
      <w:r>
        <w:rPr>
          <w:color w:val="1A181F"/>
          <w:spacing w:val="27"/>
        </w:rPr>
        <w:t xml:space="preserve"> </w:t>
      </w:r>
      <w:r>
        <w:rPr>
          <w:color w:val="1A181F"/>
        </w:rPr>
        <w:t>Pr</w:t>
      </w:r>
      <w:r>
        <w:rPr>
          <w:color w:val="2D2F3D"/>
        </w:rPr>
        <w:t>i</w:t>
      </w:r>
      <w:r>
        <w:rPr>
          <w:color w:val="1A181F"/>
        </w:rPr>
        <w:t>ce</w:t>
      </w:r>
      <w:r>
        <w:rPr>
          <w:color w:val="1A181F"/>
          <w:spacing w:val="-12"/>
        </w:rPr>
        <w:t xml:space="preserve"> </w:t>
      </w:r>
      <w:r>
        <w:rPr>
          <w:color w:val="3A2426"/>
        </w:rPr>
        <w:t xml:space="preserve">Index </w:t>
      </w:r>
      <w:r>
        <w:rPr>
          <w:color w:val="1A181F"/>
        </w:rPr>
        <w:t>for the year ending 3</w:t>
      </w:r>
      <w:r>
        <w:rPr>
          <w:color w:val="2D2F3D"/>
        </w:rPr>
        <w:t>1</w:t>
      </w:r>
      <w:r>
        <w:rPr>
          <w:color w:val="2D2F3D"/>
          <w:spacing w:val="-11"/>
        </w:rPr>
        <w:t xml:space="preserve"> </w:t>
      </w:r>
      <w:r>
        <w:rPr>
          <w:color w:val="1A181F"/>
        </w:rPr>
        <w:t>March as requ</w:t>
      </w:r>
      <w:r>
        <w:rPr>
          <w:color w:val="2D2F3D"/>
        </w:rPr>
        <w:t>i</w:t>
      </w:r>
      <w:r>
        <w:rPr>
          <w:color w:val="1A181F"/>
        </w:rPr>
        <w:t>red by section 75(2) of the Act.</w:t>
      </w:r>
    </w:p>
    <w:p w14:paraId="005CF69E" w14:textId="77777777" w:rsidR="00841998" w:rsidRDefault="00841998">
      <w:pPr>
        <w:pStyle w:val="BodyText"/>
        <w:spacing w:before="2"/>
        <w:rPr>
          <w:sz w:val="20"/>
        </w:rPr>
      </w:pPr>
    </w:p>
    <w:p w14:paraId="096DC5C5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  <w:tab w:val="left" w:pos="609"/>
        </w:tabs>
        <w:spacing w:line="244" w:lineRule="auto"/>
        <w:ind w:left="608" w:right="294" w:hanging="491"/>
        <w:rPr>
          <w:color w:val="2D2F3D"/>
        </w:rPr>
      </w:pPr>
      <w:r>
        <w:rPr>
          <w:color w:val="3A2426"/>
        </w:rPr>
        <w:t>The</w:t>
      </w:r>
      <w:r>
        <w:rPr>
          <w:color w:val="3A2426"/>
          <w:spacing w:val="-5"/>
        </w:rPr>
        <w:t xml:space="preserve"> </w:t>
      </w:r>
      <w:r>
        <w:rPr>
          <w:color w:val="1A181F"/>
        </w:rPr>
        <w:t>Amendment Regulations a</w:t>
      </w:r>
      <w:r>
        <w:rPr>
          <w:color w:val="2D2F3D"/>
        </w:rPr>
        <w:t>r</w:t>
      </w:r>
      <w:r>
        <w:rPr>
          <w:color w:val="1A181F"/>
        </w:rPr>
        <w:t>e</w:t>
      </w:r>
      <w:r>
        <w:rPr>
          <w:color w:val="1A181F"/>
          <w:spacing w:val="-14"/>
        </w:rPr>
        <w:t xml:space="preserve"> </w:t>
      </w:r>
      <w:r>
        <w:rPr>
          <w:color w:val="1A181F"/>
        </w:rPr>
        <w:t>required to</w:t>
      </w:r>
      <w:r>
        <w:rPr>
          <w:color w:val="1A181F"/>
          <w:spacing w:val="-8"/>
        </w:rPr>
        <w:t xml:space="preserve"> </w:t>
      </w:r>
      <w:r>
        <w:rPr>
          <w:color w:val="3A2426"/>
        </w:rPr>
        <w:t xml:space="preserve">increase </w:t>
      </w:r>
      <w:r>
        <w:rPr>
          <w:color w:val="1A181F"/>
        </w:rPr>
        <w:t>the</w:t>
      </w:r>
      <w:r>
        <w:rPr>
          <w:color w:val="1A181F"/>
          <w:spacing w:val="-11"/>
        </w:rPr>
        <w:t xml:space="preserve"> </w:t>
      </w:r>
      <w:r>
        <w:rPr>
          <w:color w:val="413B3B"/>
        </w:rPr>
        <w:t>i</w:t>
      </w:r>
      <w:r>
        <w:rPr>
          <w:color w:val="1A181F"/>
        </w:rPr>
        <w:t>ncome-from</w:t>
      </w:r>
      <w:r>
        <w:rPr>
          <w:color w:val="050505"/>
        </w:rPr>
        <w:t>-</w:t>
      </w:r>
      <w:r>
        <w:rPr>
          <w:color w:val="1A181F"/>
        </w:rPr>
        <w:t>assets</w:t>
      </w:r>
      <w:r>
        <w:rPr>
          <w:color w:val="1A181F"/>
          <w:spacing w:val="-15"/>
        </w:rPr>
        <w:t xml:space="preserve"> </w:t>
      </w:r>
      <w:r>
        <w:rPr>
          <w:color w:val="1A181F"/>
        </w:rPr>
        <w:t>exemptions in line with the 6</w:t>
      </w:r>
      <w:r>
        <w:rPr>
          <w:color w:val="413B3B"/>
        </w:rPr>
        <w:t>.</w:t>
      </w:r>
      <w:r>
        <w:rPr>
          <w:color w:val="1A181F"/>
        </w:rPr>
        <w:t>7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percent increase in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 xml:space="preserve">the </w:t>
      </w:r>
      <w:proofErr w:type="gramStart"/>
      <w:r>
        <w:rPr>
          <w:color w:val="1A181F"/>
        </w:rPr>
        <w:t>A</w:t>
      </w:r>
      <w:r>
        <w:rPr>
          <w:color w:val="2D2F3D"/>
        </w:rPr>
        <w:t>ll</w:t>
      </w:r>
      <w:r>
        <w:rPr>
          <w:color w:val="2D2F3D"/>
          <w:spacing w:val="-11"/>
        </w:rPr>
        <w:t xml:space="preserve"> </w:t>
      </w:r>
      <w:r>
        <w:rPr>
          <w:color w:val="1A181F"/>
        </w:rPr>
        <w:t>Groups</w:t>
      </w:r>
      <w:proofErr w:type="gramEnd"/>
      <w:r>
        <w:rPr>
          <w:color w:val="1A181F"/>
          <w:spacing w:val="21"/>
        </w:rPr>
        <w:t xml:space="preserve"> </w:t>
      </w:r>
      <w:r>
        <w:rPr>
          <w:color w:val="1A181F"/>
        </w:rPr>
        <w:t>Consumers Price Index for the year ending 3</w:t>
      </w:r>
      <w:r>
        <w:rPr>
          <w:color w:val="2D2F3D"/>
        </w:rPr>
        <w:t xml:space="preserve">1 </w:t>
      </w:r>
      <w:r>
        <w:rPr>
          <w:color w:val="1A181F"/>
        </w:rPr>
        <w:t>March 2023.</w:t>
      </w:r>
    </w:p>
    <w:p w14:paraId="5348DD26" w14:textId="77777777" w:rsidR="00841998" w:rsidRDefault="00841998">
      <w:pPr>
        <w:pStyle w:val="BodyText"/>
        <w:spacing w:before="2"/>
        <w:rPr>
          <w:sz w:val="20"/>
        </w:rPr>
      </w:pPr>
    </w:p>
    <w:p w14:paraId="2D58E711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0"/>
          <w:tab w:val="left" w:pos="611"/>
        </w:tabs>
        <w:spacing w:line="237" w:lineRule="auto"/>
        <w:ind w:left="608" w:right="917"/>
        <w:rPr>
          <w:color w:val="2D2F3D"/>
        </w:rPr>
      </w:pPr>
      <w:r>
        <w:rPr>
          <w:color w:val="1A181F"/>
        </w:rPr>
        <w:t>We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are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proposi</w:t>
      </w:r>
      <w:r>
        <w:rPr>
          <w:color w:val="2D2F3D"/>
        </w:rPr>
        <w:t>n</w:t>
      </w:r>
      <w:r>
        <w:rPr>
          <w:color w:val="1A181F"/>
        </w:rPr>
        <w:t>g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that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the Amendment Regulations make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following changes to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 xml:space="preserve">the </w:t>
      </w:r>
      <w:r>
        <w:rPr>
          <w:color w:val="36112B"/>
        </w:rPr>
        <w:t>i</w:t>
      </w:r>
      <w:r>
        <w:rPr>
          <w:color w:val="1A181F"/>
        </w:rPr>
        <w:t>ncome</w:t>
      </w:r>
      <w:r>
        <w:rPr>
          <w:color w:val="050505"/>
        </w:rPr>
        <w:t>-</w:t>
      </w:r>
      <w:r>
        <w:rPr>
          <w:color w:val="1A181F"/>
        </w:rPr>
        <w:t>from</w:t>
      </w:r>
      <w:r>
        <w:rPr>
          <w:color w:val="050505"/>
        </w:rPr>
        <w:t>-</w:t>
      </w:r>
      <w:r>
        <w:rPr>
          <w:color w:val="1A181F"/>
        </w:rPr>
        <w:t>assets exemptions per yea</w:t>
      </w:r>
      <w:r>
        <w:rPr>
          <w:color w:val="2D2F3D"/>
        </w:rPr>
        <w:t>r:</w:t>
      </w:r>
    </w:p>
    <w:p w14:paraId="46A553C9" w14:textId="77777777" w:rsidR="00841998" w:rsidRDefault="00841998">
      <w:pPr>
        <w:pStyle w:val="BodyText"/>
        <w:spacing w:before="3"/>
      </w:pPr>
    </w:p>
    <w:tbl>
      <w:tblPr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1739"/>
        <w:gridCol w:w="1725"/>
      </w:tblGrid>
      <w:tr w:rsidR="00841998" w14:paraId="4F06882E" w14:textId="77777777">
        <w:trPr>
          <w:trHeight w:val="767"/>
        </w:trPr>
        <w:tc>
          <w:tcPr>
            <w:tcW w:w="5563" w:type="dxa"/>
          </w:tcPr>
          <w:p w14:paraId="4F8C3357" w14:textId="77777777" w:rsidR="00841998" w:rsidRDefault="008419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  <w:gridSpan w:val="2"/>
          </w:tcPr>
          <w:p w14:paraId="509A6AF8" w14:textId="77777777" w:rsidR="00841998" w:rsidRDefault="006E6906">
            <w:pPr>
              <w:pStyle w:val="TableParagraph"/>
              <w:spacing w:before="4" w:line="254" w:lineRule="auto"/>
              <w:ind w:left="126" w:right="369" w:hanging="6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Income-from</w:t>
            </w:r>
            <w:r>
              <w:rPr>
                <w:b/>
                <w:color w:val="050505"/>
                <w:w w:val="105"/>
                <w:sz w:val="19"/>
              </w:rPr>
              <w:t>-</w:t>
            </w:r>
            <w:r>
              <w:rPr>
                <w:b/>
                <w:color w:val="1A181F"/>
                <w:w w:val="105"/>
                <w:sz w:val="19"/>
              </w:rPr>
              <w:t>assets</w:t>
            </w:r>
            <w:r>
              <w:rPr>
                <w:b/>
                <w:color w:val="1A181F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w w:val="105"/>
                <w:sz w:val="19"/>
              </w:rPr>
              <w:t xml:space="preserve">exemption </w:t>
            </w:r>
            <w:r>
              <w:rPr>
                <w:b/>
                <w:color w:val="1A181F"/>
                <w:spacing w:val="-2"/>
                <w:w w:val="105"/>
                <w:sz w:val="19"/>
              </w:rPr>
              <w:t>from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.</w:t>
            </w:r>
            <w:r>
              <w:rPr>
                <w:b/>
                <w:color w:val="1A181F"/>
                <w:spacing w:val="-2"/>
                <w:w w:val="105"/>
                <w:sz w:val="19"/>
              </w:rPr>
              <w:t>..</w:t>
            </w:r>
          </w:p>
        </w:tc>
      </w:tr>
      <w:tr w:rsidR="00841998" w14:paraId="28C40CE4" w14:textId="77777777">
        <w:trPr>
          <w:trHeight w:val="517"/>
        </w:trPr>
        <w:tc>
          <w:tcPr>
            <w:tcW w:w="5563" w:type="dxa"/>
          </w:tcPr>
          <w:p w14:paraId="48A32F9E" w14:textId="77777777" w:rsidR="00841998" w:rsidRDefault="006E6906">
            <w:pPr>
              <w:pStyle w:val="TableParagraph"/>
              <w:spacing w:before="167"/>
              <w:ind w:left="125"/>
              <w:rPr>
                <w:b/>
                <w:sz w:val="19"/>
              </w:rPr>
            </w:pPr>
            <w:r>
              <w:rPr>
                <w:b/>
                <w:color w:val="1A181F"/>
                <w:spacing w:val="-2"/>
                <w:w w:val="105"/>
                <w:sz w:val="19"/>
              </w:rPr>
              <w:t>Ci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>r</w:t>
            </w:r>
            <w:r>
              <w:rPr>
                <w:b/>
                <w:color w:val="1A181F"/>
                <w:spacing w:val="-2"/>
                <w:w w:val="105"/>
                <w:sz w:val="19"/>
              </w:rPr>
              <w:t>cumstance</w:t>
            </w:r>
          </w:p>
        </w:tc>
        <w:tc>
          <w:tcPr>
            <w:tcW w:w="1739" w:type="dxa"/>
          </w:tcPr>
          <w:p w14:paraId="3766913F" w14:textId="77777777" w:rsidR="00841998" w:rsidRDefault="006E6906">
            <w:pPr>
              <w:pStyle w:val="TableParagraph"/>
              <w:spacing w:before="13"/>
              <w:ind w:left="123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1</w:t>
            </w:r>
            <w:r>
              <w:rPr>
                <w:b/>
                <w:color w:val="1A181F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w w:val="105"/>
                <w:sz w:val="19"/>
              </w:rPr>
              <w:t>July</w:t>
            </w:r>
            <w:r>
              <w:rPr>
                <w:b/>
                <w:color w:val="1A181F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>2022</w:t>
            </w:r>
          </w:p>
        </w:tc>
        <w:tc>
          <w:tcPr>
            <w:tcW w:w="1725" w:type="dxa"/>
          </w:tcPr>
          <w:p w14:paraId="74DEF759" w14:textId="77777777" w:rsidR="00841998" w:rsidRDefault="006E6906">
            <w:pPr>
              <w:pStyle w:val="TableParagraph"/>
              <w:spacing w:before="13"/>
              <w:ind w:left="114"/>
              <w:rPr>
                <w:b/>
                <w:sz w:val="19"/>
              </w:rPr>
            </w:pPr>
            <w:r>
              <w:rPr>
                <w:b/>
                <w:color w:val="1A181F"/>
                <w:w w:val="105"/>
                <w:sz w:val="19"/>
              </w:rPr>
              <w:t>1</w:t>
            </w:r>
            <w:r>
              <w:rPr>
                <w:b/>
                <w:color w:val="1A181F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1A181F"/>
                <w:w w:val="105"/>
                <w:sz w:val="19"/>
              </w:rPr>
              <w:t>July</w:t>
            </w:r>
            <w:r>
              <w:rPr>
                <w:b/>
                <w:color w:val="1A181F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>2</w:t>
            </w:r>
            <w:r>
              <w:rPr>
                <w:b/>
                <w:color w:val="1A181F"/>
                <w:spacing w:val="-4"/>
                <w:w w:val="105"/>
                <w:sz w:val="19"/>
              </w:rPr>
              <w:t>023</w:t>
            </w:r>
          </w:p>
        </w:tc>
      </w:tr>
      <w:tr w:rsidR="00841998" w14:paraId="016CE5E0" w14:textId="77777777">
        <w:trPr>
          <w:trHeight w:val="532"/>
        </w:trPr>
        <w:tc>
          <w:tcPr>
            <w:tcW w:w="5563" w:type="dxa"/>
            <w:tcBorders>
              <w:bottom w:val="single" w:sz="4" w:space="0" w:color="000000"/>
            </w:tcBorders>
          </w:tcPr>
          <w:p w14:paraId="042F4E8A" w14:textId="77777777" w:rsidR="00841998" w:rsidRDefault="006E6906">
            <w:pPr>
              <w:pStyle w:val="TableParagraph"/>
              <w:spacing w:before="8"/>
              <w:ind w:left="125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S</w:t>
            </w:r>
            <w:r>
              <w:rPr>
                <w:color w:val="2D2F3D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ng</w:t>
            </w:r>
            <w:r>
              <w:rPr>
                <w:color w:val="2D2F3D"/>
                <w:w w:val="105"/>
                <w:sz w:val="19"/>
              </w:rPr>
              <w:t>l</w:t>
            </w:r>
            <w:r>
              <w:rPr>
                <w:color w:val="1A181F"/>
                <w:w w:val="105"/>
                <w:sz w:val="19"/>
              </w:rPr>
              <w:t>e</w:t>
            </w:r>
            <w:r>
              <w:rPr>
                <w:color w:val="1A181F"/>
                <w:spacing w:val="-8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2"/>
                <w:w w:val="105"/>
                <w:sz w:val="19"/>
              </w:rPr>
              <w:t>person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 w14:paraId="25E4B117" w14:textId="77777777" w:rsidR="00841998" w:rsidRDefault="006E6906">
            <w:pPr>
              <w:pStyle w:val="TableParagraph"/>
              <w:spacing w:line="232" w:lineRule="exact"/>
              <w:ind w:right="8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$</w:t>
            </w:r>
            <w:r>
              <w:rPr>
                <w:rFonts w:ascii="Times New Roman"/>
                <w:color w:val="2D2F3D"/>
                <w:spacing w:val="-2"/>
                <w:w w:val="105"/>
                <w:sz w:val="21"/>
              </w:rPr>
              <w:t>1,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1</w:t>
            </w:r>
            <w:r>
              <w:rPr>
                <w:rFonts w:ascii="Times New Roman"/>
                <w:color w:val="3A2426"/>
                <w:spacing w:val="-2"/>
                <w:w w:val="105"/>
                <w:sz w:val="21"/>
              </w:rPr>
              <w:t>1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 w14:paraId="516A9898" w14:textId="77777777" w:rsidR="00841998" w:rsidRDefault="006E6906">
            <w:pPr>
              <w:pStyle w:val="TableParagraph"/>
              <w:spacing w:line="232" w:lineRule="exact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$1</w:t>
            </w:r>
            <w:r>
              <w:rPr>
                <w:rFonts w:ascii="Times New Roman"/>
                <w:color w:val="4D4D4D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2D2F3D"/>
                <w:spacing w:val="-2"/>
                <w:w w:val="105"/>
                <w:sz w:val="21"/>
              </w:rPr>
              <w:t>1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88</w:t>
            </w:r>
          </w:p>
        </w:tc>
      </w:tr>
      <w:tr w:rsidR="00841998" w14:paraId="160E3542" w14:textId="77777777">
        <w:trPr>
          <w:trHeight w:val="609"/>
        </w:trPr>
        <w:tc>
          <w:tcPr>
            <w:tcW w:w="5563" w:type="dxa"/>
            <w:tcBorders>
              <w:top w:val="single" w:sz="4" w:space="0" w:color="000000"/>
            </w:tcBorders>
          </w:tcPr>
          <w:p w14:paraId="49BB7002" w14:textId="77777777" w:rsidR="00841998" w:rsidRDefault="006E6906">
            <w:pPr>
              <w:pStyle w:val="TableParagraph"/>
              <w:spacing w:before="28"/>
              <w:ind w:left="129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Both</w:t>
            </w:r>
            <w:r>
              <w:rPr>
                <w:color w:val="1A181F"/>
                <w:spacing w:val="-2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partners</w:t>
            </w:r>
            <w:r>
              <w:rPr>
                <w:color w:val="1A181F"/>
                <w:spacing w:val="10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in</w:t>
            </w:r>
            <w:r>
              <w:rPr>
                <w:color w:val="1A181F"/>
                <w:spacing w:val="-7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</w:t>
            </w:r>
            <w:r>
              <w:rPr>
                <w:color w:val="1A181F"/>
                <w:spacing w:val="-2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couple</w:t>
            </w:r>
            <w:r>
              <w:rPr>
                <w:color w:val="1A181F"/>
                <w:spacing w:val="3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are</w:t>
            </w:r>
            <w:r>
              <w:rPr>
                <w:color w:val="1A181F"/>
                <w:spacing w:val="-3"/>
                <w:w w:val="105"/>
                <w:sz w:val="19"/>
              </w:rPr>
              <w:t xml:space="preserve"> </w:t>
            </w:r>
            <w:r>
              <w:rPr>
                <w:color w:val="2D2F3D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n</w:t>
            </w:r>
            <w:r>
              <w:rPr>
                <w:color w:val="1A181F"/>
                <w:spacing w:val="-9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residentia</w:t>
            </w:r>
            <w:r>
              <w:rPr>
                <w:color w:val="2D2F3D"/>
                <w:w w:val="105"/>
                <w:sz w:val="19"/>
              </w:rPr>
              <w:t>l</w:t>
            </w:r>
            <w:r>
              <w:rPr>
                <w:color w:val="2D2F3D"/>
                <w:spacing w:val="-5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4"/>
                <w:w w:val="105"/>
                <w:sz w:val="19"/>
              </w:rPr>
              <w:t>care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 w14:paraId="36C4C7F5" w14:textId="77777777" w:rsidR="00841998" w:rsidRDefault="006E6906">
            <w:pPr>
              <w:pStyle w:val="TableParagraph"/>
              <w:spacing w:before="10"/>
              <w:ind w:right="7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$2</w:t>
            </w:r>
            <w:r>
              <w:rPr>
                <w:rFonts w:ascii="Times New Roman"/>
                <w:color w:val="2D2F3D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228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 w14:paraId="3637CF08" w14:textId="77777777" w:rsidR="00841998" w:rsidRDefault="006E6906">
            <w:pPr>
              <w:pStyle w:val="TableParagraph"/>
              <w:spacing w:before="10"/>
              <w:ind w:right="6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$2</w:t>
            </w:r>
            <w:r>
              <w:rPr>
                <w:rFonts w:ascii="Times New Roman"/>
                <w:color w:val="4D4D4D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376</w:t>
            </w:r>
          </w:p>
        </w:tc>
      </w:tr>
      <w:tr w:rsidR="00841998" w14:paraId="7D066AF8" w14:textId="77777777">
        <w:trPr>
          <w:trHeight w:val="474"/>
        </w:trPr>
        <w:tc>
          <w:tcPr>
            <w:tcW w:w="5563" w:type="dxa"/>
          </w:tcPr>
          <w:p w14:paraId="3A1DE62A" w14:textId="77777777" w:rsidR="00841998" w:rsidRDefault="006E6906">
            <w:pPr>
              <w:pStyle w:val="TableParagraph"/>
              <w:spacing w:before="13"/>
              <w:ind w:left="124"/>
              <w:rPr>
                <w:sz w:val="19"/>
              </w:rPr>
            </w:pPr>
            <w:r>
              <w:rPr>
                <w:color w:val="1A181F"/>
                <w:w w:val="105"/>
                <w:sz w:val="19"/>
              </w:rPr>
              <w:t>One</w:t>
            </w:r>
            <w:r>
              <w:rPr>
                <w:color w:val="1A181F"/>
                <w:spacing w:val="-6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partner</w:t>
            </w:r>
            <w:r>
              <w:rPr>
                <w:color w:val="1A181F"/>
                <w:spacing w:val="7"/>
                <w:w w:val="105"/>
                <w:sz w:val="19"/>
              </w:rPr>
              <w:t xml:space="preserve"> </w:t>
            </w:r>
            <w:r>
              <w:rPr>
                <w:color w:val="343D56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n</w:t>
            </w:r>
            <w:r>
              <w:rPr>
                <w:color w:val="1A181F"/>
                <w:spacing w:val="-8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a</w:t>
            </w:r>
            <w:r>
              <w:rPr>
                <w:color w:val="1A181F"/>
                <w:spacing w:val="2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couple</w:t>
            </w:r>
            <w:r>
              <w:rPr>
                <w:color w:val="1A181F"/>
                <w:spacing w:val="8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is</w:t>
            </w:r>
            <w:r>
              <w:rPr>
                <w:color w:val="1A181F"/>
                <w:spacing w:val="-1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in</w:t>
            </w:r>
            <w:r>
              <w:rPr>
                <w:color w:val="1A181F"/>
                <w:spacing w:val="-3"/>
                <w:w w:val="105"/>
                <w:sz w:val="19"/>
              </w:rPr>
              <w:t xml:space="preserve"> </w:t>
            </w:r>
            <w:r>
              <w:rPr>
                <w:color w:val="1A181F"/>
                <w:w w:val="105"/>
                <w:sz w:val="19"/>
              </w:rPr>
              <w:t>res</w:t>
            </w:r>
            <w:r>
              <w:rPr>
                <w:color w:val="413B3B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dent</w:t>
            </w:r>
            <w:r>
              <w:rPr>
                <w:color w:val="3A2426"/>
                <w:w w:val="105"/>
                <w:sz w:val="19"/>
              </w:rPr>
              <w:t>i</w:t>
            </w:r>
            <w:r>
              <w:rPr>
                <w:color w:val="1A181F"/>
                <w:w w:val="105"/>
                <w:sz w:val="19"/>
              </w:rPr>
              <w:t>a</w:t>
            </w:r>
            <w:r>
              <w:rPr>
                <w:color w:val="2D2F3D"/>
                <w:w w:val="105"/>
                <w:sz w:val="19"/>
              </w:rPr>
              <w:t>l</w:t>
            </w:r>
            <w:r>
              <w:rPr>
                <w:color w:val="2D2F3D"/>
                <w:spacing w:val="-10"/>
                <w:w w:val="105"/>
                <w:sz w:val="19"/>
              </w:rPr>
              <w:t xml:space="preserve"> </w:t>
            </w:r>
            <w:r>
              <w:rPr>
                <w:color w:val="1A181F"/>
                <w:spacing w:val="-4"/>
                <w:w w:val="105"/>
                <w:sz w:val="19"/>
              </w:rPr>
              <w:t>care</w:t>
            </w:r>
          </w:p>
        </w:tc>
        <w:tc>
          <w:tcPr>
            <w:tcW w:w="1739" w:type="dxa"/>
          </w:tcPr>
          <w:p w14:paraId="2813B426" w14:textId="77777777" w:rsidR="00841998" w:rsidRDefault="006E6906">
            <w:pPr>
              <w:pStyle w:val="TableParagraph"/>
              <w:spacing w:line="237" w:lineRule="exact"/>
              <w:ind w:right="63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10"/>
                <w:sz w:val="21"/>
              </w:rPr>
              <w:t>$3</w:t>
            </w:r>
            <w:r>
              <w:rPr>
                <w:rFonts w:ascii="Times New Roman"/>
                <w:color w:val="2D2F3D"/>
                <w:spacing w:val="-2"/>
                <w:w w:val="110"/>
                <w:sz w:val="21"/>
              </w:rPr>
              <w:t>,</w:t>
            </w:r>
            <w:r>
              <w:rPr>
                <w:rFonts w:ascii="Times New Roman"/>
                <w:color w:val="1A181F"/>
                <w:spacing w:val="-2"/>
                <w:w w:val="110"/>
                <w:sz w:val="21"/>
              </w:rPr>
              <w:t>341</w:t>
            </w:r>
          </w:p>
        </w:tc>
        <w:tc>
          <w:tcPr>
            <w:tcW w:w="1725" w:type="dxa"/>
          </w:tcPr>
          <w:p w14:paraId="16F2D5F2" w14:textId="77777777" w:rsidR="00841998" w:rsidRDefault="006E6906">
            <w:pPr>
              <w:pStyle w:val="TableParagraph"/>
              <w:spacing w:line="237" w:lineRule="exact"/>
              <w:ind w:right="78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$3</w:t>
            </w:r>
            <w:r>
              <w:rPr>
                <w:rFonts w:ascii="Times New Roman"/>
                <w:color w:val="4D4D4D"/>
                <w:spacing w:val="-2"/>
                <w:w w:val="105"/>
                <w:sz w:val="21"/>
              </w:rPr>
              <w:t>,</w:t>
            </w:r>
            <w:r>
              <w:rPr>
                <w:rFonts w:ascii="Times New Roman"/>
                <w:color w:val="1A181F"/>
                <w:spacing w:val="-2"/>
                <w:w w:val="105"/>
                <w:sz w:val="21"/>
              </w:rPr>
              <w:t>564</w:t>
            </w:r>
          </w:p>
        </w:tc>
      </w:tr>
    </w:tbl>
    <w:p w14:paraId="7A42A5ED" w14:textId="77777777" w:rsidR="00841998" w:rsidRDefault="00841998">
      <w:pPr>
        <w:pStyle w:val="BodyText"/>
        <w:spacing w:before="9"/>
        <w:rPr>
          <w:sz w:val="30"/>
        </w:rPr>
      </w:pPr>
    </w:p>
    <w:p w14:paraId="69E45C6C" w14:textId="77777777" w:rsidR="00841998" w:rsidRDefault="006E6906">
      <w:pPr>
        <w:pStyle w:val="Heading1"/>
        <w:ind w:left="105"/>
      </w:pPr>
      <w:r>
        <w:rPr>
          <w:color w:val="1A181F"/>
          <w:w w:val="110"/>
        </w:rPr>
        <w:t>TI1e</w:t>
      </w:r>
      <w:r>
        <w:rPr>
          <w:color w:val="1A181F"/>
          <w:spacing w:val="7"/>
          <w:w w:val="110"/>
        </w:rPr>
        <w:t xml:space="preserve"> </w:t>
      </w:r>
      <w:r>
        <w:rPr>
          <w:color w:val="1A181F"/>
          <w:w w:val="110"/>
        </w:rPr>
        <w:t>allowable</w:t>
      </w:r>
      <w:r>
        <w:rPr>
          <w:color w:val="1A181F"/>
          <w:spacing w:val="-5"/>
          <w:w w:val="110"/>
        </w:rPr>
        <w:t xml:space="preserve"> </w:t>
      </w:r>
      <w:r>
        <w:rPr>
          <w:color w:val="1A181F"/>
          <w:w w:val="110"/>
        </w:rPr>
        <w:t>gifting</w:t>
      </w:r>
      <w:r>
        <w:rPr>
          <w:color w:val="1A181F"/>
          <w:spacing w:val="-7"/>
          <w:w w:val="110"/>
        </w:rPr>
        <w:t xml:space="preserve"> </w:t>
      </w:r>
      <w:proofErr w:type="spellStart"/>
      <w:r>
        <w:rPr>
          <w:color w:val="1A181F"/>
          <w:spacing w:val="-2"/>
          <w:w w:val="110"/>
        </w:rPr>
        <w:t>amotmt</w:t>
      </w:r>
      <w:proofErr w:type="spellEnd"/>
    </w:p>
    <w:p w14:paraId="78BA87A7" w14:textId="77777777" w:rsidR="00841998" w:rsidRDefault="00841998">
      <w:pPr>
        <w:pStyle w:val="BodyText"/>
        <w:spacing w:before="8"/>
        <w:rPr>
          <w:rFonts w:ascii="Times New Roman"/>
          <w:b/>
          <w:sz w:val="20"/>
        </w:rPr>
      </w:pPr>
    </w:p>
    <w:p w14:paraId="26F30B81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3"/>
          <w:tab w:val="left" w:pos="614"/>
        </w:tabs>
        <w:spacing w:before="1"/>
        <w:ind w:left="603" w:right="405" w:hanging="487"/>
        <w:rPr>
          <w:color w:val="1A181F"/>
        </w:rPr>
      </w:pPr>
      <w:r>
        <w:rPr>
          <w:color w:val="1A181F"/>
        </w:rPr>
        <w:t>A person can currently gift up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$7,000 a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year w</w:t>
      </w:r>
      <w:r>
        <w:rPr>
          <w:color w:val="151644"/>
        </w:rPr>
        <w:t>i</w:t>
      </w:r>
      <w:r>
        <w:rPr>
          <w:color w:val="1A181F"/>
        </w:rPr>
        <w:t>thin</w:t>
      </w:r>
      <w:r>
        <w:rPr>
          <w:color w:val="1A181F"/>
          <w:spacing w:val="-7"/>
        </w:rPr>
        <w:t xml:space="preserve"> </w:t>
      </w:r>
      <w:r>
        <w:rPr>
          <w:color w:val="2D2F3D"/>
        </w:rPr>
        <w:t>t</w:t>
      </w:r>
      <w:r>
        <w:rPr>
          <w:color w:val="1A181F"/>
        </w:rPr>
        <w:t>he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five</w:t>
      </w:r>
      <w:r>
        <w:rPr>
          <w:color w:val="050505"/>
        </w:rPr>
        <w:t>-</w:t>
      </w:r>
      <w:r>
        <w:rPr>
          <w:color w:val="1A181F"/>
        </w:rPr>
        <w:t>year</w:t>
      </w:r>
      <w:r>
        <w:rPr>
          <w:color w:val="1A181F"/>
          <w:spacing w:val="-13"/>
        </w:rPr>
        <w:t xml:space="preserve"> </w:t>
      </w:r>
      <w:r>
        <w:rPr>
          <w:color w:val="1A181F"/>
        </w:rPr>
        <w:t>period leading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up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7"/>
        </w:rPr>
        <w:t xml:space="preserve"> </w:t>
      </w:r>
      <w:r>
        <w:rPr>
          <w:color w:val="1A181F"/>
        </w:rPr>
        <w:t>the</w:t>
      </w:r>
      <w:r>
        <w:rPr>
          <w:color w:val="343D56"/>
        </w:rPr>
        <w:t>i</w:t>
      </w:r>
      <w:r>
        <w:rPr>
          <w:color w:val="1A181F"/>
        </w:rPr>
        <w:t xml:space="preserve">r application for the RCS without </w:t>
      </w:r>
      <w:r>
        <w:rPr>
          <w:color w:val="3A2426"/>
        </w:rPr>
        <w:t>it</w:t>
      </w:r>
      <w:r>
        <w:rPr>
          <w:color w:val="3A2426"/>
          <w:spacing w:val="-1"/>
        </w:rPr>
        <w:t xml:space="preserve"> </w:t>
      </w:r>
      <w:r>
        <w:rPr>
          <w:color w:val="1A181F"/>
        </w:rPr>
        <w:t>affecting th</w:t>
      </w:r>
      <w:r>
        <w:rPr>
          <w:color w:val="050505"/>
        </w:rPr>
        <w:t>e</w:t>
      </w:r>
      <w:r>
        <w:rPr>
          <w:color w:val="343D56"/>
        </w:rPr>
        <w:t>i</w:t>
      </w:r>
      <w:r>
        <w:rPr>
          <w:color w:val="3A2426"/>
        </w:rPr>
        <w:t>r</w:t>
      </w:r>
      <w:r>
        <w:rPr>
          <w:color w:val="3A2426"/>
          <w:spacing w:val="-6"/>
        </w:rPr>
        <w:t xml:space="preserve"> </w:t>
      </w:r>
      <w:r>
        <w:rPr>
          <w:color w:val="1A181F"/>
        </w:rPr>
        <w:t xml:space="preserve">asset assessment. This is </w:t>
      </w:r>
      <w:r>
        <w:rPr>
          <w:color w:val="151644"/>
        </w:rPr>
        <w:t>r</w:t>
      </w:r>
      <w:r>
        <w:rPr>
          <w:color w:val="1A181F"/>
        </w:rPr>
        <w:t>eferred</w:t>
      </w:r>
      <w:r>
        <w:rPr>
          <w:color w:val="1A181F"/>
          <w:spacing w:val="-12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 xml:space="preserve">as </w:t>
      </w:r>
      <w:r>
        <w:rPr>
          <w:color w:val="413B3B"/>
        </w:rPr>
        <w:t>"</w:t>
      </w:r>
      <w:r>
        <w:rPr>
          <w:color w:val="1A181F"/>
        </w:rPr>
        <w:t>allo</w:t>
      </w:r>
      <w:r>
        <w:rPr>
          <w:color w:val="3A2426"/>
        </w:rPr>
        <w:t>w</w:t>
      </w:r>
      <w:r>
        <w:rPr>
          <w:color w:val="1A181F"/>
        </w:rPr>
        <w:t>able gifting</w:t>
      </w:r>
      <w:r>
        <w:rPr>
          <w:color w:val="2D2F3D"/>
        </w:rPr>
        <w:t>"</w:t>
      </w:r>
      <w:r>
        <w:rPr>
          <w:color w:val="050505"/>
        </w:rPr>
        <w:t>.</w:t>
      </w:r>
      <w:r>
        <w:rPr>
          <w:color w:val="050505"/>
          <w:spacing w:val="-7"/>
        </w:rPr>
        <w:t xml:space="preserve"> </w:t>
      </w:r>
      <w:r>
        <w:rPr>
          <w:color w:val="1A181F"/>
        </w:rPr>
        <w:t>Allo</w:t>
      </w:r>
      <w:r>
        <w:rPr>
          <w:color w:val="2D2F3D"/>
        </w:rPr>
        <w:t>w</w:t>
      </w:r>
      <w:r>
        <w:rPr>
          <w:color w:val="1A181F"/>
        </w:rPr>
        <w:t>able gifting includes a maximum amount of $35</w:t>
      </w:r>
      <w:r>
        <w:rPr>
          <w:color w:val="2D2F3D"/>
        </w:rPr>
        <w:t>,</w:t>
      </w:r>
      <w:r>
        <w:rPr>
          <w:color w:val="1A181F"/>
        </w:rPr>
        <w:t>000 to be gifted</w:t>
      </w:r>
      <w:r>
        <w:rPr>
          <w:color w:val="413B3B"/>
        </w:rPr>
        <w:t xml:space="preserve">, </w:t>
      </w:r>
      <w:r>
        <w:rPr>
          <w:color w:val="1A181F"/>
        </w:rPr>
        <w:t>w</w:t>
      </w:r>
      <w:r>
        <w:rPr>
          <w:color w:val="3A2426"/>
        </w:rPr>
        <w:t>i</w:t>
      </w:r>
      <w:r>
        <w:rPr>
          <w:color w:val="1A181F"/>
        </w:rPr>
        <w:t>th</w:t>
      </w:r>
      <w:r>
        <w:rPr>
          <w:color w:val="2D2F3D"/>
        </w:rPr>
        <w:t>i</w:t>
      </w:r>
      <w:r>
        <w:rPr>
          <w:color w:val="1A181F"/>
        </w:rPr>
        <w:t>n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the five</w:t>
      </w:r>
      <w:r>
        <w:rPr>
          <w:color w:val="050505"/>
        </w:rPr>
        <w:t>-</w:t>
      </w:r>
      <w:r>
        <w:rPr>
          <w:color w:val="1A181F"/>
        </w:rPr>
        <w:t>year period</w:t>
      </w:r>
      <w:r>
        <w:rPr>
          <w:color w:val="2D2F3D"/>
        </w:rPr>
        <w:t>,</w:t>
      </w:r>
      <w:r>
        <w:rPr>
          <w:color w:val="2D2F3D"/>
          <w:spacing w:val="-12"/>
        </w:rPr>
        <w:t xml:space="preserve"> </w:t>
      </w:r>
      <w:r>
        <w:rPr>
          <w:color w:val="1A181F"/>
        </w:rPr>
        <w:t xml:space="preserve">to a person who has provided </w:t>
      </w:r>
      <w:r>
        <w:rPr>
          <w:color w:val="2D2F3D"/>
        </w:rPr>
        <w:t>t</w:t>
      </w:r>
      <w:r>
        <w:rPr>
          <w:color w:val="1A181F"/>
        </w:rPr>
        <w:t>he app</w:t>
      </w:r>
      <w:r>
        <w:rPr>
          <w:color w:val="2D2F3D"/>
        </w:rPr>
        <w:t>li</w:t>
      </w:r>
      <w:r>
        <w:rPr>
          <w:color w:val="1A181F"/>
        </w:rPr>
        <w:t>cant with a high level of ca</w:t>
      </w:r>
      <w:r>
        <w:rPr>
          <w:color w:val="2D2F3D"/>
        </w:rPr>
        <w:t>r</w:t>
      </w:r>
      <w:r>
        <w:rPr>
          <w:color w:val="1A181F"/>
        </w:rPr>
        <w:t>e</w:t>
      </w:r>
      <w:r>
        <w:rPr>
          <w:color w:val="2D2F3D"/>
        </w:rPr>
        <w:t>.</w:t>
      </w:r>
      <w:r>
        <w:rPr>
          <w:color w:val="2D2F3D"/>
          <w:spacing w:val="-15"/>
        </w:rPr>
        <w:t xml:space="preserve"> </w:t>
      </w:r>
      <w:r>
        <w:rPr>
          <w:color w:val="1A181F"/>
        </w:rPr>
        <w:t xml:space="preserve">The </w:t>
      </w:r>
      <w:r>
        <w:rPr>
          <w:color w:val="2D2F3D"/>
        </w:rPr>
        <w:t>l</w:t>
      </w:r>
      <w:r>
        <w:rPr>
          <w:color w:val="1A181F"/>
        </w:rPr>
        <w:t>eve</w:t>
      </w:r>
      <w:r>
        <w:rPr>
          <w:color w:val="151644"/>
        </w:rPr>
        <w:t>l</w:t>
      </w:r>
      <w:r>
        <w:rPr>
          <w:color w:val="151644"/>
          <w:spacing w:val="-2"/>
        </w:rPr>
        <w:t xml:space="preserve"> </w:t>
      </w:r>
      <w:r>
        <w:rPr>
          <w:color w:val="1A181F"/>
        </w:rPr>
        <w:t>of ca</w:t>
      </w:r>
      <w:r>
        <w:rPr>
          <w:color w:val="2D2F3D"/>
        </w:rPr>
        <w:t>r</w:t>
      </w:r>
      <w:r>
        <w:rPr>
          <w:color w:val="1A181F"/>
        </w:rPr>
        <w:t>e must be determined to meet certain criteria</w:t>
      </w:r>
      <w:r>
        <w:rPr>
          <w:color w:val="413B3B"/>
        </w:rPr>
        <w:t>.</w:t>
      </w:r>
    </w:p>
    <w:p w14:paraId="550D14D3" w14:textId="77777777" w:rsidR="00841998" w:rsidRDefault="00841998">
      <w:pPr>
        <w:pStyle w:val="BodyText"/>
        <w:spacing w:before="8"/>
        <w:rPr>
          <w:sz w:val="20"/>
        </w:rPr>
      </w:pPr>
    </w:p>
    <w:p w14:paraId="71E4CEFF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spacing w:line="242" w:lineRule="auto"/>
        <w:ind w:left="608" w:right="451" w:hanging="492"/>
        <w:jc w:val="both"/>
        <w:rPr>
          <w:color w:val="1A181F"/>
        </w:rPr>
      </w:pPr>
      <w:r>
        <w:rPr>
          <w:color w:val="1A181F"/>
        </w:rPr>
        <w:t>In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2004, Cab</w:t>
      </w:r>
      <w:r>
        <w:rPr>
          <w:color w:val="413B3B"/>
        </w:rPr>
        <w:t>i</w:t>
      </w:r>
      <w:r>
        <w:rPr>
          <w:color w:val="1A181F"/>
        </w:rPr>
        <w:t>net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 xml:space="preserve">directed </w:t>
      </w:r>
      <w:r>
        <w:rPr>
          <w:color w:val="3A2426"/>
        </w:rPr>
        <w:t xml:space="preserve">that </w:t>
      </w:r>
      <w:r>
        <w:rPr>
          <w:color w:val="1A181F"/>
        </w:rPr>
        <w:t>the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>allo</w:t>
      </w:r>
      <w:r>
        <w:rPr>
          <w:color w:val="2D2F3D"/>
        </w:rPr>
        <w:t>w</w:t>
      </w:r>
      <w:r>
        <w:rPr>
          <w:color w:val="1A181F"/>
        </w:rPr>
        <w:t>ab</w:t>
      </w:r>
      <w:r>
        <w:rPr>
          <w:color w:val="3A2426"/>
        </w:rPr>
        <w:t>l</w:t>
      </w:r>
      <w:r>
        <w:rPr>
          <w:color w:val="1A181F"/>
        </w:rPr>
        <w:t>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gifting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amount be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adjusted by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 xml:space="preserve">$500 </w:t>
      </w:r>
      <w:r>
        <w:rPr>
          <w:color w:val="2D2F3D"/>
        </w:rPr>
        <w:t>i</w:t>
      </w:r>
      <w:r>
        <w:rPr>
          <w:color w:val="1A181F"/>
        </w:rPr>
        <w:t>ncremen</w:t>
      </w:r>
      <w:r>
        <w:rPr>
          <w:color w:val="3A2426"/>
        </w:rPr>
        <w:t>t</w:t>
      </w:r>
      <w:r>
        <w:rPr>
          <w:color w:val="1A181F"/>
        </w:rPr>
        <w:t>s when the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cumulativ</w:t>
      </w:r>
      <w:r>
        <w:rPr>
          <w:color w:val="050505"/>
        </w:rPr>
        <w:t>e</w:t>
      </w:r>
      <w:r>
        <w:rPr>
          <w:color w:val="050505"/>
          <w:spacing w:val="-14"/>
        </w:rPr>
        <w:t xml:space="preserve"> </w:t>
      </w:r>
      <w:r>
        <w:rPr>
          <w:color w:val="1A181F"/>
        </w:rPr>
        <w:t xml:space="preserve">change </w:t>
      </w:r>
      <w:r>
        <w:rPr>
          <w:color w:val="2D2F3D"/>
        </w:rPr>
        <w:t>i</w:t>
      </w:r>
      <w:r>
        <w:rPr>
          <w:color w:val="1A181F"/>
        </w:rPr>
        <w:t>n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the Consumers Price Index ov</w:t>
      </w:r>
      <w:r>
        <w:rPr>
          <w:color w:val="050505"/>
        </w:rPr>
        <w:t>e</w:t>
      </w:r>
      <w:r>
        <w:rPr>
          <w:color w:val="2D2F3D"/>
        </w:rPr>
        <w:t>r</w:t>
      </w:r>
      <w:r>
        <w:rPr>
          <w:color w:val="2D2F3D"/>
          <w:spacing w:val="-4"/>
        </w:rPr>
        <w:t xml:space="preserve"> </w:t>
      </w:r>
      <w:r>
        <w:rPr>
          <w:color w:val="1A181F"/>
        </w:rPr>
        <w:t>several years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results in</w:t>
      </w:r>
      <w:r>
        <w:rPr>
          <w:color w:val="1A181F"/>
          <w:spacing w:val="-5"/>
        </w:rPr>
        <w:t xml:space="preserve"> </w:t>
      </w:r>
      <w:r>
        <w:rPr>
          <w:color w:val="1A181F"/>
        </w:rPr>
        <w:t>an increase of $500 or more [</w:t>
      </w:r>
      <w:r>
        <w:rPr>
          <w:color w:val="050505"/>
        </w:rPr>
        <w:t>C</w:t>
      </w:r>
      <w:r>
        <w:rPr>
          <w:color w:val="1A181F"/>
        </w:rPr>
        <w:t>AB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Min (04) 30/08 refers].</w:t>
      </w:r>
    </w:p>
    <w:p w14:paraId="71E5FF80" w14:textId="77777777" w:rsidR="00841998" w:rsidRDefault="00841998">
      <w:pPr>
        <w:pStyle w:val="BodyText"/>
        <w:spacing w:before="2"/>
        <w:rPr>
          <w:sz w:val="20"/>
        </w:rPr>
      </w:pPr>
    </w:p>
    <w:p w14:paraId="1F87BCE0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spacing w:line="244" w:lineRule="auto"/>
        <w:ind w:left="605" w:right="155" w:hanging="489"/>
        <w:jc w:val="both"/>
        <w:rPr>
          <w:color w:val="1A181F"/>
        </w:rPr>
      </w:pPr>
      <w:r>
        <w:rPr>
          <w:color w:val="1A181F"/>
        </w:rPr>
        <w:t>Increasi</w:t>
      </w:r>
      <w:r>
        <w:rPr>
          <w:color w:val="2D2F3D"/>
        </w:rPr>
        <w:t>n</w:t>
      </w:r>
      <w:r>
        <w:rPr>
          <w:color w:val="1A181F"/>
        </w:rPr>
        <w:t>g</w:t>
      </w:r>
      <w:r>
        <w:rPr>
          <w:color w:val="1A181F"/>
          <w:spacing w:val="-2"/>
        </w:rPr>
        <w:t xml:space="preserve"> </w:t>
      </w:r>
      <w:r>
        <w:rPr>
          <w:color w:val="1A181F"/>
        </w:rPr>
        <w:t>the allowab</w:t>
      </w:r>
      <w:r>
        <w:rPr>
          <w:color w:val="2D2F3D"/>
        </w:rPr>
        <w:t>l</w:t>
      </w:r>
      <w:r>
        <w:rPr>
          <w:color w:val="1A181F"/>
        </w:rPr>
        <w:t>e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gifting</w:t>
      </w:r>
      <w:r>
        <w:rPr>
          <w:color w:val="1A181F"/>
          <w:spacing w:val="-3"/>
        </w:rPr>
        <w:t xml:space="preserve"> </w:t>
      </w:r>
      <w:r>
        <w:rPr>
          <w:color w:val="2D2F3D"/>
        </w:rPr>
        <w:t>l</w:t>
      </w:r>
      <w:r>
        <w:rPr>
          <w:color w:val="1A181F"/>
        </w:rPr>
        <w:t>evels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by the cumu</w:t>
      </w:r>
      <w:r>
        <w:rPr>
          <w:color w:val="36112B"/>
        </w:rPr>
        <w:t>l</w:t>
      </w:r>
      <w:r>
        <w:rPr>
          <w:color w:val="1A181F"/>
        </w:rPr>
        <w:t>a</w:t>
      </w:r>
      <w:r>
        <w:rPr>
          <w:color w:val="2D2F3D"/>
        </w:rPr>
        <w:t>t</w:t>
      </w:r>
      <w:r>
        <w:rPr>
          <w:color w:val="1A181F"/>
        </w:rPr>
        <w:t>ive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 xml:space="preserve">percentage change in the Consumers </w:t>
      </w:r>
      <w:r>
        <w:rPr>
          <w:color w:val="3A2426"/>
        </w:rPr>
        <w:t xml:space="preserve">Price </w:t>
      </w:r>
      <w:r>
        <w:rPr>
          <w:color w:val="1A181F"/>
        </w:rPr>
        <w:t>Index since 2022 wou</w:t>
      </w:r>
      <w:r>
        <w:rPr>
          <w:color w:val="2D2F3D"/>
        </w:rPr>
        <w:t>l</w:t>
      </w:r>
      <w:r>
        <w:rPr>
          <w:color w:val="1A181F"/>
        </w:rPr>
        <w:t>d</w:t>
      </w:r>
      <w:r>
        <w:rPr>
          <w:color w:val="1A181F"/>
          <w:spacing w:val="-1"/>
        </w:rPr>
        <w:t xml:space="preserve"> </w:t>
      </w:r>
      <w:r>
        <w:rPr>
          <w:color w:val="1A181F"/>
        </w:rPr>
        <w:t>result in an</w:t>
      </w:r>
      <w:r>
        <w:rPr>
          <w:color w:val="1A181F"/>
          <w:spacing w:val="-4"/>
        </w:rPr>
        <w:t xml:space="preserve"> </w:t>
      </w:r>
      <w:r>
        <w:rPr>
          <w:color w:val="1A181F"/>
        </w:rPr>
        <w:t xml:space="preserve">$831 increase, triggering the $500 adjustment for </w:t>
      </w:r>
      <w:r>
        <w:rPr>
          <w:color w:val="2D2F3D"/>
        </w:rPr>
        <w:t xml:space="preserve">1 </w:t>
      </w:r>
      <w:r>
        <w:rPr>
          <w:color w:val="1A181F"/>
        </w:rPr>
        <w:t>Ju</w:t>
      </w:r>
      <w:r>
        <w:rPr>
          <w:color w:val="2D2F3D"/>
        </w:rPr>
        <w:t>l</w:t>
      </w:r>
      <w:r>
        <w:rPr>
          <w:color w:val="1A181F"/>
        </w:rPr>
        <w:t>y 2023.</w:t>
      </w:r>
    </w:p>
    <w:p w14:paraId="35659C17" w14:textId="77777777" w:rsidR="00841998" w:rsidRDefault="00841998">
      <w:pPr>
        <w:pStyle w:val="BodyText"/>
        <w:rPr>
          <w:sz w:val="20"/>
        </w:rPr>
      </w:pPr>
    </w:p>
    <w:p w14:paraId="1621F979" w14:textId="77777777" w:rsidR="00841998" w:rsidRDefault="006E6906">
      <w:pPr>
        <w:pStyle w:val="ListParagraph"/>
        <w:numPr>
          <w:ilvl w:val="0"/>
          <w:numId w:val="4"/>
        </w:numPr>
        <w:tabs>
          <w:tab w:val="left" w:pos="614"/>
        </w:tabs>
        <w:ind w:left="604" w:right="138" w:hanging="488"/>
        <w:jc w:val="both"/>
        <w:rPr>
          <w:color w:val="1A181F"/>
        </w:rPr>
      </w:pPr>
      <w:r>
        <w:rPr>
          <w:color w:val="1A181F"/>
        </w:rPr>
        <w:t>Accordingly</w:t>
      </w:r>
      <w:r>
        <w:rPr>
          <w:color w:val="2D2F3D"/>
        </w:rPr>
        <w:t>,</w:t>
      </w:r>
      <w:r>
        <w:rPr>
          <w:color w:val="2D2F3D"/>
          <w:spacing w:val="-16"/>
        </w:rPr>
        <w:t xml:space="preserve"> </w:t>
      </w:r>
      <w:r>
        <w:rPr>
          <w:color w:val="1A181F"/>
        </w:rPr>
        <w:t>we</w:t>
      </w:r>
      <w:r>
        <w:rPr>
          <w:color w:val="1A181F"/>
          <w:spacing w:val="-15"/>
        </w:rPr>
        <w:t xml:space="preserve"> </w:t>
      </w:r>
      <w:r>
        <w:rPr>
          <w:color w:val="1A181F"/>
        </w:rPr>
        <w:t>are</w:t>
      </w:r>
      <w:r>
        <w:rPr>
          <w:color w:val="1A181F"/>
          <w:spacing w:val="-15"/>
        </w:rPr>
        <w:t xml:space="preserve"> </w:t>
      </w:r>
      <w:r>
        <w:rPr>
          <w:color w:val="1A181F"/>
        </w:rPr>
        <w:t>p</w:t>
      </w:r>
      <w:r>
        <w:rPr>
          <w:color w:val="3A2426"/>
        </w:rPr>
        <w:t>r</w:t>
      </w:r>
      <w:r>
        <w:rPr>
          <w:color w:val="1A181F"/>
        </w:rPr>
        <w:t>opos</w:t>
      </w:r>
      <w:r>
        <w:rPr>
          <w:color w:val="2D2F3D"/>
        </w:rPr>
        <w:t>i</w:t>
      </w:r>
      <w:r>
        <w:rPr>
          <w:color w:val="1A181F"/>
        </w:rPr>
        <w:t>ng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the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Amendment Regulations</w:t>
      </w:r>
      <w:r>
        <w:rPr>
          <w:color w:val="1A181F"/>
          <w:spacing w:val="15"/>
        </w:rPr>
        <w:t xml:space="preserve"> </w:t>
      </w:r>
      <w:r>
        <w:rPr>
          <w:color w:val="1A181F"/>
        </w:rPr>
        <w:t>adjust t</w:t>
      </w:r>
      <w:r>
        <w:rPr>
          <w:color w:val="2D2F3D"/>
        </w:rPr>
        <w:t>h</w:t>
      </w:r>
      <w:r>
        <w:rPr>
          <w:color w:val="1A181F"/>
        </w:rPr>
        <w:t>e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allowable</w:t>
      </w:r>
      <w:r>
        <w:rPr>
          <w:color w:val="1A181F"/>
          <w:spacing w:val="-3"/>
        </w:rPr>
        <w:t xml:space="preserve"> </w:t>
      </w:r>
      <w:r>
        <w:rPr>
          <w:color w:val="1A181F"/>
        </w:rPr>
        <w:t>g</w:t>
      </w:r>
      <w:r>
        <w:rPr>
          <w:color w:val="2D2F3D"/>
        </w:rPr>
        <w:t>i</w:t>
      </w:r>
      <w:r>
        <w:rPr>
          <w:color w:val="1A181F"/>
        </w:rPr>
        <w:t>ft</w:t>
      </w:r>
      <w:r>
        <w:rPr>
          <w:color w:val="3A2426"/>
        </w:rPr>
        <w:t>i</w:t>
      </w:r>
      <w:r>
        <w:rPr>
          <w:color w:val="1A181F"/>
        </w:rPr>
        <w:t>ng</w:t>
      </w:r>
      <w:r>
        <w:rPr>
          <w:color w:val="1A181F"/>
          <w:spacing w:val="-14"/>
        </w:rPr>
        <w:t xml:space="preserve"> </w:t>
      </w:r>
      <w:r>
        <w:rPr>
          <w:color w:val="1A181F"/>
        </w:rPr>
        <w:t xml:space="preserve">amount contained </w:t>
      </w:r>
      <w:r>
        <w:rPr>
          <w:color w:val="343D56"/>
        </w:rPr>
        <w:t>i</w:t>
      </w:r>
      <w:r>
        <w:rPr>
          <w:color w:val="1A181F"/>
        </w:rPr>
        <w:t>n the Residential and Disability Support Services Regu</w:t>
      </w:r>
      <w:r>
        <w:rPr>
          <w:color w:val="2D2F3D"/>
        </w:rPr>
        <w:t>l</w:t>
      </w:r>
      <w:r>
        <w:rPr>
          <w:color w:val="1A181F"/>
        </w:rPr>
        <w:t>ations 2018</w:t>
      </w:r>
      <w:r>
        <w:rPr>
          <w:color w:val="050505"/>
        </w:rPr>
        <w:t>.</w:t>
      </w:r>
      <w:r>
        <w:rPr>
          <w:color w:val="050505"/>
          <w:spacing w:val="-7"/>
        </w:rPr>
        <w:t xml:space="preserve"> </w:t>
      </w:r>
      <w:r>
        <w:rPr>
          <w:color w:val="1A181F"/>
        </w:rPr>
        <w:t>This year the maximum amount needs to be increased from $7</w:t>
      </w:r>
      <w:r>
        <w:rPr>
          <w:color w:val="343D56"/>
        </w:rPr>
        <w:t>,</w:t>
      </w:r>
      <w:r>
        <w:rPr>
          <w:color w:val="1A181F"/>
        </w:rPr>
        <w:t>000 a year to $7</w:t>
      </w:r>
      <w:r>
        <w:rPr>
          <w:color w:val="413B3B"/>
        </w:rPr>
        <w:t>,</w:t>
      </w:r>
      <w:r>
        <w:rPr>
          <w:color w:val="1A181F"/>
        </w:rPr>
        <w:t xml:space="preserve">500 a year within the </w:t>
      </w:r>
      <w:r>
        <w:rPr>
          <w:color w:val="2D2F3D"/>
        </w:rPr>
        <w:t>fi</w:t>
      </w:r>
      <w:r>
        <w:rPr>
          <w:color w:val="1A181F"/>
        </w:rPr>
        <w:t>ve­ year pe</w:t>
      </w:r>
      <w:r>
        <w:rPr>
          <w:color w:val="2D2F3D"/>
        </w:rPr>
        <w:t>r</w:t>
      </w:r>
      <w:r>
        <w:rPr>
          <w:color w:val="1A181F"/>
        </w:rPr>
        <w:t>iod before a person's app</w:t>
      </w:r>
      <w:r>
        <w:rPr>
          <w:color w:val="2D2F3D"/>
        </w:rPr>
        <w:t>li</w:t>
      </w:r>
      <w:r>
        <w:rPr>
          <w:color w:val="1A181F"/>
        </w:rPr>
        <w:t>cation for the Residential Car</w:t>
      </w:r>
      <w:r>
        <w:rPr>
          <w:color w:val="050505"/>
        </w:rPr>
        <w:t xml:space="preserve">e </w:t>
      </w:r>
      <w:r>
        <w:rPr>
          <w:color w:val="1A181F"/>
        </w:rPr>
        <w:t>Subs</w:t>
      </w:r>
      <w:r>
        <w:rPr>
          <w:color w:val="2D2F3D"/>
        </w:rPr>
        <w:t>i</w:t>
      </w:r>
      <w:r>
        <w:rPr>
          <w:color w:val="1A181F"/>
        </w:rPr>
        <w:t>dy</w:t>
      </w:r>
      <w:r>
        <w:rPr>
          <w:color w:val="050505"/>
        </w:rPr>
        <w:t xml:space="preserve">. </w:t>
      </w:r>
      <w:r>
        <w:rPr>
          <w:color w:val="1A181F"/>
        </w:rPr>
        <w:t>The maximum gifting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levels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in</w:t>
      </w:r>
      <w:r>
        <w:rPr>
          <w:color w:val="1A181F"/>
          <w:spacing w:val="-25"/>
        </w:rPr>
        <w:t xml:space="preserve"> </w:t>
      </w:r>
      <w:r>
        <w:rPr>
          <w:color w:val="1A181F"/>
        </w:rPr>
        <w:t>recognit</w:t>
      </w:r>
      <w:r>
        <w:rPr>
          <w:color w:val="2D2F3D"/>
        </w:rPr>
        <w:t>i</w:t>
      </w:r>
      <w:r>
        <w:rPr>
          <w:color w:val="1A181F"/>
        </w:rPr>
        <w:t>on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of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care</w:t>
      </w:r>
      <w:r>
        <w:rPr>
          <w:color w:val="1A181F"/>
          <w:spacing w:val="-8"/>
        </w:rPr>
        <w:t xml:space="preserve"> </w:t>
      </w:r>
      <w:r>
        <w:rPr>
          <w:color w:val="1A181F"/>
        </w:rPr>
        <w:t>consequently</w:t>
      </w:r>
      <w:r>
        <w:rPr>
          <w:color w:val="1A181F"/>
          <w:spacing w:val="8"/>
        </w:rPr>
        <w:t xml:space="preserve"> </w:t>
      </w:r>
      <w:r>
        <w:rPr>
          <w:color w:val="1A181F"/>
        </w:rPr>
        <w:t>need</w:t>
      </w:r>
      <w:r>
        <w:rPr>
          <w:color w:val="1A181F"/>
          <w:spacing w:val="-9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16"/>
        </w:rPr>
        <w:t xml:space="preserve"> </w:t>
      </w:r>
      <w:r>
        <w:rPr>
          <w:color w:val="1A181F"/>
        </w:rPr>
        <w:t>be</w:t>
      </w:r>
      <w:r>
        <w:rPr>
          <w:color w:val="1A181F"/>
          <w:spacing w:val="-16"/>
        </w:rPr>
        <w:t xml:space="preserve"> </w:t>
      </w:r>
      <w:r>
        <w:rPr>
          <w:color w:val="3A2426"/>
        </w:rPr>
        <w:t>increased</w:t>
      </w:r>
      <w:r>
        <w:rPr>
          <w:color w:val="3A2426"/>
          <w:spacing w:val="-6"/>
        </w:rPr>
        <w:t xml:space="preserve"> </w:t>
      </w:r>
      <w:r>
        <w:rPr>
          <w:color w:val="1A181F"/>
        </w:rPr>
        <w:t>from</w:t>
      </w:r>
      <w:r>
        <w:rPr>
          <w:color w:val="1A181F"/>
          <w:spacing w:val="-10"/>
        </w:rPr>
        <w:t xml:space="preserve"> </w:t>
      </w:r>
      <w:r>
        <w:rPr>
          <w:color w:val="1A181F"/>
        </w:rPr>
        <w:t>$35,000</w:t>
      </w:r>
      <w:r>
        <w:rPr>
          <w:color w:val="1A181F"/>
          <w:spacing w:val="-6"/>
        </w:rPr>
        <w:t xml:space="preserve"> </w:t>
      </w:r>
      <w:r>
        <w:rPr>
          <w:color w:val="1A181F"/>
        </w:rPr>
        <w:t>to</w:t>
      </w:r>
      <w:r>
        <w:rPr>
          <w:color w:val="1A181F"/>
          <w:spacing w:val="-11"/>
        </w:rPr>
        <w:t xml:space="preserve"> </w:t>
      </w:r>
      <w:r>
        <w:rPr>
          <w:color w:val="1A181F"/>
        </w:rPr>
        <w:t>$37</w:t>
      </w:r>
      <w:r>
        <w:rPr>
          <w:color w:val="343D56"/>
        </w:rPr>
        <w:t>,</w:t>
      </w:r>
      <w:r>
        <w:rPr>
          <w:color w:val="1A181F"/>
        </w:rPr>
        <w:t>500.</w:t>
      </w:r>
    </w:p>
    <w:p w14:paraId="306C45A3" w14:textId="77777777" w:rsidR="00841998" w:rsidRDefault="00841998">
      <w:pPr>
        <w:jc w:val="both"/>
        <w:sectPr w:rsidR="00841998">
          <w:pgSz w:w="11920" w:h="16860"/>
          <w:pgMar w:top="1140" w:right="960" w:bottom="960" w:left="1020" w:header="0" w:footer="777" w:gutter="0"/>
          <w:cols w:space="720"/>
        </w:sectPr>
      </w:pPr>
    </w:p>
    <w:p w14:paraId="44B85E46" w14:textId="77777777" w:rsidR="00841998" w:rsidRDefault="006E6906">
      <w:pPr>
        <w:pStyle w:val="Heading2"/>
        <w:spacing w:before="87"/>
      </w:pPr>
      <w:r>
        <w:rPr>
          <w:spacing w:val="-2"/>
        </w:rPr>
        <w:t>Consultation</w:t>
      </w:r>
    </w:p>
    <w:p w14:paraId="70057805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1CDA5ACB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145"/>
      </w:pPr>
      <w:r>
        <w:t>Te</w:t>
      </w:r>
      <w:r>
        <w:rPr>
          <w:spacing w:val="-2"/>
        </w:rPr>
        <w:t xml:space="preserve"> </w:t>
      </w:r>
      <w:proofErr w:type="spellStart"/>
      <w:r>
        <w:t>Whatu</w:t>
      </w:r>
      <w:proofErr w:type="spellEnd"/>
      <w:r>
        <w:rPr>
          <w:spacing w:val="-4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RCS.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 Social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 xml:space="preserve">administers the financial means assessment. This paper was developed jointly by Te </w:t>
      </w:r>
      <w:proofErr w:type="spellStart"/>
      <w:r>
        <w:t>Whatu</w:t>
      </w:r>
      <w:proofErr w:type="spellEnd"/>
      <w:r>
        <w:t xml:space="preserve"> Ora and the Ministry of Social Development. The Treasury was consulted. The Department of Prime Minister and Cabinet has been informed.</w:t>
      </w:r>
    </w:p>
    <w:p w14:paraId="7FD9E4B3" w14:textId="77777777" w:rsidR="00841998" w:rsidRDefault="00841998">
      <w:pPr>
        <w:pStyle w:val="BodyText"/>
        <w:spacing w:before="4"/>
        <w:rPr>
          <w:sz w:val="31"/>
        </w:rPr>
      </w:pPr>
    </w:p>
    <w:p w14:paraId="6527A7C1" w14:textId="77777777" w:rsidR="00841998" w:rsidRDefault="006E6906">
      <w:pPr>
        <w:pStyle w:val="Heading2"/>
        <w:spacing w:before="1"/>
      </w:pPr>
      <w:r>
        <w:t>Financia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implications</w:t>
      </w:r>
    </w:p>
    <w:p w14:paraId="3D5B735A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78650E2C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117"/>
      </w:pPr>
      <w:r>
        <w:t xml:space="preserve">Increasing the asset thresholds and income-from-assets exemptions will increase the cost of the RCS by around $8 million a year out of forecast Te </w:t>
      </w:r>
      <w:proofErr w:type="spellStart"/>
      <w:r>
        <w:t>Whatu</w:t>
      </w:r>
      <w:proofErr w:type="spellEnd"/>
      <w:r>
        <w:t xml:space="preserve"> Ora expenditure of $1,300 million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 Te</w:t>
      </w:r>
      <w:r>
        <w:rPr>
          <w:spacing w:val="-5"/>
        </w:rPr>
        <w:t xml:space="preserve"> </w:t>
      </w:r>
      <w:proofErr w:type="spellStart"/>
      <w:r>
        <w:t>Whatu</w:t>
      </w:r>
      <w:proofErr w:type="spellEnd"/>
      <w:r>
        <w:rPr>
          <w:spacing w:val="-4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health and disability support services in 2023/24 and no annual specific changes to appropriations will be made for the increase in the thresholds.</w:t>
      </w:r>
    </w:p>
    <w:p w14:paraId="57DD9CF4" w14:textId="77777777" w:rsidR="00841998" w:rsidRDefault="00841998">
      <w:pPr>
        <w:pStyle w:val="BodyText"/>
        <w:spacing w:before="10"/>
        <w:rPr>
          <w:sz w:val="20"/>
        </w:rPr>
      </w:pPr>
    </w:p>
    <w:p w14:paraId="6BDB16ED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287"/>
      </w:pPr>
      <w:r>
        <w:t xml:space="preserve">Te </w:t>
      </w:r>
      <w:proofErr w:type="spellStart"/>
      <w:r>
        <w:t>Whatu</w:t>
      </w:r>
      <w:proofErr w:type="spellEnd"/>
      <w:r>
        <w:rPr>
          <w:spacing w:val="-1"/>
        </w:rPr>
        <w:t xml:space="preserve"> </w:t>
      </w:r>
      <w:r>
        <w:t>Ora</w:t>
      </w:r>
      <w:r>
        <w:rPr>
          <w:spacing w:val="-1"/>
        </w:rPr>
        <w:t xml:space="preserve"> </w:t>
      </w:r>
      <w:r>
        <w:t>budgets for the yearly increases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cost of aged</w:t>
      </w:r>
      <w:r>
        <w:rPr>
          <w:spacing w:val="-1"/>
        </w:rPr>
        <w:t xml:space="preserve"> </w:t>
      </w:r>
      <w:r>
        <w:t>residential care</w:t>
      </w:r>
      <w:r>
        <w:rPr>
          <w:spacing w:val="-1"/>
        </w:rPr>
        <w:t xml:space="preserve"> </w:t>
      </w:r>
      <w:r>
        <w:t>including 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 xml:space="preserve">Subsidy </w:t>
      </w:r>
      <w:proofErr w:type="gramStart"/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 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Adjustment. Also, because Te</w:t>
      </w:r>
      <w:r>
        <w:rPr>
          <w:spacing w:val="-2"/>
        </w:rPr>
        <w:t xml:space="preserve"> </w:t>
      </w:r>
      <w:proofErr w:type="spellStart"/>
      <w:r>
        <w:t>Whatu</w:t>
      </w:r>
      <w:proofErr w:type="spellEnd"/>
      <w:r>
        <w:rPr>
          <w:spacing w:val="-2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will pay the difference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</w:t>
      </w:r>
      <w:r>
        <w:rPr>
          <w:spacing w:val="-1"/>
        </w:rPr>
        <w:t xml:space="preserve"> </w:t>
      </w:r>
      <w:proofErr w:type="gramStart"/>
      <w:r>
        <w:t>has to</w:t>
      </w:r>
      <w:proofErr w:type="gramEnd"/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contracted cost of care, the 1 April 2023 incr</w:t>
      </w:r>
      <w:r>
        <w:t xml:space="preserve">ease in New Zealand Superannuation reduces Te </w:t>
      </w:r>
      <w:proofErr w:type="spellStart"/>
      <w:r>
        <w:t>Whatu</w:t>
      </w:r>
      <w:proofErr w:type="spellEnd"/>
      <w:r>
        <w:t xml:space="preserve"> Ora expenditure on aged residential care by more than $30 million. Therefore, Te </w:t>
      </w:r>
      <w:proofErr w:type="spellStart"/>
      <w:r>
        <w:t>Whatu</w:t>
      </w:r>
      <w:proofErr w:type="spellEnd"/>
      <w:r>
        <w:t xml:space="preserve"> Ora can accommodate the increases that this paper covers.</w:t>
      </w:r>
    </w:p>
    <w:p w14:paraId="4F0B7D94" w14:textId="77777777" w:rsidR="00841998" w:rsidRDefault="00841998">
      <w:pPr>
        <w:pStyle w:val="BodyText"/>
        <w:spacing w:before="2"/>
        <w:rPr>
          <w:sz w:val="31"/>
        </w:rPr>
      </w:pPr>
    </w:p>
    <w:p w14:paraId="06DD7DCC" w14:textId="77777777" w:rsidR="00841998" w:rsidRDefault="006E6906">
      <w:pPr>
        <w:pStyle w:val="Heading2"/>
        <w:spacing w:before="1"/>
      </w:pPr>
      <w:r>
        <w:t>Timing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28-day</w:t>
      </w:r>
      <w:r>
        <w:rPr>
          <w:spacing w:val="-4"/>
        </w:rPr>
        <w:t xml:space="preserve"> rule</w:t>
      </w:r>
    </w:p>
    <w:p w14:paraId="7A2FA537" w14:textId="77777777" w:rsidR="00841998" w:rsidRDefault="00841998">
      <w:pPr>
        <w:pStyle w:val="BodyText"/>
        <w:spacing w:before="3"/>
        <w:rPr>
          <w:rFonts w:ascii="Georgia"/>
          <w:b/>
          <w:sz w:val="21"/>
        </w:rPr>
      </w:pPr>
    </w:p>
    <w:p w14:paraId="10E23255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8"/>
        </w:tabs>
        <w:ind w:right="108"/>
        <w:jc w:val="both"/>
      </w:pP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May.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Regulations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 able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proofErr w:type="spellStart"/>
      <w:r>
        <w:t>gazetted</w:t>
      </w:r>
      <w:proofErr w:type="spellEnd"/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enough</w:t>
      </w:r>
      <w:r>
        <w:rPr>
          <w:spacing w:val="-11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comply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28-day</w:t>
      </w:r>
      <w:r>
        <w:rPr>
          <w:spacing w:val="-12"/>
        </w:rPr>
        <w:t xml:space="preserve"> </w:t>
      </w:r>
      <w:r>
        <w:t>rule</w:t>
      </w:r>
      <w:r>
        <w:rPr>
          <w:spacing w:val="-10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come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force on 1 July 2023</w:t>
      </w:r>
    </w:p>
    <w:p w14:paraId="50B1AA63" w14:textId="77777777" w:rsidR="00841998" w:rsidRDefault="00841998">
      <w:pPr>
        <w:pStyle w:val="BodyText"/>
        <w:spacing w:before="3"/>
        <w:rPr>
          <w:sz w:val="31"/>
        </w:rPr>
      </w:pPr>
    </w:p>
    <w:p w14:paraId="4AE28B0E" w14:textId="77777777" w:rsidR="00841998" w:rsidRDefault="006E6906">
      <w:pPr>
        <w:pStyle w:val="Heading2"/>
      </w:pPr>
      <w:r>
        <w:rPr>
          <w:spacing w:val="-2"/>
        </w:rPr>
        <w:t>Compliance</w:t>
      </w:r>
    </w:p>
    <w:p w14:paraId="6FFD71EC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690862C4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spacing w:before="1"/>
        <w:ind w:hanging="496"/>
      </w:pPr>
      <w:r>
        <w:t>The</w:t>
      </w:r>
      <w:r>
        <w:rPr>
          <w:spacing w:val="-6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comply,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relevant,</w:t>
      </w:r>
      <w:r>
        <w:rPr>
          <w:spacing w:val="-6"/>
        </w:rPr>
        <w:t xml:space="preserve"> </w:t>
      </w:r>
      <w:r>
        <w:rPr>
          <w:spacing w:val="-2"/>
        </w:rPr>
        <w:t>with:</w:t>
      </w:r>
    </w:p>
    <w:p w14:paraId="01C1F91C" w14:textId="77777777" w:rsidR="00841998" w:rsidRDefault="006E6906">
      <w:pPr>
        <w:pStyle w:val="ListParagraph"/>
        <w:numPr>
          <w:ilvl w:val="0"/>
          <w:numId w:val="2"/>
        </w:numPr>
        <w:tabs>
          <w:tab w:val="left" w:pos="962"/>
          <w:tab w:val="left" w:pos="963"/>
        </w:tabs>
        <w:spacing w:before="123" w:line="237" w:lineRule="auto"/>
        <w:ind w:right="606"/>
      </w:pP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freedoms</w:t>
      </w:r>
      <w:r>
        <w:rPr>
          <w:spacing w:val="-4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Zealand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Act 1990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Human Rights Act 1993</w:t>
      </w:r>
    </w:p>
    <w:p w14:paraId="097E5CF9" w14:textId="77777777" w:rsidR="00841998" w:rsidRDefault="006E6906">
      <w:pPr>
        <w:pStyle w:val="ListParagraph"/>
        <w:numPr>
          <w:ilvl w:val="0"/>
          <w:numId w:val="2"/>
        </w:numPr>
        <w:tabs>
          <w:tab w:val="left" w:pos="962"/>
          <w:tab w:val="left" w:pos="963"/>
        </w:tabs>
        <w:spacing w:before="121"/>
      </w:pP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4FC17FF8" w14:textId="77777777" w:rsidR="00841998" w:rsidRDefault="006E6906">
      <w:pPr>
        <w:pStyle w:val="ListParagraph"/>
        <w:numPr>
          <w:ilvl w:val="0"/>
          <w:numId w:val="2"/>
        </w:numPr>
        <w:tabs>
          <w:tab w:val="left" w:pos="965"/>
          <w:tab w:val="left" w:pos="966"/>
        </w:tabs>
        <w:spacing w:before="119"/>
        <w:ind w:left="965" w:hanging="361"/>
      </w:pP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Waitangi</w:t>
      </w:r>
    </w:p>
    <w:p w14:paraId="4D5730D0" w14:textId="77777777" w:rsidR="00841998" w:rsidRDefault="006E6906">
      <w:pPr>
        <w:pStyle w:val="ListParagraph"/>
        <w:numPr>
          <w:ilvl w:val="0"/>
          <w:numId w:val="2"/>
        </w:numPr>
        <w:tabs>
          <w:tab w:val="left" w:pos="962"/>
          <w:tab w:val="left" w:pos="963"/>
        </w:tabs>
        <w:spacing w:before="117"/>
      </w:pPr>
      <w:r>
        <w:t>relevant</w:t>
      </w:r>
      <w:r>
        <w:rPr>
          <w:spacing w:val="-9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obligations;</w:t>
      </w:r>
      <w:r>
        <w:rPr>
          <w:spacing w:val="-11"/>
        </w:rPr>
        <w:t xml:space="preserve"> </w:t>
      </w:r>
      <w:r>
        <w:rPr>
          <w:spacing w:val="-5"/>
        </w:rPr>
        <w:t>and</w:t>
      </w:r>
    </w:p>
    <w:p w14:paraId="24F8836A" w14:textId="77777777" w:rsidR="00841998" w:rsidRDefault="006E6906">
      <w:pPr>
        <w:pStyle w:val="ListParagraph"/>
        <w:numPr>
          <w:ilvl w:val="0"/>
          <w:numId w:val="2"/>
        </w:numPr>
        <w:tabs>
          <w:tab w:val="left" w:pos="962"/>
          <w:tab w:val="left" w:pos="963"/>
        </w:tabs>
        <w:spacing w:before="120"/>
      </w:pPr>
      <w:r>
        <w:rPr>
          <w:i/>
        </w:rPr>
        <w:t>Legislation</w:t>
      </w:r>
      <w:r>
        <w:rPr>
          <w:i/>
          <w:spacing w:val="-9"/>
        </w:rPr>
        <w:t xml:space="preserve"> </w:t>
      </w:r>
      <w:r>
        <w:rPr>
          <w:i/>
        </w:rPr>
        <w:t>Guidelines:</w:t>
      </w:r>
      <w:r>
        <w:rPr>
          <w:i/>
          <w:spacing w:val="-4"/>
        </w:rPr>
        <w:t xml:space="preserve"> </w:t>
      </w:r>
      <w:r>
        <w:rPr>
          <w:i/>
        </w:rPr>
        <w:t>2021</w:t>
      </w:r>
      <w:r>
        <w:rPr>
          <w:i/>
          <w:spacing w:val="-7"/>
        </w:rPr>
        <w:t xml:space="preserve"> </w:t>
      </w:r>
      <w:r>
        <w:rPr>
          <w:i/>
        </w:rPr>
        <w:t>Edition</w:t>
      </w:r>
      <w:r>
        <w:t>,</w:t>
      </w:r>
      <w:r>
        <w:rPr>
          <w:spacing w:val="-5"/>
        </w:rPr>
        <w:t xml:space="preserve"> </w:t>
      </w:r>
      <w:r>
        <w:t>published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Advisory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14:paraId="6CD649E7" w14:textId="77777777" w:rsidR="00841998" w:rsidRDefault="00841998">
      <w:pPr>
        <w:pStyle w:val="BodyText"/>
        <w:rPr>
          <w:sz w:val="31"/>
        </w:rPr>
      </w:pPr>
    </w:p>
    <w:p w14:paraId="73DE1F4C" w14:textId="77777777" w:rsidR="00841998" w:rsidRDefault="006E6906">
      <w:pPr>
        <w:pStyle w:val="Heading2"/>
      </w:pPr>
      <w:r>
        <w:t>Regulations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2B639488" w14:textId="77777777" w:rsidR="00841998" w:rsidRDefault="00841998">
      <w:pPr>
        <w:pStyle w:val="BodyText"/>
        <w:spacing w:before="2"/>
        <w:rPr>
          <w:rFonts w:ascii="Georgia"/>
          <w:b/>
          <w:sz w:val="21"/>
        </w:rPr>
      </w:pPr>
    </w:p>
    <w:p w14:paraId="2645EADE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93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draw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 Regulations to the attention of the House under Standing Orders 315.</w:t>
      </w:r>
    </w:p>
    <w:p w14:paraId="635008BC" w14:textId="77777777" w:rsidR="00841998" w:rsidRDefault="00841998">
      <w:pPr>
        <w:pStyle w:val="BodyText"/>
        <w:spacing w:before="4"/>
        <w:rPr>
          <w:sz w:val="31"/>
        </w:rPr>
      </w:pPr>
    </w:p>
    <w:p w14:paraId="106BF615" w14:textId="77777777" w:rsidR="00841998" w:rsidRDefault="006E6906">
      <w:pPr>
        <w:pStyle w:val="Heading2"/>
      </w:pPr>
      <w:r>
        <w:t>Certification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Counsel</w:t>
      </w:r>
      <w:r>
        <w:rPr>
          <w:spacing w:val="-7"/>
        </w:rPr>
        <w:t xml:space="preserve"> </w:t>
      </w:r>
      <w:r>
        <w:rPr>
          <w:spacing w:val="-2"/>
        </w:rPr>
        <w:t>Office</w:t>
      </w:r>
    </w:p>
    <w:p w14:paraId="18CC38AE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6DA735C3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256"/>
      </w:pPr>
      <w:r>
        <w:t>The</w:t>
      </w:r>
      <w:r>
        <w:rPr>
          <w:spacing w:val="-3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Counsel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 for</w:t>
      </w:r>
      <w:proofErr w:type="gramEnd"/>
      <w:r>
        <w:t xml:space="preserve"> submission to the Executive Council.</w:t>
      </w:r>
    </w:p>
    <w:p w14:paraId="42C66FC7" w14:textId="77777777" w:rsidR="00841998" w:rsidRDefault="00841998">
      <w:pPr>
        <w:sectPr w:rsidR="00841998">
          <w:pgSz w:w="11910" w:h="16850"/>
          <w:pgMar w:top="1160" w:right="1020" w:bottom="980" w:left="1020" w:header="0" w:footer="777" w:gutter="0"/>
          <w:cols w:space="720"/>
        </w:sectPr>
      </w:pPr>
    </w:p>
    <w:p w14:paraId="51BAFB89" w14:textId="77777777" w:rsidR="00841998" w:rsidRDefault="006E6906">
      <w:pPr>
        <w:pStyle w:val="Heading2"/>
        <w:spacing w:before="87"/>
      </w:pPr>
      <w:r>
        <w:t>Regulatory</w:t>
      </w:r>
      <w:r>
        <w:rPr>
          <w:spacing w:val="-8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2"/>
        </w:rPr>
        <w:t>analysis</w:t>
      </w:r>
    </w:p>
    <w:p w14:paraId="0D50933C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672D1DD1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267"/>
      </w:pPr>
      <w:r>
        <w:t>A regulatory impact analysis is not required as the Amendment Regulations are of a minor nature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substantially</w:t>
      </w:r>
      <w:r>
        <w:rPr>
          <w:spacing w:val="-2"/>
        </w:rPr>
        <w:t xml:space="preserve"> </w:t>
      </w:r>
      <w:r>
        <w:t>alter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arrangements.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do not entail compliance costs for the aged residential care sector.</w:t>
      </w:r>
    </w:p>
    <w:p w14:paraId="48DDBD88" w14:textId="77777777" w:rsidR="00841998" w:rsidRDefault="00841998">
      <w:pPr>
        <w:pStyle w:val="BodyText"/>
        <w:spacing w:before="3"/>
        <w:rPr>
          <w:sz w:val="31"/>
        </w:rPr>
      </w:pPr>
    </w:p>
    <w:p w14:paraId="7DBCE5BE" w14:textId="77777777" w:rsidR="00841998" w:rsidRDefault="006E6906">
      <w:pPr>
        <w:pStyle w:val="Heading2"/>
      </w:pPr>
      <w:r>
        <w:rPr>
          <w:spacing w:val="-2"/>
        </w:rPr>
        <w:t>Publicity</w:t>
      </w:r>
    </w:p>
    <w:p w14:paraId="52C693F9" w14:textId="77777777" w:rsidR="00841998" w:rsidRDefault="00841998">
      <w:pPr>
        <w:pStyle w:val="BodyText"/>
        <w:spacing w:before="4"/>
        <w:rPr>
          <w:rFonts w:ascii="Georgia"/>
          <w:b/>
          <w:sz w:val="21"/>
        </w:rPr>
      </w:pPr>
    </w:p>
    <w:p w14:paraId="27278B4E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right="387"/>
      </w:pPr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income-from-assets</w:t>
      </w:r>
      <w:r>
        <w:rPr>
          <w:spacing w:val="-2"/>
        </w:rPr>
        <w:t xml:space="preserve"> </w:t>
      </w:r>
      <w:r>
        <w:t>exemptions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New</w:t>
      </w:r>
      <w:r>
        <w:rPr>
          <w:i/>
          <w:spacing w:val="-4"/>
        </w:rPr>
        <w:t xml:space="preserve"> </w:t>
      </w:r>
      <w:r>
        <w:rPr>
          <w:i/>
        </w:rPr>
        <w:t>Zealand</w:t>
      </w:r>
      <w:r>
        <w:rPr>
          <w:i/>
          <w:spacing w:val="-3"/>
        </w:rPr>
        <w:t xml:space="preserve"> </w:t>
      </w:r>
      <w:r>
        <w:rPr>
          <w:i/>
        </w:rPr>
        <w:t>Gazette</w:t>
      </w:r>
      <w:r>
        <w:t>.</w:t>
      </w:r>
      <w:r>
        <w:rPr>
          <w:spacing w:val="-4"/>
        </w:rPr>
        <w:t xml:space="preserve"> </w:t>
      </w:r>
      <w:r>
        <w:t xml:space="preserve">Te </w:t>
      </w:r>
      <w:proofErr w:type="spellStart"/>
      <w:r>
        <w:t>Whatu</w:t>
      </w:r>
      <w:proofErr w:type="spellEnd"/>
      <w:r>
        <w:t xml:space="preserve"> Ora are required to notify residents of any changes to the asset thresholds and allowable gifting amounts. The changes to the asset thresholds and income-from-assets exemptions will be set out in public brochures updated on 1 July 2023. Copies of </w:t>
      </w:r>
      <w:r>
        <w:t xml:space="preserve">the Amendment Regulations will be able to be accessed through the website </w:t>
      </w:r>
      <w:hyperlink r:id="rId9">
        <w:r>
          <w:rPr>
            <w:spacing w:val="-2"/>
            <w:u w:val="single"/>
          </w:rPr>
          <w:t>www.legislation.govt.nz</w:t>
        </w:r>
      </w:hyperlink>
    </w:p>
    <w:p w14:paraId="3317ECA1" w14:textId="77777777" w:rsidR="00841998" w:rsidRDefault="00841998">
      <w:pPr>
        <w:pStyle w:val="BodyText"/>
        <w:spacing w:before="1"/>
        <w:rPr>
          <w:sz w:val="23"/>
        </w:rPr>
      </w:pPr>
    </w:p>
    <w:p w14:paraId="37DDA64B" w14:textId="77777777" w:rsidR="00841998" w:rsidRDefault="006E6906">
      <w:pPr>
        <w:pStyle w:val="Heading2"/>
        <w:spacing w:before="94"/>
        <w:rPr>
          <w:rFonts w:ascii="Arial"/>
        </w:rPr>
      </w:pPr>
      <w:r>
        <w:rPr>
          <w:rFonts w:ascii="Arial"/>
        </w:rPr>
        <w:t>Proactive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2"/>
        </w:rPr>
        <w:t>Release</w:t>
      </w:r>
    </w:p>
    <w:p w14:paraId="4D4161DD" w14:textId="77777777" w:rsidR="00841998" w:rsidRDefault="00841998">
      <w:pPr>
        <w:pStyle w:val="BodyText"/>
        <w:spacing w:before="9"/>
        <w:rPr>
          <w:b/>
          <w:sz w:val="20"/>
        </w:rPr>
      </w:pPr>
    </w:p>
    <w:p w14:paraId="60543439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hanging="496"/>
      </w:pPr>
      <w:r>
        <w:t>This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proactively</w:t>
      </w:r>
      <w:r>
        <w:rPr>
          <w:spacing w:val="-3"/>
        </w:rPr>
        <w:t xml:space="preserve"> </w:t>
      </w:r>
      <w:r>
        <w:t>released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(18)</w:t>
      </w:r>
      <w:r>
        <w:rPr>
          <w:spacing w:val="-4"/>
        </w:rPr>
        <w:t xml:space="preserve"> </w:t>
      </w:r>
      <w:r>
        <w:rPr>
          <w:spacing w:val="-5"/>
        </w:rPr>
        <w:t>4).</w:t>
      </w:r>
    </w:p>
    <w:p w14:paraId="19645FDA" w14:textId="77777777" w:rsidR="00841998" w:rsidRDefault="00841998">
      <w:pPr>
        <w:pStyle w:val="BodyText"/>
        <w:spacing w:before="4"/>
        <w:rPr>
          <w:sz w:val="31"/>
        </w:rPr>
      </w:pPr>
    </w:p>
    <w:p w14:paraId="3ABDEC50" w14:textId="77777777" w:rsidR="00841998" w:rsidRDefault="006E6906">
      <w:pPr>
        <w:pStyle w:val="Heading2"/>
        <w:spacing w:before="1"/>
      </w:pPr>
      <w:r>
        <w:rPr>
          <w:spacing w:val="-2"/>
        </w:rPr>
        <w:t>Recommendations</w:t>
      </w:r>
    </w:p>
    <w:p w14:paraId="231F82CB" w14:textId="77777777" w:rsidR="00841998" w:rsidRDefault="00841998">
      <w:pPr>
        <w:pStyle w:val="BodyText"/>
        <w:spacing w:before="1"/>
        <w:rPr>
          <w:rFonts w:ascii="Georgia"/>
          <w:b/>
          <w:sz w:val="21"/>
        </w:rPr>
      </w:pPr>
    </w:p>
    <w:p w14:paraId="0AE97566" w14:textId="77777777" w:rsidR="00841998" w:rsidRDefault="006E6906">
      <w:pPr>
        <w:pStyle w:val="ListParagraph"/>
        <w:numPr>
          <w:ilvl w:val="0"/>
          <w:numId w:val="4"/>
        </w:numPr>
        <w:tabs>
          <w:tab w:val="left" w:pos="607"/>
          <w:tab w:val="left" w:pos="608"/>
        </w:tabs>
        <w:ind w:hanging="496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</w:p>
    <w:p w14:paraId="394980C1" w14:textId="77777777" w:rsidR="00841998" w:rsidRDefault="00841998">
      <w:pPr>
        <w:pStyle w:val="BodyText"/>
        <w:spacing w:before="9"/>
        <w:rPr>
          <w:sz w:val="20"/>
        </w:rPr>
      </w:pPr>
    </w:p>
    <w:p w14:paraId="53DD3684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66"/>
      </w:pPr>
      <w:r>
        <w:rPr>
          <w:b/>
        </w:rPr>
        <w:t xml:space="preserve">note </w:t>
      </w:r>
      <w:r>
        <w:t>that sections 75(1) and 75(2) of the Residential Care and Disability Support Services Act 2018 require the asset thresholds and the income-from-assets exemptions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year in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“upwards</w:t>
      </w:r>
      <w:r>
        <w:rPr>
          <w:spacing w:val="-5"/>
        </w:rPr>
        <w:t xml:space="preserve"> </w:t>
      </w:r>
      <w:r>
        <w:t>movement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index numb</w:t>
      </w:r>
      <w:r>
        <w:t>er of the Consumers Price Index (All Groups) for the year ending on the previous 31 March.”</w:t>
      </w:r>
    </w:p>
    <w:p w14:paraId="68814DF4" w14:textId="77777777" w:rsidR="00841998" w:rsidRDefault="00841998">
      <w:pPr>
        <w:pStyle w:val="BodyText"/>
        <w:spacing w:before="10"/>
        <w:rPr>
          <w:sz w:val="20"/>
        </w:rPr>
      </w:pPr>
    </w:p>
    <w:p w14:paraId="439867FA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488"/>
      </w:pPr>
      <w:r>
        <w:rPr>
          <w:b/>
        </w:rPr>
        <w:t>note</w:t>
      </w:r>
      <w:r>
        <w:rPr>
          <w:b/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(Annual</w:t>
      </w:r>
      <w:r>
        <w:rPr>
          <w:spacing w:val="-3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of Applicable Asset Thresholds and Income-from-assets Exemption) Regulations 2023</w:t>
      </w:r>
      <w:r>
        <w:t xml:space="preserve"> </w:t>
      </w:r>
      <w:r>
        <w:rPr>
          <w:spacing w:val="-2"/>
        </w:rPr>
        <w:t>increase:</w:t>
      </w:r>
    </w:p>
    <w:p w14:paraId="48D9AF98" w14:textId="77777777" w:rsidR="00841998" w:rsidRDefault="00841998">
      <w:pPr>
        <w:pStyle w:val="BodyText"/>
        <w:rPr>
          <w:sz w:val="21"/>
        </w:rPr>
      </w:pPr>
    </w:p>
    <w:p w14:paraId="623248E3" w14:textId="77777777" w:rsidR="00841998" w:rsidRDefault="006E6906">
      <w:pPr>
        <w:pStyle w:val="ListParagraph"/>
        <w:numPr>
          <w:ilvl w:val="1"/>
          <w:numId w:val="1"/>
        </w:numPr>
        <w:tabs>
          <w:tab w:val="left" w:pos="1594"/>
        </w:tabs>
        <w:spacing w:before="1" w:line="252" w:lineRule="exact"/>
      </w:pPr>
      <w:r>
        <w:t>the</w:t>
      </w:r>
      <w:r>
        <w:rPr>
          <w:spacing w:val="-8"/>
        </w:rPr>
        <w:t xml:space="preserve"> </w:t>
      </w:r>
      <w:r>
        <w:t>asset</w:t>
      </w:r>
      <w:r>
        <w:rPr>
          <w:spacing w:val="-6"/>
        </w:rPr>
        <w:t xml:space="preserve"> </w:t>
      </w:r>
      <w:r>
        <w:t>thresholds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eligibility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3E23112B" w14:textId="77777777" w:rsidR="00841998" w:rsidRDefault="006E6906">
      <w:pPr>
        <w:pStyle w:val="BodyText"/>
        <w:ind w:left="1593" w:right="232"/>
      </w:pPr>
      <w:r>
        <w:t>6.7</w:t>
      </w:r>
      <w:r>
        <w:rPr>
          <w:spacing w:val="-2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>
        <w:t>Groups</w:t>
      </w:r>
      <w:proofErr w:type="gramEnd"/>
      <w:r>
        <w:rPr>
          <w:spacing w:val="-2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ending 31 March 2023</w:t>
      </w:r>
    </w:p>
    <w:p w14:paraId="62567D41" w14:textId="77777777" w:rsidR="00841998" w:rsidRDefault="00841998">
      <w:pPr>
        <w:pStyle w:val="BodyText"/>
        <w:spacing w:before="9"/>
        <w:rPr>
          <w:sz w:val="20"/>
        </w:rPr>
      </w:pPr>
    </w:p>
    <w:p w14:paraId="2B101044" w14:textId="77777777" w:rsidR="00841998" w:rsidRDefault="006E6906">
      <w:pPr>
        <w:pStyle w:val="ListParagraph"/>
        <w:numPr>
          <w:ilvl w:val="1"/>
          <w:numId w:val="1"/>
        </w:numPr>
        <w:tabs>
          <w:tab w:val="left" w:pos="1594"/>
        </w:tabs>
        <w:spacing w:before="1"/>
        <w:ind w:left="1593" w:right="283"/>
      </w:pP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income-from-assets</w:t>
      </w:r>
      <w:r>
        <w:rPr>
          <w:spacing w:val="-4"/>
        </w:rPr>
        <w:t xml:space="preserve"> </w:t>
      </w:r>
      <w:r>
        <w:t>exemptions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6.7</w:t>
      </w:r>
      <w:r>
        <w:rPr>
          <w:spacing w:val="-6"/>
        </w:rPr>
        <w:t xml:space="preserve"> </w:t>
      </w:r>
      <w:r>
        <w:t xml:space="preserve">percent increase in the </w:t>
      </w:r>
      <w:proofErr w:type="gramStart"/>
      <w:r>
        <w:t>All Groups</w:t>
      </w:r>
      <w:proofErr w:type="gramEnd"/>
      <w:r>
        <w:t xml:space="preserve"> Consumers Price Index for the year ending 31 March </w:t>
      </w:r>
      <w:r>
        <w:rPr>
          <w:spacing w:val="-4"/>
        </w:rPr>
        <w:t>2023</w:t>
      </w:r>
    </w:p>
    <w:p w14:paraId="224CB887" w14:textId="77777777" w:rsidR="00841998" w:rsidRDefault="00841998">
      <w:pPr>
        <w:pStyle w:val="BodyText"/>
        <w:spacing w:before="9"/>
        <w:rPr>
          <w:sz w:val="20"/>
        </w:rPr>
      </w:pPr>
    </w:p>
    <w:p w14:paraId="744FD2E1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301"/>
      </w:pPr>
      <w:r>
        <w:rPr>
          <w:b/>
        </w:rPr>
        <w:t xml:space="preserve">note </w:t>
      </w:r>
      <w:r>
        <w:t>that in 2004 Cabinet agreed that the allowable gifting amounts prescribed in the Residential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 annually for adjustment in line with the Consumers Price Index and that such adjustments s</w:t>
      </w:r>
      <w:r>
        <w:t>hould be in $500 increments [CAB Min (04) 30/08 refers]</w:t>
      </w:r>
    </w:p>
    <w:p w14:paraId="3559F8A7" w14:textId="77777777" w:rsidR="00841998" w:rsidRDefault="00841998">
      <w:pPr>
        <w:pStyle w:val="BodyText"/>
        <w:rPr>
          <w:sz w:val="21"/>
        </w:rPr>
      </w:pPr>
    </w:p>
    <w:p w14:paraId="57A4DC55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614"/>
      </w:pPr>
      <w:r>
        <w:rPr>
          <w:b/>
        </w:rPr>
        <w:t xml:space="preserve">note </w:t>
      </w:r>
      <w:r>
        <w:t>that the Residential Care and Disability Support Services Amendment (No 2) Regulations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gifting</w:t>
      </w:r>
      <w:r>
        <w:rPr>
          <w:spacing w:val="-2"/>
        </w:rPr>
        <w:t xml:space="preserve"> </w:t>
      </w:r>
      <w:r>
        <w:t>amount by</w:t>
      </w:r>
      <w:r>
        <w:rPr>
          <w:spacing w:val="-4"/>
        </w:rPr>
        <w:t xml:space="preserve"> </w:t>
      </w:r>
      <w:r>
        <w:t>$500,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$7,000</w:t>
      </w:r>
      <w:r>
        <w:rPr>
          <w:spacing w:val="-4"/>
        </w:rPr>
        <w:t xml:space="preserve"> </w:t>
      </w:r>
      <w:r>
        <w:t>to</w:t>
      </w:r>
    </w:p>
    <w:p w14:paraId="6AA59586" w14:textId="77777777" w:rsidR="00841998" w:rsidRDefault="006E6906">
      <w:pPr>
        <w:pStyle w:val="BodyText"/>
        <w:spacing w:before="1"/>
        <w:ind w:left="1099"/>
        <w:rPr>
          <w:rFonts w:ascii="Verdana"/>
        </w:rPr>
      </w:pPr>
      <w:r>
        <w:t>$7,500,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accumulated</w:t>
      </w:r>
      <w:r>
        <w:rPr>
          <w:spacing w:val="-4"/>
        </w:rPr>
        <w:t xml:space="preserve"> </w:t>
      </w:r>
      <w:r>
        <w:t>change based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movement 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5"/>
        </w:rPr>
        <w:t xml:space="preserve"> </w:t>
      </w:r>
      <w:r>
        <w:t>Groups</w:t>
      </w:r>
      <w:proofErr w:type="gramEnd"/>
      <w:r>
        <w:t xml:space="preserve"> Consumers Price Index from 1 April 2022 to 31 March 2023 has reached $</w:t>
      </w:r>
      <w:r>
        <w:rPr>
          <w:rFonts w:ascii="Verdana"/>
        </w:rPr>
        <w:t>831</w:t>
      </w:r>
    </w:p>
    <w:p w14:paraId="6D661E0D" w14:textId="77777777" w:rsidR="00841998" w:rsidRDefault="00841998">
      <w:pPr>
        <w:pStyle w:val="BodyText"/>
        <w:spacing w:before="8"/>
        <w:rPr>
          <w:rFonts w:ascii="Verdana"/>
          <w:sz w:val="19"/>
        </w:rPr>
      </w:pPr>
    </w:p>
    <w:p w14:paraId="019BD9E7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1"/>
        <w:ind w:right="449"/>
      </w:pPr>
      <w:r>
        <w:rPr>
          <w:b/>
        </w:rPr>
        <w:t xml:space="preserve">note </w:t>
      </w:r>
      <w:r>
        <w:t>that the Residential Care and Disability Support Services Amendment (No 2) Regulations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increase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gifting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from</w:t>
      </w:r>
    </w:p>
    <w:p w14:paraId="53032C16" w14:textId="77777777" w:rsidR="00841998" w:rsidRDefault="006E6906">
      <w:pPr>
        <w:pStyle w:val="BodyText"/>
        <w:spacing w:line="251" w:lineRule="exact"/>
        <w:ind w:left="1099"/>
      </w:pPr>
      <w:r>
        <w:t>$35,000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$37,500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Residential</w:t>
      </w:r>
    </w:p>
    <w:p w14:paraId="3BBF3889" w14:textId="77777777" w:rsidR="00841998" w:rsidRDefault="006E6906">
      <w:pPr>
        <w:pStyle w:val="BodyText"/>
        <w:spacing w:before="1"/>
        <w:ind w:left="1099"/>
      </w:pPr>
      <w:r>
        <w:t>Care</w:t>
      </w:r>
      <w:r>
        <w:rPr>
          <w:spacing w:val="-7"/>
        </w:rPr>
        <w:t xml:space="preserve"> </w:t>
      </w:r>
      <w:r>
        <w:t>Subsidy,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consequence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adjusting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allowable</w:t>
      </w:r>
      <w:r>
        <w:rPr>
          <w:spacing w:val="-5"/>
        </w:rPr>
        <w:t xml:space="preserve"> </w:t>
      </w:r>
      <w:r>
        <w:t>gifting</w:t>
      </w:r>
      <w:r>
        <w:rPr>
          <w:spacing w:val="-2"/>
        </w:rPr>
        <w:t xml:space="preserve"> amount</w:t>
      </w:r>
    </w:p>
    <w:p w14:paraId="31E8BE55" w14:textId="77777777" w:rsidR="00841998" w:rsidRDefault="00841998">
      <w:pPr>
        <w:sectPr w:rsidR="00841998">
          <w:pgSz w:w="11910" w:h="16850"/>
          <w:pgMar w:top="1160" w:right="1020" w:bottom="980" w:left="1020" w:header="0" w:footer="777" w:gutter="0"/>
          <w:cols w:space="720"/>
        </w:sectPr>
      </w:pPr>
    </w:p>
    <w:p w14:paraId="48DA7F32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67"/>
        <w:ind w:right="175"/>
      </w:pPr>
      <w:r>
        <w:rPr>
          <w:b/>
        </w:rPr>
        <w:t xml:space="preserve">note </w:t>
      </w:r>
      <w:r>
        <w:t>that the Residential Care and Disability Support Services (Annual Adjustment of Applicable</w:t>
      </w:r>
      <w:r>
        <w:rPr>
          <w:spacing w:val="-4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Thresholds,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Income-from-assets</w:t>
      </w:r>
      <w:r>
        <w:rPr>
          <w:spacing w:val="-5"/>
        </w:rPr>
        <w:t xml:space="preserve"> </w:t>
      </w:r>
      <w:r>
        <w:t>Exemption)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will increase the cost of the Residential Care Subsidy by around $8 million a year</w:t>
      </w:r>
    </w:p>
    <w:p w14:paraId="014E8379" w14:textId="77777777" w:rsidR="00841998" w:rsidRDefault="00841998">
      <w:pPr>
        <w:pStyle w:val="BodyText"/>
        <w:spacing w:before="10"/>
        <w:rPr>
          <w:sz w:val="20"/>
        </w:rPr>
      </w:pPr>
    </w:p>
    <w:p w14:paraId="3C16786C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412"/>
      </w:pPr>
      <w:r>
        <w:rPr>
          <w:b/>
        </w:rPr>
        <w:t xml:space="preserve">note </w:t>
      </w:r>
      <w:r>
        <w:t>that th</w:t>
      </w:r>
      <w:r>
        <w:t>e fiscal cost of increasing the asset thresholds and income-from-assets exemptions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met by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proofErr w:type="spellStart"/>
      <w:r>
        <w:t>Whatu</w:t>
      </w:r>
      <w:proofErr w:type="spellEnd"/>
      <w:r>
        <w:rPr>
          <w:spacing w:val="-6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support services in</w:t>
      </w:r>
      <w:r>
        <w:rPr>
          <w:spacing w:val="-3"/>
        </w:rPr>
        <w:t xml:space="preserve"> </w:t>
      </w:r>
      <w:r>
        <w:t>2023/24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appropriations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 the increase</w:t>
      </w:r>
      <w:r>
        <w:t xml:space="preserve"> in the thresholds</w:t>
      </w:r>
    </w:p>
    <w:p w14:paraId="45169B4E" w14:textId="77777777" w:rsidR="00841998" w:rsidRDefault="00841998">
      <w:pPr>
        <w:pStyle w:val="BodyText"/>
        <w:spacing w:before="11"/>
        <w:rPr>
          <w:sz w:val="20"/>
        </w:rPr>
      </w:pPr>
    </w:p>
    <w:p w14:paraId="0F50DD00" w14:textId="77777777" w:rsidR="00841998" w:rsidRDefault="006E6906">
      <w:pPr>
        <w:pStyle w:val="ListParagraph"/>
        <w:numPr>
          <w:ilvl w:val="0"/>
          <w:numId w:val="1"/>
        </w:numPr>
        <w:tabs>
          <w:tab w:val="left" w:pos="1100"/>
        </w:tabs>
        <w:ind w:right="108"/>
        <w:jc w:val="both"/>
      </w:pPr>
      <w:proofErr w:type="spellStart"/>
      <w:r>
        <w:rPr>
          <w:b/>
        </w:rPr>
        <w:t>authorise</w:t>
      </w:r>
      <w:proofErr w:type="spellEnd"/>
      <w:r>
        <w:rPr>
          <w:b/>
          <w:spacing w:val="-1"/>
        </w:rPr>
        <w:t xml:space="preserve"> </w:t>
      </w:r>
      <w:r>
        <w:t>the submission to the Executive Council of</w:t>
      </w:r>
      <w:r>
        <w:rPr>
          <w:spacing w:val="-1"/>
        </w:rPr>
        <w:t xml:space="preserve"> </w:t>
      </w:r>
      <w:r>
        <w:t>the Residential Care and Disability Support Services</w:t>
      </w:r>
      <w:r>
        <w:rPr>
          <w:spacing w:val="-1"/>
        </w:rPr>
        <w:t xml:space="preserve"> </w:t>
      </w:r>
      <w:r>
        <w:t>(Annual Adjustment of Applicable Asset Thresholds, and Income-from- assets</w:t>
      </w:r>
      <w:r>
        <w:rPr>
          <w:spacing w:val="-16"/>
        </w:rPr>
        <w:t xml:space="preserve"> </w:t>
      </w:r>
      <w:r>
        <w:t>Exemption)</w:t>
      </w:r>
      <w:r>
        <w:rPr>
          <w:spacing w:val="-15"/>
        </w:rPr>
        <w:t xml:space="preserve"> </w:t>
      </w:r>
      <w:r>
        <w:t>Regulations</w:t>
      </w:r>
      <w:r>
        <w:rPr>
          <w:spacing w:val="-15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Residential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Disability</w:t>
      </w:r>
      <w:r>
        <w:rPr>
          <w:spacing w:val="-15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Services Amendment (No 2) Regulations 2023</w:t>
      </w:r>
    </w:p>
    <w:p w14:paraId="2C3AFE6D" w14:textId="77777777" w:rsidR="00841998" w:rsidRDefault="00841998">
      <w:pPr>
        <w:pStyle w:val="BodyText"/>
        <w:spacing w:before="8"/>
        <w:rPr>
          <w:sz w:val="20"/>
        </w:rPr>
      </w:pPr>
    </w:p>
    <w:p w14:paraId="6E3F62A1" w14:textId="77777777" w:rsidR="00841998" w:rsidRDefault="006E6906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ind w:right="112"/>
      </w:pPr>
      <w:r>
        <w:rPr>
          <w:b/>
        </w:rPr>
        <w:t xml:space="preserve">note </w:t>
      </w:r>
      <w:r>
        <w:t>that the Residential Care and Disability Support Services (Annual Adjustment of Applicable</w:t>
      </w:r>
      <w:r>
        <w:rPr>
          <w:spacing w:val="-4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Thresholds,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Income-from-assets</w:t>
      </w:r>
      <w:r>
        <w:rPr>
          <w:spacing w:val="-5"/>
        </w:rPr>
        <w:t xml:space="preserve"> </w:t>
      </w:r>
      <w:r>
        <w:t>Exemption)</w:t>
      </w:r>
      <w:r>
        <w:rPr>
          <w:spacing w:val="-3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and Residential Care and Disability Support Services Amendment (No 2) Regulations 2023 will come</w:t>
      </w:r>
      <w:r>
        <w:t xml:space="preserve"> into force on 1 July 2023.</w:t>
      </w:r>
    </w:p>
    <w:p w14:paraId="10B79BD3" w14:textId="77777777" w:rsidR="00841998" w:rsidRDefault="00841998">
      <w:pPr>
        <w:pStyle w:val="BodyText"/>
        <w:rPr>
          <w:sz w:val="20"/>
        </w:rPr>
      </w:pPr>
    </w:p>
    <w:p w14:paraId="6EE19F54" w14:textId="77777777" w:rsidR="00841998" w:rsidRDefault="00841998">
      <w:pPr>
        <w:pStyle w:val="BodyText"/>
        <w:rPr>
          <w:sz w:val="20"/>
        </w:rPr>
      </w:pPr>
    </w:p>
    <w:p w14:paraId="60AA43C3" w14:textId="77777777" w:rsidR="00841998" w:rsidRDefault="00841998">
      <w:pPr>
        <w:pStyle w:val="BodyText"/>
        <w:rPr>
          <w:sz w:val="20"/>
        </w:rPr>
      </w:pPr>
    </w:p>
    <w:p w14:paraId="7EF67F8E" w14:textId="77777777" w:rsidR="00841998" w:rsidRDefault="00841998">
      <w:pPr>
        <w:pStyle w:val="BodyText"/>
        <w:rPr>
          <w:sz w:val="20"/>
        </w:rPr>
      </w:pPr>
    </w:p>
    <w:p w14:paraId="5188641E" w14:textId="77777777" w:rsidR="00841998" w:rsidRDefault="00841998">
      <w:pPr>
        <w:pStyle w:val="BodyText"/>
        <w:rPr>
          <w:sz w:val="20"/>
        </w:rPr>
      </w:pPr>
    </w:p>
    <w:p w14:paraId="7875C4B6" w14:textId="77777777" w:rsidR="00841998" w:rsidRDefault="00841998">
      <w:pPr>
        <w:pStyle w:val="BodyText"/>
        <w:rPr>
          <w:sz w:val="20"/>
        </w:rPr>
      </w:pPr>
    </w:p>
    <w:p w14:paraId="590876F2" w14:textId="77777777" w:rsidR="00841998" w:rsidRDefault="00841998">
      <w:pPr>
        <w:pStyle w:val="BodyText"/>
        <w:rPr>
          <w:sz w:val="20"/>
        </w:rPr>
      </w:pPr>
    </w:p>
    <w:p w14:paraId="34C8136E" w14:textId="77777777" w:rsidR="00841998" w:rsidRDefault="00841998">
      <w:pPr>
        <w:pStyle w:val="BodyText"/>
        <w:spacing w:before="10"/>
        <w:rPr>
          <w:sz w:val="25"/>
        </w:rPr>
      </w:pPr>
    </w:p>
    <w:p w14:paraId="7A9E43EA" w14:textId="77777777" w:rsidR="00841998" w:rsidRDefault="00841998">
      <w:pPr>
        <w:rPr>
          <w:sz w:val="25"/>
        </w:rPr>
        <w:sectPr w:rsidR="00841998">
          <w:pgSz w:w="11910" w:h="16850"/>
          <w:pgMar w:top="1180" w:right="1020" w:bottom="980" w:left="1020" w:header="0" w:footer="777" w:gutter="0"/>
          <w:cols w:space="720"/>
        </w:sectPr>
      </w:pPr>
    </w:p>
    <w:p w14:paraId="24A069DC" w14:textId="77777777" w:rsidR="00841998" w:rsidRDefault="006E6906">
      <w:pPr>
        <w:pStyle w:val="BodyText"/>
        <w:spacing w:before="94" w:line="252" w:lineRule="exact"/>
        <w:ind w:left="221"/>
      </w:pPr>
      <w:r>
        <w:t>Hon</w:t>
      </w:r>
      <w:r>
        <w:rPr>
          <w:spacing w:val="-4"/>
        </w:rPr>
        <w:t xml:space="preserve"> </w:t>
      </w:r>
      <w:r>
        <w:t>Carmel</w:t>
      </w:r>
      <w:r>
        <w:rPr>
          <w:spacing w:val="-4"/>
        </w:rPr>
        <w:t xml:space="preserve"> </w:t>
      </w:r>
      <w:r>
        <w:rPr>
          <w:spacing w:val="-2"/>
        </w:rPr>
        <w:t>Sepuloni</w:t>
      </w:r>
    </w:p>
    <w:p w14:paraId="3909EE85" w14:textId="77777777" w:rsidR="00841998" w:rsidRDefault="006E6906">
      <w:pPr>
        <w:pStyle w:val="BodyText"/>
        <w:spacing w:line="252" w:lineRule="exact"/>
        <w:ind w:left="221"/>
      </w:pP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Employment</w:t>
      </w:r>
    </w:p>
    <w:p w14:paraId="4D1036BD" w14:textId="77777777" w:rsidR="00841998" w:rsidRDefault="006E6906">
      <w:pPr>
        <w:pStyle w:val="BodyText"/>
        <w:spacing w:before="94"/>
        <w:ind w:left="221" w:right="1004"/>
      </w:pPr>
      <w:r>
        <w:br w:type="column"/>
        <w:t>Hon Barbara Edmonds Associate</w:t>
      </w:r>
      <w:r>
        <w:rPr>
          <w:spacing w:val="-12"/>
        </w:rPr>
        <w:t xml:space="preserve"> </w:t>
      </w:r>
      <w:r>
        <w:t>Minister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Health</w:t>
      </w:r>
    </w:p>
    <w:p w14:paraId="0210C303" w14:textId="77777777" w:rsidR="00841998" w:rsidRDefault="00841998">
      <w:pPr>
        <w:sectPr w:rsidR="00841998">
          <w:type w:val="continuous"/>
          <w:pgSz w:w="11910" w:h="16850"/>
          <w:pgMar w:top="1180" w:right="1020" w:bottom="480" w:left="1020" w:header="0" w:footer="777" w:gutter="0"/>
          <w:cols w:num="2" w:space="720" w:equalWidth="0">
            <w:col w:w="5080" w:space="393"/>
            <w:col w:w="4397"/>
          </w:cols>
        </w:sectPr>
      </w:pPr>
    </w:p>
    <w:p w14:paraId="5815EF1A" w14:textId="77777777" w:rsidR="00841998" w:rsidRDefault="00841998">
      <w:pPr>
        <w:pStyle w:val="BodyText"/>
        <w:rPr>
          <w:sz w:val="20"/>
        </w:rPr>
      </w:pPr>
    </w:p>
    <w:p w14:paraId="5C82AE4F" w14:textId="77777777" w:rsidR="00841998" w:rsidRDefault="00841998">
      <w:pPr>
        <w:pStyle w:val="BodyText"/>
        <w:spacing w:before="10"/>
        <w:rPr>
          <w:sz w:val="23"/>
        </w:rPr>
      </w:pPr>
    </w:p>
    <w:p w14:paraId="1C65F2D4" w14:textId="77777777" w:rsidR="00841998" w:rsidRDefault="006E6906">
      <w:pPr>
        <w:pStyle w:val="BodyText"/>
        <w:spacing w:before="94"/>
        <w:ind w:left="112"/>
      </w:pPr>
      <w:proofErr w:type="spellStart"/>
      <w:r>
        <w:t>Authorised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lodgement</w:t>
      </w:r>
      <w:proofErr w:type="spellEnd"/>
    </w:p>
    <w:sectPr w:rsidR="00841998">
      <w:type w:val="continuous"/>
      <w:pgSz w:w="11910" w:h="16850"/>
      <w:pgMar w:top="1180" w:right="1020" w:bottom="480" w:left="102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6C79" w14:textId="77777777" w:rsidR="006E6906" w:rsidRDefault="006E6906">
      <w:r>
        <w:separator/>
      </w:r>
    </w:p>
  </w:endnote>
  <w:endnote w:type="continuationSeparator" w:id="0">
    <w:p w14:paraId="44531B5D" w14:textId="77777777" w:rsidR="006E6906" w:rsidRDefault="006E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8DC72" w14:textId="77777777" w:rsidR="00841998" w:rsidRDefault="006E6906">
    <w:pPr>
      <w:pStyle w:val="BodyText"/>
      <w:spacing w:line="14" w:lineRule="auto"/>
      <w:rPr>
        <w:sz w:val="20"/>
      </w:rPr>
    </w:pPr>
    <w:r>
      <w:pict w14:anchorId="23DC4D2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5pt;margin-top:816.9pt;width:140.55pt;height:12.1pt;z-index:-15902208;mso-position-horizontal-relative:page;mso-position-vertical-relative:page" filled="f" stroked="f">
          <v:textbox inset="0,0,0,0">
            <w:txbxContent>
              <w:p w14:paraId="2B0BE5AA" w14:textId="77777777" w:rsidR="00841998" w:rsidRDefault="006E6906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72vh7ewzmz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2023-05-23</w:t>
                </w:r>
                <w:r>
                  <w:rPr>
                    <w:spacing w:val="-10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10:08:57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FE28" w14:textId="77777777" w:rsidR="00841998" w:rsidRDefault="006E6906">
    <w:pPr>
      <w:pStyle w:val="BodyText"/>
      <w:spacing w:line="14" w:lineRule="auto"/>
      <w:rPr>
        <w:sz w:val="20"/>
      </w:rPr>
    </w:pPr>
    <w:r>
      <w:pict w14:anchorId="5587EF1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30.9pt;margin-top:792.7pt;width:12.7pt;height:12.65pt;z-index:-15901696;mso-position-horizontal-relative:page;mso-position-vertical-relative:page" filled="f" stroked="f">
          <v:textbox inset="0,0,0,0">
            <w:txbxContent>
              <w:p w14:paraId="1337C7E4" w14:textId="77777777" w:rsidR="00841998" w:rsidRDefault="006E6906">
                <w:pPr>
                  <w:spacing w:before="14"/>
                  <w:ind w:left="60"/>
                  <w:rPr>
                    <w:sz w:val="19"/>
                  </w:rPr>
                </w:pPr>
                <w:r>
                  <w:rPr>
                    <w:color w:val="1A181F"/>
                    <w:w w:val="107"/>
                    <w:sz w:val="19"/>
                  </w:rPr>
                  <w:fldChar w:fldCharType="begin"/>
                </w:r>
                <w:r>
                  <w:rPr>
                    <w:color w:val="1A181F"/>
                    <w:w w:val="107"/>
                    <w:sz w:val="19"/>
                  </w:rPr>
                  <w:instrText xml:space="preserve"> PAGE </w:instrText>
                </w:r>
                <w:r>
                  <w:rPr>
                    <w:color w:val="1A181F"/>
                    <w:w w:val="107"/>
                    <w:sz w:val="19"/>
                  </w:rPr>
                  <w:fldChar w:fldCharType="separate"/>
                </w:r>
                <w:r>
                  <w:rPr>
                    <w:color w:val="1A181F"/>
                    <w:w w:val="107"/>
                    <w:sz w:val="19"/>
                  </w:rPr>
                  <w:t>2</w:t>
                </w:r>
                <w:r>
                  <w:rPr>
                    <w:color w:val="1A181F"/>
                    <w:w w:val="107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AEC01BF">
        <v:shape id="docshape4" o:spid="_x0000_s1025" type="#_x0000_t202" style="position:absolute;margin-left:14.95pt;margin-top:818.1pt;width:140.5pt;height:11.55pt;z-index:-15901184;mso-position-horizontal-relative:page;mso-position-vertical-relative:page" filled="f" stroked="f">
          <v:textbox inset="0,0,0,0">
            <w:txbxContent>
              <w:p w14:paraId="31DCEF11" w14:textId="77777777" w:rsidR="00841998" w:rsidRDefault="006E6906">
                <w:pPr>
                  <w:spacing w:before="14"/>
                  <w:ind w:left="20"/>
                  <w:rPr>
                    <w:sz w:val="17"/>
                  </w:rPr>
                </w:pPr>
                <w:r>
                  <w:rPr>
                    <w:color w:val="4D4D4D"/>
                    <w:w w:val="105"/>
                    <w:sz w:val="17"/>
                  </w:rPr>
                  <w:t>72vh7ewzmz</w:t>
                </w:r>
                <w:r>
                  <w:rPr>
                    <w:color w:val="4D4D4D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4D4D4D"/>
                    <w:w w:val="105"/>
                    <w:sz w:val="17"/>
                  </w:rPr>
                  <w:t>2023-05-23</w:t>
                </w:r>
                <w:r>
                  <w:rPr>
                    <w:color w:val="4D4D4D"/>
                    <w:spacing w:val="3"/>
                    <w:w w:val="105"/>
                    <w:sz w:val="17"/>
                  </w:rPr>
                  <w:t xml:space="preserve"> </w:t>
                </w:r>
                <w:r>
                  <w:rPr>
                    <w:color w:val="4D4D4D"/>
                    <w:spacing w:val="-2"/>
                    <w:w w:val="105"/>
                    <w:sz w:val="17"/>
                  </w:rPr>
                  <w:t>10:08:57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FC4E" w14:textId="77777777" w:rsidR="006E6906" w:rsidRDefault="006E6906">
      <w:r>
        <w:separator/>
      </w:r>
    </w:p>
  </w:footnote>
  <w:footnote w:type="continuationSeparator" w:id="0">
    <w:p w14:paraId="6E7251E6" w14:textId="77777777" w:rsidR="006E6906" w:rsidRDefault="006E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3B31"/>
    <w:multiLevelType w:val="hybridMultilevel"/>
    <w:tmpl w:val="08D64002"/>
    <w:lvl w:ilvl="0" w:tplc="1C54168C">
      <w:numFmt w:val="bullet"/>
      <w:lvlText w:val=""/>
      <w:lvlJc w:val="left"/>
      <w:pPr>
        <w:ind w:left="962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DA2586">
      <w:numFmt w:val="bullet"/>
      <w:lvlText w:val="•"/>
      <w:lvlJc w:val="left"/>
      <w:pPr>
        <w:ind w:left="1850" w:hanging="358"/>
      </w:pPr>
      <w:rPr>
        <w:rFonts w:hint="default"/>
        <w:lang w:val="en-US" w:eastAsia="en-US" w:bidi="ar-SA"/>
      </w:rPr>
    </w:lvl>
    <w:lvl w:ilvl="2" w:tplc="DEA04D8A">
      <w:numFmt w:val="bullet"/>
      <w:lvlText w:val="•"/>
      <w:lvlJc w:val="left"/>
      <w:pPr>
        <w:ind w:left="2741" w:hanging="358"/>
      </w:pPr>
      <w:rPr>
        <w:rFonts w:hint="default"/>
        <w:lang w:val="en-US" w:eastAsia="en-US" w:bidi="ar-SA"/>
      </w:rPr>
    </w:lvl>
    <w:lvl w:ilvl="3" w:tplc="02CEF4BC">
      <w:numFmt w:val="bullet"/>
      <w:lvlText w:val="•"/>
      <w:lvlJc w:val="left"/>
      <w:pPr>
        <w:ind w:left="3631" w:hanging="358"/>
      </w:pPr>
      <w:rPr>
        <w:rFonts w:hint="default"/>
        <w:lang w:val="en-US" w:eastAsia="en-US" w:bidi="ar-SA"/>
      </w:rPr>
    </w:lvl>
    <w:lvl w:ilvl="4" w:tplc="75B66632">
      <w:numFmt w:val="bullet"/>
      <w:lvlText w:val="•"/>
      <w:lvlJc w:val="left"/>
      <w:pPr>
        <w:ind w:left="4522" w:hanging="358"/>
      </w:pPr>
      <w:rPr>
        <w:rFonts w:hint="default"/>
        <w:lang w:val="en-US" w:eastAsia="en-US" w:bidi="ar-SA"/>
      </w:rPr>
    </w:lvl>
    <w:lvl w:ilvl="5" w:tplc="1400A638">
      <w:numFmt w:val="bullet"/>
      <w:lvlText w:val="•"/>
      <w:lvlJc w:val="left"/>
      <w:pPr>
        <w:ind w:left="5413" w:hanging="358"/>
      </w:pPr>
      <w:rPr>
        <w:rFonts w:hint="default"/>
        <w:lang w:val="en-US" w:eastAsia="en-US" w:bidi="ar-SA"/>
      </w:rPr>
    </w:lvl>
    <w:lvl w:ilvl="6" w:tplc="2C22A242">
      <w:numFmt w:val="bullet"/>
      <w:lvlText w:val="•"/>
      <w:lvlJc w:val="left"/>
      <w:pPr>
        <w:ind w:left="6303" w:hanging="358"/>
      </w:pPr>
      <w:rPr>
        <w:rFonts w:hint="default"/>
        <w:lang w:val="en-US" w:eastAsia="en-US" w:bidi="ar-SA"/>
      </w:rPr>
    </w:lvl>
    <w:lvl w:ilvl="7" w:tplc="3FF63EEC">
      <w:numFmt w:val="bullet"/>
      <w:lvlText w:val="•"/>
      <w:lvlJc w:val="left"/>
      <w:pPr>
        <w:ind w:left="7194" w:hanging="358"/>
      </w:pPr>
      <w:rPr>
        <w:rFonts w:hint="default"/>
        <w:lang w:val="en-US" w:eastAsia="en-US" w:bidi="ar-SA"/>
      </w:rPr>
    </w:lvl>
    <w:lvl w:ilvl="8" w:tplc="416089CE">
      <w:numFmt w:val="bullet"/>
      <w:lvlText w:val="•"/>
      <w:lvlJc w:val="left"/>
      <w:pPr>
        <w:ind w:left="808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2B1C16B6"/>
    <w:multiLevelType w:val="multilevel"/>
    <w:tmpl w:val="131A19F0"/>
    <w:lvl w:ilvl="0">
      <w:start w:val="1"/>
      <w:numFmt w:val="decimal"/>
      <w:lvlText w:val="%1"/>
      <w:lvlJc w:val="left"/>
      <w:pPr>
        <w:ind w:left="607" w:hanging="495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9" w:hanging="492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074" w:hanging="4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8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2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6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0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18" w:hanging="492"/>
      </w:pPr>
      <w:rPr>
        <w:rFonts w:hint="default"/>
        <w:lang w:val="en-US" w:eastAsia="en-US" w:bidi="ar-SA"/>
      </w:rPr>
    </w:lvl>
  </w:abstractNum>
  <w:abstractNum w:abstractNumId="2" w15:restartNumberingAfterBreak="0">
    <w:nsid w:val="2DE8598D"/>
    <w:multiLevelType w:val="hybridMultilevel"/>
    <w:tmpl w:val="84925B32"/>
    <w:lvl w:ilvl="0" w:tplc="064CCDEA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47C255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B08C9782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C55CECBA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4" w:tplc="20246386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5" w:tplc="7FD0B8A4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FB1AD4F6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94A4F456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4F9A3FBA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D65D53"/>
    <w:multiLevelType w:val="multilevel"/>
    <w:tmpl w:val="FB268344"/>
    <w:lvl w:ilvl="0">
      <w:start w:val="1"/>
      <w:numFmt w:val="decimal"/>
      <w:lvlText w:val="%1"/>
      <w:lvlJc w:val="left"/>
      <w:pPr>
        <w:ind w:left="1099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4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18" w:hanging="49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6" w:hanging="4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5" w:hanging="4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3" w:hanging="4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2" w:hanging="4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0" w:hanging="4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9" w:hanging="495"/>
      </w:pPr>
      <w:rPr>
        <w:rFonts w:hint="default"/>
        <w:lang w:val="en-US" w:eastAsia="en-US" w:bidi="ar-SA"/>
      </w:rPr>
    </w:lvl>
  </w:abstractNum>
  <w:num w:numId="1" w16cid:durableId="462428562">
    <w:abstractNumId w:val="3"/>
  </w:num>
  <w:num w:numId="2" w16cid:durableId="1422798288">
    <w:abstractNumId w:val="0"/>
  </w:num>
  <w:num w:numId="3" w16cid:durableId="527645623">
    <w:abstractNumId w:val="2"/>
  </w:num>
  <w:num w:numId="4" w16cid:durableId="37755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998"/>
    <w:rsid w:val="006E6906"/>
    <w:rsid w:val="00841998"/>
    <w:rsid w:val="00D4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B0A9F8A"/>
  <w15:docId w15:val="{A1C87EA2-686B-477C-BF03-F98F56A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7" w:hanging="4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1875</Words>
  <Characters>11438</Characters>
  <Application>Microsoft Office Word</Application>
  <DocSecurity>0</DocSecurity>
  <Lines>309</Lines>
  <Paragraphs>146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2023-07-03T20:25:00Z</dcterms:created>
  <dcterms:modified xsi:type="dcterms:W3CDTF">2023-07-03T20:25:00Z</dcterms:modified>
</cp:coreProperties>
</file>