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8C5F20">
        <w:trPr>
          <w:trHeight w:val="1474"/>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23472A43" w14:textId="4291E269" w:rsidR="00FC072D" w:rsidRPr="00B17CB4" w:rsidRDefault="008C5F20" w:rsidP="008C5F20">
            <w:pPr>
              <w:pStyle w:val="LogoStyle"/>
              <w:tabs>
                <w:tab w:val="left" w:pos="3930"/>
              </w:tabs>
            </w:pPr>
            <w:bookmarkStart w:id="0" w:name="bkmBrandingLogo"/>
            <w:r>
              <w:tab/>
            </w:r>
            <w:r w:rsidR="00FC072D">
              <w:rPr>
                <w:noProof/>
              </w:rPr>
              <w:drawing>
                <wp:inline distT="0" distB="0" distL="0" distR="0" wp14:anchorId="53EE5867" wp14:editId="4AC167AF">
                  <wp:extent cx="2225040" cy="6381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26" t="21935" b="21531"/>
                          <a:stretch/>
                        </pic:blipFill>
                        <pic:spPr bwMode="auto">
                          <a:xfrm>
                            <a:off x="0" y="0"/>
                            <a:ext cx="2226071" cy="638471"/>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4A1CBC2A" w14:textId="611DB1CE" w:rsidR="00072871" w:rsidRDefault="00072871" w:rsidP="008C5F20">
      <w:pPr>
        <w:pStyle w:val="NormalWeb"/>
        <w:shd w:val="clear" w:color="auto" w:fill="FFFFFF"/>
        <w:spacing w:before="240" w:after="210"/>
        <w:rPr>
          <w:rFonts w:ascii="Georgia" w:eastAsiaTheme="majorEastAsia" w:hAnsi="Georgia" w:cs="Arial"/>
          <w:b/>
          <w:bCs/>
          <w:kern w:val="32"/>
          <w:sz w:val="36"/>
          <w:szCs w:val="32"/>
          <w:lang w:eastAsia="en-NZ"/>
        </w:rPr>
      </w:pPr>
      <w:r w:rsidRPr="00072871">
        <w:rPr>
          <w:rFonts w:ascii="Georgia" w:eastAsiaTheme="majorEastAsia" w:hAnsi="Georgia" w:cs="Arial"/>
          <w:b/>
          <w:bCs/>
          <w:kern w:val="32"/>
          <w:sz w:val="36"/>
          <w:szCs w:val="32"/>
          <w:lang w:eastAsia="en-NZ"/>
        </w:rPr>
        <w:t>Phased approach to strengthening the oversight of the Oranga</w:t>
      </w:r>
      <w:r>
        <w:rPr>
          <w:rFonts w:ascii="Georgia" w:eastAsiaTheme="majorEastAsia" w:hAnsi="Georgia" w:cs="Arial"/>
          <w:b/>
          <w:bCs/>
          <w:kern w:val="32"/>
          <w:sz w:val="36"/>
          <w:szCs w:val="32"/>
          <w:lang w:eastAsia="en-NZ"/>
        </w:rPr>
        <w:t xml:space="preserve"> </w:t>
      </w:r>
      <w:r w:rsidRPr="00072871">
        <w:rPr>
          <w:rFonts w:ascii="Georgia" w:eastAsiaTheme="majorEastAsia" w:hAnsi="Georgia" w:cs="Arial"/>
          <w:b/>
          <w:bCs/>
          <w:kern w:val="32"/>
          <w:sz w:val="36"/>
          <w:szCs w:val="32"/>
          <w:lang w:eastAsia="en-NZ"/>
        </w:rPr>
        <w:t xml:space="preserve">Tamariki system </w:t>
      </w:r>
    </w:p>
    <w:p w14:paraId="42B7D235" w14:textId="7CE1CED6" w:rsidR="00412144" w:rsidRPr="002A3F32" w:rsidRDefault="00072871" w:rsidP="00072871">
      <w:pPr>
        <w:pStyle w:val="NormalWeb"/>
        <w:shd w:val="clear" w:color="auto" w:fill="FFFFFF"/>
        <w:spacing w:after="210"/>
        <w:rPr>
          <w:rFonts w:cs="Helvetica"/>
          <w:b/>
          <w:color w:val="333333"/>
          <w:sz w:val="22"/>
          <w:szCs w:val="22"/>
        </w:rPr>
      </w:pPr>
      <w:r>
        <w:rPr>
          <w:rFonts w:cs="Helvetica"/>
          <w:b/>
          <w:color w:val="333333"/>
          <w:sz w:val="22"/>
          <w:szCs w:val="22"/>
        </w:rPr>
        <w:t>Hon Louise Upston, Minister for</w:t>
      </w:r>
      <w:r w:rsidR="00093FDA" w:rsidRPr="002A3F32">
        <w:rPr>
          <w:rFonts w:cs="Helvetica"/>
          <w:b/>
          <w:color w:val="333333"/>
          <w:sz w:val="22"/>
          <w:szCs w:val="22"/>
        </w:rPr>
        <w:t xml:space="preserve"> </w:t>
      </w:r>
      <w:r>
        <w:rPr>
          <w:rFonts w:cs="Helvetica"/>
          <w:b/>
          <w:color w:val="333333"/>
          <w:sz w:val="22"/>
          <w:szCs w:val="22"/>
        </w:rPr>
        <w:t>Social Development and Employment</w:t>
      </w:r>
    </w:p>
    <w:p w14:paraId="21080CDA" w14:textId="04139C62"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6F4170">
        <w:rPr>
          <w:rFonts w:cs="Helvetica"/>
          <w:color w:val="333333"/>
          <w:szCs w:val="20"/>
        </w:rPr>
        <w:t>:</w:t>
      </w:r>
    </w:p>
    <w:p w14:paraId="63CDEEC3" w14:textId="28F3766D" w:rsidR="00865736" w:rsidRPr="006F4170" w:rsidRDefault="009C1F02" w:rsidP="006F4170">
      <w:pPr>
        <w:pStyle w:val="ListParagraph"/>
        <w:numPr>
          <w:ilvl w:val="0"/>
          <w:numId w:val="6"/>
        </w:numPr>
        <w:spacing w:after="120"/>
        <w:rPr>
          <w:rFonts w:ascii="Verdana" w:hAnsi="Verdana"/>
          <w:b/>
          <w:bCs/>
          <w:i/>
          <w:sz w:val="20"/>
          <w:szCs w:val="20"/>
        </w:rPr>
      </w:pPr>
      <w:r w:rsidRPr="006F4170">
        <w:rPr>
          <w:rFonts w:ascii="Verdana" w:hAnsi="Verdana"/>
          <w:i/>
          <w:sz w:val="20"/>
          <w:szCs w:val="20"/>
        </w:rPr>
        <w:t>10</w:t>
      </w:r>
      <w:r w:rsidR="00865736" w:rsidRPr="006F4170">
        <w:rPr>
          <w:rFonts w:ascii="Verdana" w:hAnsi="Verdana"/>
          <w:i/>
          <w:sz w:val="20"/>
          <w:szCs w:val="20"/>
        </w:rPr>
        <w:t xml:space="preserve"> </w:t>
      </w:r>
      <w:r w:rsidRPr="006F4170">
        <w:rPr>
          <w:rFonts w:ascii="Verdana" w:hAnsi="Verdana"/>
          <w:i/>
          <w:sz w:val="20"/>
          <w:szCs w:val="20"/>
        </w:rPr>
        <w:t>April</w:t>
      </w:r>
      <w:r w:rsidR="00865736" w:rsidRPr="006F4170">
        <w:rPr>
          <w:rFonts w:ascii="Verdana" w:hAnsi="Verdana"/>
          <w:i/>
          <w:sz w:val="20"/>
          <w:szCs w:val="20"/>
        </w:rPr>
        <w:t xml:space="preserve"> </w:t>
      </w:r>
      <w:r w:rsidRPr="006F4170">
        <w:rPr>
          <w:rFonts w:ascii="Verdana" w:hAnsi="Verdana"/>
          <w:i/>
          <w:sz w:val="20"/>
          <w:szCs w:val="20"/>
        </w:rPr>
        <w:t>2024</w:t>
      </w:r>
      <w:r w:rsidR="00865736" w:rsidRPr="006F4170">
        <w:rPr>
          <w:rFonts w:ascii="Verdana" w:hAnsi="Verdana"/>
          <w:i/>
          <w:sz w:val="20"/>
          <w:szCs w:val="20"/>
        </w:rPr>
        <w:t>, Cabinet paper</w:t>
      </w:r>
      <w:r w:rsidR="00B8600F" w:rsidRPr="006F4170">
        <w:rPr>
          <w:rFonts w:ascii="Verdana" w:hAnsi="Verdana"/>
          <w:i/>
          <w:sz w:val="20"/>
          <w:szCs w:val="20"/>
        </w:rPr>
        <w:t xml:space="preserve"> -</w:t>
      </w:r>
      <w:r w:rsidR="00865736" w:rsidRPr="006F4170">
        <w:rPr>
          <w:rFonts w:ascii="Verdana" w:hAnsi="Verdana"/>
          <w:i/>
          <w:sz w:val="20"/>
          <w:szCs w:val="20"/>
        </w:rPr>
        <w:t xml:space="preserve"> </w:t>
      </w:r>
      <w:r w:rsidR="00072871" w:rsidRPr="006F4170">
        <w:rPr>
          <w:rFonts w:ascii="Verdana" w:hAnsi="Verdana"/>
          <w:i/>
          <w:sz w:val="20"/>
          <w:szCs w:val="20"/>
        </w:rPr>
        <w:t>Phased approach to strengthening the oversight of the Oranga Tamariki system</w:t>
      </w:r>
    </w:p>
    <w:p w14:paraId="7827D154" w14:textId="4A3C4A26" w:rsidR="00721167" w:rsidRDefault="009C1F02" w:rsidP="006F4170">
      <w:pPr>
        <w:pStyle w:val="ListParagraph"/>
        <w:numPr>
          <w:ilvl w:val="0"/>
          <w:numId w:val="6"/>
        </w:numPr>
        <w:spacing w:after="120"/>
        <w:rPr>
          <w:rFonts w:ascii="Verdana" w:hAnsi="Verdana"/>
          <w:i/>
          <w:sz w:val="20"/>
          <w:szCs w:val="20"/>
        </w:rPr>
      </w:pPr>
      <w:r w:rsidRPr="006F4170">
        <w:rPr>
          <w:rFonts w:ascii="Verdana" w:hAnsi="Verdana"/>
          <w:i/>
          <w:sz w:val="20"/>
          <w:szCs w:val="20"/>
        </w:rPr>
        <w:t>10 April 2024</w:t>
      </w:r>
      <w:r w:rsidR="00865736" w:rsidRPr="006F4170">
        <w:rPr>
          <w:rFonts w:ascii="Verdana" w:hAnsi="Verdana"/>
          <w:i/>
          <w:sz w:val="20"/>
          <w:szCs w:val="20"/>
        </w:rPr>
        <w:t xml:space="preserve">, Cabinet Social </w:t>
      </w:r>
      <w:r w:rsidR="00072871" w:rsidRPr="006F4170">
        <w:rPr>
          <w:rFonts w:ascii="Verdana" w:hAnsi="Verdana"/>
          <w:i/>
          <w:sz w:val="20"/>
          <w:szCs w:val="20"/>
        </w:rPr>
        <w:t>Ou</w:t>
      </w:r>
      <w:r w:rsidRPr="006F4170">
        <w:rPr>
          <w:rFonts w:ascii="Verdana" w:hAnsi="Verdana"/>
          <w:i/>
          <w:sz w:val="20"/>
          <w:szCs w:val="20"/>
        </w:rPr>
        <w:t>tcomes</w:t>
      </w:r>
      <w:r w:rsidR="00865736" w:rsidRPr="006F4170">
        <w:rPr>
          <w:rFonts w:ascii="Verdana" w:hAnsi="Verdana"/>
          <w:i/>
          <w:sz w:val="20"/>
          <w:szCs w:val="20"/>
        </w:rPr>
        <w:t xml:space="preserve"> Committee Minute </w:t>
      </w:r>
      <w:r w:rsidR="00072871" w:rsidRPr="006F4170">
        <w:rPr>
          <w:rFonts w:ascii="Verdana" w:hAnsi="Verdana"/>
          <w:bCs/>
          <w:i/>
          <w:sz w:val="20"/>
          <w:szCs w:val="20"/>
        </w:rPr>
        <w:t>SOU-24-MIN-0025</w:t>
      </w:r>
      <w:r w:rsidR="00777027" w:rsidRPr="006F4170">
        <w:rPr>
          <w:rFonts w:ascii="Verdana" w:hAnsi="Verdana"/>
          <w:i/>
          <w:sz w:val="20"/>
          <w:szCs w:val="20"/>
        </w:rPr>
        <w:t>, Cabinet Office.</w:t>
      </w:r>
    </w:p>
    <w:p w14:paraId="16ED136F" w14:textId="77777777" w:rsidR="006F4170" w:rsidRPr="006F4170" w:rsidRDefault="006F4170" w:rsidP="006F4170">
      <w:pPr>
        <w:pStyle w:val="ListParagraph"/>
        <w:spacing w:after="120"/>
        <w:rPr>
          <w:rFonts w:ascii="Verdana" w:hAnsi="Verdana"/>
          <w:i/>
          <w:sz w:val="20"/>
          <w:szCs w:val="20"/>
        </w:rPr>
      </w:pPr>
    </w:p>
    <w:p w14:paraId="13553E26" w14:textId="7A21FB33" w:rsidR="008C5F20" w:rsidRPr="00721167" w:rsidRDefault="00721167" w:rsidP="008C5F20">
      <w:pPr>
        <w:pStyle w:val="NormalWeb"/>
        <w:shd w:val="clear" w:color="auto" w:fill="FFFFFF"/>
        <w:spacing w:after="240" w:line="264" w:lineRule="auto"/>
        <w:rPr>
          <w:rFonts w:cs="Helvetica"/>
          <w:szCs w:val="20"/>
        </w:rPr>
      </w:pPr>
      <w:r>
        <w:rPr>
          <w:rFonts w:cs="Helvetica"/>
          <w:szCs w:val="20"/>
        </w:rPr>
        <w:t xml:space="preserve">Introducing a phased approach to strengthen independence and monitoring </w:t>
      </w:r>
      <w:r w:rsidR="00DF4F79">
        <w:rPr>
          <w:rFonts w:cs="Helvetica"/>
          <w:szCs w:val="20"/>
        </w:rPr>
        <w:t>of</w:t>
      </w:r>
      <w:r>
        <w:rPr>
          <w:rFonts w:cs="Helvetica"/>
          <w:szCs w:val="20"/>
        </w:rPr>
        <w:t xml:space="preserve"> the </w:t>
      </w:r>
      <w:r w:rsidR="00DF4F79">
        <w:rPr>
          <w:rFonts w:cs="Helvetica"/>
          <w:szCs w:val="20"/>
        </w:rPr>
        <w:t>o</w:t>
      </w:r>
      <w:r>
        <w:rPr>
          <w:rFonts w:cs="Helvetica"/>
          <w:szCs w:val="20"/>
        </w:rPr>
        <w:t xml:space="preserve">versight of the Oranga Tamariki System. </w:t>
      </w:r>
    </w:p>
    <w:p w14:paraId="4B598AC2" w14:textId="37F3E5CA" w:rsidR="00A05C31" w:rsidRPr="008C5F20" w:rsidRDefault="00623CE9" w:rsidP="008C5F20">
      <w:pPr>
        <w:pStyle w:val="NormalWeb"/>
        <w:shd w:val="clear" w:color="auto" w:fill="FFFFFF"/>
        <w:spacing w:line="264" w:lineRule="auto"/>
        <w:rPr>
          <w:rFonts w:cs="Helvetica"/>
          <w:szCs w:val="20"/>
        </w:rPr>
      </w:pPr>
      <w:r w:rsidRPr="008C5F20">
        <w:rPr>
          <w:rFonts w:cs="Helvetica"/>
          <w:szCs w:val="20"/>
        </w:rPr>
        <w:t>S</w:t>
      </w:r>
      <w:r w:rsidR="00A05C31" w:rsidRPr="008C5F20">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8C5F20">
        <w:rPr>
          <w:rFonts w:cs="Helvetica"/>
          <w:szCs w:val="20"/>
        </w:rPr>
        <w:t xml:space="preserve"> This is the key to the redaction code used for this release:</w:t>
      </w:r>
      <w:r w:rsidR="00777027" w:rsidRPr="008C5F20">
        <w:rPr>
          <w:rFonts w:cs="Helvetica"/>
          <w:szCs w:val="20"/>
        </w:rPr>
        <w:t xml:space="preserve"> </w:t>
      </w:r>
    </w:p>
    <w:p w14:paraId="3160B6EC" w14:textId="4534EBB6" w:rsidR="0052783C" w:rsidRPr="008C5F20" w:rsidRDefault="0052783C" w:rsidP="00F744AA">
      <w:pPr>
        <w:pStyle w:val="NormalWeb"/>
        <w:numPr>
          <w:ilvl w:val="0"/>
          <w:numId w:val="2"/>
        </w:numPr>
        <w:shd w:val="clear" w:color="auto" w:fill="FFFFFF"/>
        <w:spacing w:after="0"/>
        <w:ind w:left="714" w:hanging="357"/>
        <w:rPr>
          <w:rFonts w:cs="Helvetica"/>
          <w:szCs w:val="20"/>
        </w:rPr>
      </w:pPr>
      <w:r w:rsidRPr="008C5F20">
        <w:rPr>
          <w:rFonts w:cs="Helvetica"/>
          <w:szCs w:val="20"/>
        </w:rPr>
        <w:t>Section 9(2)(f)(iv)</w:t>
      </w:r>
      <w:r w:rsidR="00777027" w:rsidRPr="008C5F20">
        <w:rPr>
          <w:rFonts w:cs="Helvetica"/>
          <w:szCs w:val="20"/>
        </w:rPr>
        <w:t xml:space="preserve"> -</w:t>
      </w:r>
      <w:r w:rsidRPr="008C5F20">
        <w:rPr>
          <w:rFonts w:cs="Helvetica"/>
          <w:szCs w:val="20"/>
        </w:rPr>
        <w:t xml:space="preserve"> </w:t>
      </w:r>
      <w:r w:rsidR="00865736">
        <w:rPr>
          <w:rFonts w:cs="Helvetica"/>
          <w:szCs w:val="20"/>
        </w:rPr>
        <w:t>the confidentiality of advice under active consideration</w:t>
      </w:r>
      <w:r w:rsidR="008C5F20">
        <w:rPr>
          <w:rFonts w:cs="Helvetica"/>
          <w:szCs w:val="20"/>
        </w:rPr>
        <w:t>.</w:t>
      </w:r>
    </w:p>
    <w:p w14:paraId="68908B90" w14:textId="77777777" w:rsidR="006B2F47" w:rsidRDefault="006B2F47" w:rsidP="006B2F47">
      <w:pPr>
        <w:pStyle w:val="NormalWeb"/>
        <w:shd w:val="clear" w:color="auto" w:fill="FFFFFF"/>
        <w:spacing w:after="0"/>
        <w:ind w:left="714"/>
        <w:rPr>
          <w:rFonts w:cs="Helvetica"/>
          <w:color w:val="333333"/>
          <w:szCs w:val="20"/>
        </w:rPr>
      </w:pPr>
    </w:p>
    <w:p w14:paraId="3A09CE38" w14:textId="70D9FC56" w:rsidR="009C1F02" w:rsidRPr="005145A1" w:rsidRDefault="004D6B3F" w:rsidP="006B2F47">
      <w:pPr>
        <w:pStyle w:val="NormalWeb"/>
        <w:shd w:val="clear" w:color="auto" w:fill="FFFFFF"/>
        <w:spacing w:after="210"/>
        <w:rPr>
          <w:rFonts w:cs="Helvetica"/>
          <w:szCs w:val="20"/>
        </w:rPr>
      </w:pPr>
      <w:r w:rsidRPr="00873F4F">
        <w:rPr>
          <w:rFonts w:cs="Helvetica"/>
          <w:szCs w:val="20"/>
        </w:rPr>
        <w:t>The following documents that accompanied the Cabinet paper are already public:</w:t>
      </w:r>
    </w:p>
    <w:p w14:paraId="48ECBEAB" w14:textId="0E337256" w:rsidR="00873F4F" w:rsidRPr="005145A1" w:rsidRDefault="00873F4F" w:rsidP="008C5F20">
      <w:pPr>
        <w:pStyle w:val="NormalWeb"/>
        <w:numPr>
          <w:ilvl w:val="0"/>
          <w:numId w:val="1"/>
        </w:numPr>
        <w:shd w:val="clear" w:color="auto" w:fill="FFFFFF"/>
        <w:spacing w:line="240" w:lineRule="auto"/>
        <w:ind w:left="760" w:hanging="357"/>
      </w:pPr>
      <w:r>
        <w:rPr>
          <w:i/>
          <w:iCs/>
        </w:rPr>
        <w:t xml:space="preserve">Children and Young People’s Commission Act 2022, </w:t>
      </w:r>
      <w:r>
        <w:t>which established the Children and young People’s Commission and will be reviewed</w:t>
      </w:r>
      <w:r w:rsidR="008C5F20">
        <w:t>:</w:t>
      </w:r>
      <w:r>
        <w:t xml:space="preserve">  </w:t>
      </w:r>
      <w:r>
        <w:br/>
      </w:r>
      <w:hyperlink r:id="rId8" w:anchor="LMS733134" w:history="1">
        <w:r w:rsidRPr="00751D62">
          <w:rPr>
            <w:rStyle w:val="Hyperlink"/>
          </w:rPr>
          <w:t>https://legislation.govt.nz/act/public/2022/0044/15.0/LMS733129.html#LMS733134</w:t>
        </w:r>
      </w:hyperlink>
      <w:r>
        <w:t xml:space="preserve"> </w:t>
      </w:r>
    </w:p>
    <w:p w14:paraId="3D5B9338" w14:textId="66B60955" w:rsidR="00873F4F" w:rsidRDefault="00873F4F" w:rsidP="008C5F20">
      <w:pPr>
        <w:pStyle w:val="NormalWeb"/>
        <w:numPr>
          <w:ilvl w:val="0"/>
          <w:numId w:val="1"/>
        </w:numPr>
        <w:shd w:val="clear" w:color="auto" w:fill="FFFFFF"/>
        <w:spacing w:line="240" w:lineRule="auto"/>
        <w:ind w:left="760" w:hanging="357"/>
      </w:pPr>
      <w:r w:rsidRPr="00873F4F">
        <w:rPr>
          <w:i/>
          <w:iCs/>
        </w:rPr>
        <w:t>Crown Entities Act 2004</w:t>
      </w:r>
      <w:r>
        <w:t>, gives purpose to establishment, governance and operation of crown entities</w:t>
      </w:r>
      <w:r w:rsidR="008C5F20">
        <w:t>:</w:t>
      </w:r>
      <w:r>
        <w:t xml:space="preserve"> </w:t>
      </w:r>
      <w:hyperlink r:id="rId9" w:history="1">
        <w:r>
          <w:rPr>
            <w:rStyle w:val="Hyperlink"/>
          </w:rPr>
          <w:t>Crown Entities Act 2004 No 115 (as at 29 February 2024), Public Act Contents – New Zealand Legislation</w:t>
        </w:r>
      </w:hyperlink>
    </w:p>
    <w:p w14:paraId="7D2B90CD" w14:textId="4DC5A9F5" w:rsidR="00873F4F" w:rsidRDefault="00873F4F" w:rsidP="008C5F20">
      <w:pPr>
        <w:pStyle w:val="NormalWeb"/>
        <w:numPr>
          <w:ilvl w:val="0"/>
          <w:numId w:val="1"/>
        </w:numPr>
        <w:shd w:val="clear" w:color="auto" w:fill="FFFFFF"/>
        <w:spacing w:line="240" w:lineRule="auto"/>
        <w:ind w:left="760" w:hanging="357"/>
      </w:pPr>
      <w:r w:rsidRPr="00873F4F">
        <w:rPr>
          <w:i/>
          <w:iCs/>
        </w:rPr>
        <w:t>Oranga Tamariki Act 1989</w:t>
      </w:r>
      <w:r>
        <w:t>, which gives purpose, functions and powers to Oranga Tamariki</w:t>
      </w:r>
      <w:r w:rsidR="008C5F20">
        <w:t>:</w:t>
      </w:r>
      <w:r>
        <w:t xml:space="preserve"> </w:t>
      </w:r>
      <w:r>
        <w:br/>
      </w:r>
      <w:hyperlink r:id="rId10" w:history="1">
        <w:r w:rsidR="008C5F20" w:rsidRPr="002233A7">
          <w:rPr>
            <w:rStyle w:val="Hyperlink"/>
          </w:rPr>
          <w:t>www.legislation.govt.nz/act/public/1989/0024/latest/DLM147088.html</w:t>
        </w:r>
      </w:hyperlink>
    </w:p>
    <w:p w14:paraId="24432E00" w14:textId="2BA9A649" w:rsidR="00DF4B97" w:rsidRDefault="00873F4F" w:rsidP="008C5F20">
      <w:pPr>
        <w:pStyle w:val="NormalWeb"/>
        <w:numPr>
          <w:ilvl w:val="0"/>
          <w:numId w:val="1"/>
        </w:numPr>
        <w:shd w:val="clear" w:color="auto" w:fill="FFFFFF"/>
        <w:spacing w:line="240" w:lineRule="auto"/>
        <w:ind w:left="760" w:hanging="357"/>
      </w:pPr>
      <w:r w:rsidRPr="00873F4F">
        <w:rPr>
          <w:i/>
          <w:iCs/>
        </w:rPr>
        <w:t>Oversight of the Oranga Tamariki System Act 2022</w:t>
      </w:r>
      <w:r>
        <w:t xml:space="preserve">, which set out the functions duties and powers of the monitor and Ombudsmen in their roles under the oversight of the Oranga Tamariki System. </w:t>
      </w:r>
      <w:hyperlink r:id="rId11" w:history="1">
        <w:r w:rsidRPr="00751D62">
          <w:rPr>
            <w:rStyle w:val="Hyperlink"/>
          </w:rPr>
          <w:t>https://legislation.govt.nz/act/public/2022/0043/latest/LMS591372.html</w:t>
        </w:r>
      </w:hyperlink>
      <w:r>
        <w:t xml:space="preserve"> </w:t>
      </w:r>
    </w:p>
    <w:p w14:paraId="52BFD1A1" w14:textId="40528D76" w:rsidR="006B2F47" w:rsidRDefault="00000000" w:rsidP="006B2F47">
      <w:pPr>
        <w:pStyle w:val="NormalWeb"/>
        <w:shd w:val="clear" w:color="auto" w:fill="FFFFFF"/>
        <w:spacing w:after="210"/>
        <w:rPr>
          <w:rFonts w:cs="Helvetica"/>
          <w:color w:val="333333"/>
          <w:szCs w:val="20"/>
        </w:rPr>
      </w:pPr>
      <w:hyperlink r:id="rId12" w:history="1">
        <w:r w:rsidR="006B2F47">
          <w:rPr>
            <w:rStyle w:val="Hyperlink"/>
            <w:rFonts w:cs="Helvetica"/>
            <w:i/>
            <w:iCs/>
            <w:color w:val="4C2C92"/>
            <w:szCs w:val="20"/>
          </w:rPr>
          <w:t>© Crown Copyright, Creative Commons Attribution 4.0 International (CC BY 4.0)</w:t>
        </w:r>
      </w:hyperlink>
    </w:p>
    <w:p w14:paraId="23D9EBC0" w14:textId="61DBD9B8" w:rsidR="00D31EE8" w:rsidRPr="0052783C" w:rsidRDefault="00412144" w:rsidP="008C5F20">
      <w:pPr>
        <w:spacing w:before="360"/>
        <w:rPr>
          <w:rFonts w:ascii="Verdana" w:hAnsi="Verdana"/>
          <w:b/>
          <w:sz w:val="20"/>
          <w:szCs w:val="20"/>
        </w:rPr>
      </w:pPr>
      <w:r>
        <w:rPr>
          <w:rFonts w:ascii="Verdana" w:hAnsi="Verdana"/>
          <w:b/>
          <w:sz w:val="20"/>
          <w:szCs w:val="20"/>
        </w:rPr>
        <w:t xml:space="preserve">Search Tags: </w:t>
      </w:r>
      <w:r w:rsidR="00A26BDB" w:rsidRPr="00DF4F79">
        <w:rPr>
          <w:rFonts w:ascii="Verdana" w:hAnsi="Verdana"/>
          <w:bCs/>
          <w:sz w:val="20"/>
          <w:szCs w:val="20"/>
        </w:rPr>
        <w:t xml:space="preserve">Oversight, Oranga Tamariki, System, Child, Youth, Commission, Advocacy, Advocate, Monitor, Independent, Independence, Children, Children’s, Social Development, Phased, Approach, Ombudsman, Act, Review, Ministry of Social Development </w:t>
      </w:r>
    </w:p>
    <w:sectPr w:rsidR="00D31EE8" w:rsidRPr="0052783C" w:rsidSect="008C5F20">
      <w:headerReference w:type="even" r:id="rId13"/>
      <w:headerReference w:type="default" r:id="rId14"/>
      <w:headerReference w:type="first" r:id="rId15"/>
      <w:pgSz w:w="11906" w:h="16838"/>
      <w:pgMar w:top="142"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9BA1" w14:textId="77777777" w:rsidR="00F5365E" w:rsidRDefault="00F5365E" w:rsidP="00742F0A">
      <w:r>
        <w:separator/>
      </w:r>
    </w:p>
  </w:endnote>
  <w:endnote w:type="continuationSeparator" w:id="0">
    <w:p w14:paraId="4481D029" w14:textId="77777777" w:rsidR="00F5365E" w:rsidRDefault="00F5365E"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D143E" w14:textId="77777777" w:rsidR="00F5365E" w:rsidRDefault="00F5365E" w:rsidP="00742F0A">
      <w:r>
        <w:separator/>
      </w:r>
    </w:p>
  </w:footnote>
  <w:footnote w:type="continuationSeparator" w:id="0">
    <w:p w14:paraId="4FE2D630" w14:textId="77777777" w:rsidR="00F5365E" w:rsidRDefault="00F5365E" w:rsidP="0074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DE6D" w14:textId="63C01DFB" w:rsidR="005D694A" w:rsidRDefault="005D694A">
    <w:pPr>
      <w:pStyle w:val="Header"/>
    </w:pPr>
    <w:r>
      <w:rPr>
        <w:noProof/>
      </w:rPr>
      <mc:AlternateContent>
        <mc:Choice Requires="wps">
          <w:drawing>
            <wp:anchor distT="0" distB="0" distL="0" distR="0" simplePos="0" relativeHeight="251659264" behindDoc="0" locked="0" layoutInCell="1" allowOverlap="1" wp14:anchorId="5C4B10E1" wp14:editId="2A1D50AF">
              <wp:simplePos x="635" y="635"/>
              <wp:positionH relativeFrom="page">
                <wp:align>center</wp:align>
              </wp:positionH>
              <wp:positionV relativeFrom="page">
                <wp:align>top</wp:align>
              </wp:positionV>
              <wp:extent cx="443865" cy="443865"/>
              <wp:effectExtent l="0" t="0" r="8890" b="1651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AD6956" w14:textId="0DAF07A0" w:rsidR="005D694A" w:rsidRPr="005D694A" w:rsidRDefault="005D694A" w:rsidP="005D694A">
                          <w:pPr>
                            <w:rPr>
                              <w:rFonts w:eastAsia="Calibri" w:cs="Calibri"/>
                              <w:noProof/>
                              <w:color w:val="000000"/>
                              <w:sz w:val="20"/>
                              <w:szCs w:val="20"/>
                            </w:rPr>
                          </w:pPr>
                          <w:r w:rsidRPr="005D694A">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4B10E1"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EAD6956" w14:textId="0DAF07A0" w:rsidR="005D694A" w:rsidRPr="005D694A" w:rsidRDefault="005D694A" w:rsidP="005D694A">
                    <w:pPr>
                      <w:rPr>
                        <w:rFonts w:eastAsia="Calibri" w:cs="Calibri"/>
                        <w:noProof/>
                        <w:color w:val="000000"/>
                        <w:sz w:val="20"/>
                        <w:szCs w:val="20"/>
                      </w:rPr>
                    </w:pPr>
                    <w:r w:rsidRPr="005D694A">
                      <w:rPr>
                        <w:rFonts w:eastAsia="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F664" w14:textId="285460C7" w:rsidR="005D694A" w:rsidRDefault="005D694A">
    <w:pPr>
      <w:pStyle w:val="Header"/>
    </w:pPr>
    <w:r>
      <w:rPr>
        <w:noProof/>
      </w:rPr>
      <mc:AlternateContent>
        <mc:Choice Requires="wps">
          <w:drawing>
            <wp:anchor distT="0" distB="0" distL="0" distR="0" simplePos="0" relativeHeight="251660288" behindDoc="0" locked="0" layoutInCell="1" allowOverlap="1" wp14:anchorId="4811895C" wp14:editId="6B9E2D8D">
              <wp:simplePos x="914400" y="447675"/>
              <wp:positionH relativeFrom="page">
                <wp:align>center</wp:align>
              </wp:positionH>
              <wp:positionV relativeFrom="page">
                <wp:align>top</wp:align>
              </wp:positionV>
              <wp:extent cx="443865" cy="443865"/>
              <wp:effectExtent l="0" t="0" r="8890" b="16510"/>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FDF0C4" w14:textId="2725ED80" w:rsidR="005D694A" w:rsidRPr="005D694A" w:rsidRDefault="005D694A" w:rsidP="005D694A">
                          <w:pPr>
                            <w:rPr>
                              <w:rFonts w:eastAsia="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11895C"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1FDF0C4" w14:textId="2725ED80" w:rsidR="005D694A" w:rsidRPr="005D694A" w:rsidRDefault="005D694A" w:rsidP="005D694A">
                    <w:pPr>
                      <w:rPr>
                        <w:rFonts w:eastAsia="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C5CA" w14:textId="433D722F" w:rsidR="005D694A" w:rsidRDefault="005D694A">
    <w:pPr>
      <w:pStyle w:val="Header"/>
    </w:pPr>
    <w:r>
      <w:rPr>
        <w:noProof/>
      </w:rPr>
      <mc:AlternateContent>
        <mc:Choice Requires="wps">
          <w:drawing>
            <wp:anchor distT="0" distB="0" distL="0" distR="0" simplePos="0" relativeHeight="251658240" behindDoc="0" locked="0" layoutInCell="1" allowOverlap="1" wp14:anchorId="2752525D" wp14:editId="2BA07545">
              <wp:simplePos x="635" y="63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03FF80" w14:textId="4B6D94B6" w:rsidR="005D694A" w:rsidRPr="005D694A" w:rsidRDefault="005D694A" w:rsidP="005D694A">
                          <w:pPr>
                            <w:rPr>
                              <w:rFonts w:eastAsia="Calibri" w:cs="Calibri"/>
                              <w:noProof/>
                              <w:color w:val="000000"/>
                              <w:sz w:val="20"/>
                              <w:szCs w:val="20"/>
                            </w:rPr>
                          </w:pPr>
                          <w:r w:rsidRPr="005D694A">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52525D"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303FF80" w14:textId="4B6D94B6" w:rsidR="005D694A" w:rsidRPr="005D694A" w:rsidRDefault="005D694A" w:rsidP="005D694A">
                    <w:pPr>
                      <w:rPr>
                        <w:rFonts w:eastAsia="Calibri" w:cs="Calibri"/>
                        <w:noProof/>
                        <w:color w:val="000000"/>
                        <w:sz w:val="20"/>
                        <w:szCs w:val="20"/>
                      </w:rPr>
                    </w:pPr>
                    <w:r w:rsidRPr="005D694A">
                      <w:rPr>
                        <w:rFonts w:eastAsia="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1C2556"/>
    <w:multiLevelType w:val="hybridMultilevel"/>
    <w:tmpl w:val="432089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56B7C4B"/>
    <w:multiLevelType w:val="hybridMultilevel"/>
    <w:tmpl w:val="C2002AD4"/>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3"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93733710">
    <w:abstractNumId w:val="2"/>
  </w:num>
  <w:num w:numId="2" w16cid:durableId="1365793719">
    <w:abstractNumId w:val="5"/>
  </w:num>
  <w:num w:numId="3" w16cid:durableId="1407724395">
    <w:abstractNumId w:val="4"/>
  </w:num>
  <w:num w:numId="4" w16cid:durableId="256446339">
    <w:abstractNumId w:val="0"/>
  </w:num>
  <w:num w:numId="5" w16cid:durableId="272136737">
    <w:abstractNumId w:val="3"/>
  </w:num>
  <w:num w:numId="6" w16cid:durableId="201818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4"/>
    <w:rsid w:val="00072871"/>
    <w:rsid w:val="00093FDA"/>
    <w:rsid w:val="001642BD"/>
    <w:rsid w:val="00185AC5"/>
    <w:rsid w:val="00202D7B"/>
    <w:rsid w:val="002A3F32"/>
    <w:rsid w:val="003A0A32"/>
    <w:rsid w:val="00412144"/>
    <w:rsid w:val="00416668"/>
    <w:rsid w:val="004512E3"/>
    <w:rsid w:val="004B7DCA"/>
    <w:rsid w:val="004D6B3F"/>
    <w:rsid w:val="005145A1"/>
    <w:rsid w:val="0052783C"/>
    <w:rsid w:val="00532547"/>
    <w:rsid w:val="005D694A"/>
    <w:rsid w:val="00607469"/>
    <w:rsid w:val="00623CE9"/>
    <w:rsid w:val="006B2F47"/>
    <w:rsid w:val="006F4170"/>
    <w:rsid w:val="00713AE5"/>
    <w:rsid w:val="00721167"/>
    <w:rsid w:val="00742F0A"/>
    <w:rsid w:val="00777027"/>
    <w:rsid w:val="007E6037"/>
    <w:rsid w:val="007F117E"/>
    <w:rsid w:val="008509D6"/>
    <w:rsid w:val="00865736"/>
    <w:rsid w:val="00873F4F"/>
    <w:rsid w:val="008C5F20"/>
    <w:rsid w:val="009652CA"/>
    <w:rsid w:val="009C1F02"/>
    <w:rsid w:val="00A05C31"/>
    <w:rsid w:val="00A26BDB"/>
    <w:rsid w:val="00B01C70"/>
    <w:rsid w:val="00B03E97"/>
    <w:rsid w:val="00B8600F"/>
    <w:rsid w:val="00C82047"/>
    <w:rsid w:val="00D31EE8"/>
    <w:rsid w:val="00DF4B97"/>
    <w:rsid w:val="00DF4F79"/>
    <w:rsid w:val="00F259CA"/>
    <w:rsid w:val="00F5365E"/>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character" w:styleId="FollowedHyperlink">
    <w:name w:val="FollowedHyperlink"/>
    <w:basedOn w:val="DefaultParagraphFont"/>
    <w:uiPriority w:val="99"/>
    <w:semiHidden/>
    <w:unhideWhenUsed/>
    <w:rsid w:val="00072871"/>
    <w:rPr>
      <w:color w:val="800080" w:themeColor="followedHyperlink"/>
      <w:u w:val="single"/>
    </w:rPr>
  </w:style>
  <w:style w:type="paragraph" w:styleId="Header">
    <w:name w:val="header"/>
    <w:basedOn w:val="Normal"/>
    <w:link w:val="HeaderChar"/>
    <w:uiPriority w:val="99"/>
    <w:unhideWhenUsed/>
    <w:rsid w:val="005D694A"/>
    <w:pPr>
      <w:tabs>
        <w:tab w:val="center" w:pos="4513"/>
        <w:tab w:val="right" w:pos="9026"/>
      </w:tabs>
    </w:pPr>
  </w:style>
  <w:style w:type="character" w:customStyle="1" w:styleId="HeaderChar">
    <w:name w:val="Header Char"/>
    <w:basedOn w:val="DefaultParagraphFont"/>
    <w:link w:val="Header"/>
    <w:uiPriority w:val="99"/>
    <w:rsid w:val="005D694A"/>
    <w:rPr>
      <w:rFonts w:ascii="Calibri" w:hAnsi="Calibri" w:cs="Times New Roman"/>
    </w:rPr>
  </w:style>
  <w:style w:type="character" w:styleId="UnresolvedMention">
    <w:name w:val="Unresolved Mention"/>
    <w:basedOn w:val="DefaultParagraphFont"/>
    <w:uiPriority w:val="99"/>
    <w:semiHidden/>
    <w:unhideWhenUsed/>
    <w:rsid w:val="00DF4B97"/>
    <w:rPr>
      <w:color w:val="605E5C"/>
      <w:shd w:val="clear" w:color="auto" w:fill="E1DFDD"/>
    </w:rPr>
  </w:style>
  <w:style w:type="paragraph" w:styleId="Footer">
    <w:name w:val="footer"/>
    <w:basedOn w:val="Normal"/>
    <w:link w:val="FooterChar"/>
    <w:uiPriority w:val="99"/>
    <w:unhideWhenUsed/>
    <w:rsid w:val="008C5F20"/>
    <w:pPr>
      <w:tabs>
        <w:tab w:val="center" w:pos="4513"/>
        <w:tab w:val="right" w:pos="9026"/>
      </w:tabs>
    </w:pPr>
  </w:style>
  <w:style w:type="character" w:customStyle="1" w:styleId="FooterChar">
    <w:name w:val="Footer Char"/>
    <w:basedOn w:val="DefaultParagraphFont"/>
    <w:link w:val="Footer"/>
    <w:uiPriority w:val="99"/>
    <w:rsid w:val="008C5F2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slation.govt.nz/act/public/2022/0044/15.0/LMS733129.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reativecommons.org/licenses/by/4.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on.govt.nz/act/public/2022/0043/latest/LMS591372.htm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egislation.govt.nz/act/public/1989/0024/latest/DLM147088.html" TargetMode="External"/><Relationship Id="rId4" Type="http://schemas.openxmlformats.org/officeDocument/2006/relationships/webSettings" Target="webSettings.xml"/><Relationship Id="rId9" Type="http://schemas.openxmlformats.org/officeDocument/2006/relationships/hyperlink" Target="https://www.legislation.govt.nz/act/public/2004/0115/latest/DLM329631.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Alex Pickard</cp:lastModifiedBy>
  <cp:revision>2</cp:revision>
  <cp:lastPrinted>2019-04-05T01:22:00Z</cp:lastPrinted>
  <dcterms:created xsi:type="dcterms:W3CDTF">2024-05-13T22:41:00Z</dcterms:created>
  <dcterms:modified xsi:type="dcterms:W3CDTF">2024-05-13T22:41:00Z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2,3,4</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2024-05-06T03:53:33Z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10e93d6d-ce66-4d73-9b24-680e5e56f93c</vt:lpwstr>
  </property>
  <property fmtid="{D5CDD505-2E9C-101B-9397-08002B2CF9AE}" pid="32" name="MSIP_Label_f43e46a9-9901-46e9-bfae-bb6189d4cb66_ContentBits">
    <vt:lpwstr>1</vt:lpwstr>
  </property>
</Properties>
</file>