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3C" w:rsidRPr="000B6D34" w:rsidRDefault="00706A3C" w:rsidP="00706A3C">
      <w:pPr>
        <w:pBdr>
          <w:bottom w:val="single" w:sz="24" w:space="9" w:color="121F6B"/>
        </w:pBdr>
        <w:spacing w:before="5160" w:line="960" w:lineRule="exact"/>
        <w:ind w:right="-187"/>
        <w:rPr>
          <w:rFonts w:ascii="Georgia" w:hAnsi="Georgia"/>
          <w:b/>
          <w:color w:val="121F6B"/>
          <w:sz w:val="72"/>
          <w:szCs w:val="72"/>
        </w:rPr>
      </w:pPr>
      <w:r w:rsidRPr="00206A0A">
        <w:rPr>
          <w:rFonts w:ascii="Georgia" w:hAnsi="Georgia"/>
          <w:b/>
          <w:noProof/>
          <w:color w:val="121F6B"/>
          <w:sz w:val="80"/>
          <w:szCs w:val="80"/>
          <w:lang w:val="en-NZ" w:eastAsia="en-NZ"/>
        </w:rPr>
        <w:drawing>
          <wp:anchor distT="0" distB="0" distL="114300" distR="114300" simplePos="0" relativeHeight="251660288" behindDoc="1" locked="0" layoutInCell="1" allowOverlap="1" wp14:anchorId="47D3DEA6" wp14:editId="261151FC">
            <wp:simplePos x="0" y="0"/>
            <wp:positionH relativeFrom="column">
              <wp:posOffset>-2242496</wp:posOffset>
            </wp:positionH>
            <wp:positionV relativeFrom="paragraph">
              <wp:posOffset>6025515</wp:posOffset>
            </wp:positionV>
            <wp:extent cx="9095361" cy="3772891"/>
            <wp:effectExtent l="0" t="0" r="0" b="0"/>
            <wp:wrapNone/>
            <wp:docPr id="8" name="Picture 8" descr="\\corp.ssi.govt.nz\usersm\mjohn034\Desktop\MSD Branding\MSD Logos\MSD Pattern A4 white backgro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ssi.govt.nz\usersm\mjohn034\Desktop\MSD Branding\MSD Logos\MSD Pattern A4 white backgroun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5361" cy="37728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A0A">
        <w:rPr>
          <w:rFonts w:ascii="Georgia" w:hAnsi="Georgia"/>
          <w:b/>
          <w:noProof/>
          <w:color w:val="121F6B"/>
          <w:sz w:val="80"/>
          <w:szCs w:val="80"/>
          <w:lang w:val="en-NZ" w:eastAsia="en-NZ"/>
        </w:rPr>
        <w:drawing>
          <wp:anchor distT="0" distB="0" distL="114300" distR="114300" simplePos="0" relativeHeight="251659264" behindDoc="0" locked="0" layoutInCell="1" allowOverlap="1" wp14:anchorId="0182F58F" wp14:editId="18132D98">
            <wp:simplePos x="0" y="0"/>
            <wp:positionH relativeFrom="page">
              <wp:posOffset>806450</wp:posOffset>
            </wp:positionH>
            <wp:positionV relativeFrom="page">
              <wp:posOffset>824230</wp:posOffset>
            </wp:positionV>
            <wp:extent cx="3006000" cy="702000"/>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23" t="13514" r="3990" b="13513"/>
                    <a:stretch/>
                  </pic:blipFill>
                  <pic:spPr bwMode="auto">
                    <a:xfrm>
                      <a:off x="0" y="0"/>
                      <a:ext cx="3006000" cy="70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6A0A">
        <w:rPr>
          <w:rFonts w:ascii="Georgia" w:hAnsi="Georgia"/>
          <w:b/>
          <w:color w:val="121F6B"/>
          <w:sz w:val="80"/>
          <w:szCs w:val="80"/>
        </w:rPr>
        <w:t xml:space="preserve">Reoffending patterns for </w:t>
      </w:r>
      <w:r>
        <w:rPr>
          <w:rFonts w:ascii="Georgia" w:hAnsi="Georgia"/>
          <w:b/>
          <w:color w:val="121F6B"/>
          <w:sz w:val="80"/>
          <w:szCs w:val="80"/>
        </w:rPr>
        <w:t xml:space="preserve">participants of </w:t>
      </w:r>
      <w:r w:rsidRPr="00206A0A">
        <w:rPr>
          <w:rFonts w:ascii="Georgia" w:hAnsi="Georgia"/>
          <w:b/>
          <w:color w:val="121F6B"/>
          <w:sz w:val="80"/>
          <w:szCs w:val="80"/>
        </w:rPr>
        <w:t>youth justice F</w:t>
      </w:r>
      <w:r w:rsidR="00924EAC">
        <w:rPr>
          <w:rFonts w:ascii="Georgia" w:hAnsi="Georgia"/>
          <w:b/>
          <w:color w:val="121F6B"/>
          <w:sz w:val="80"/>
          <w:szCs w:val="80"/>
        </w:rPr>
        <w:t xml:space="preserve">amily </w:t>
      </w:r>
      <w:r w:rsidRPr="00206A0A">
        <w:rPr>
          <w:rFonts w:ascii="Georgia" w:hAnsi="Georgia"/>
          <w:b/>
          <w:color w:val="121F6B"/>
          <w:sz w:val="80"/>
          <w:szCs w:val="80"/>
        </w:rPr>
        <w:t>G</w:t>
      </w:r>
      <w:r w:rsidR="00924EAC">
        <w:rPr>
          <w:rFonts w:ascii="Georgia" w:hAnsi="Georgia"/>
          <w:b/>
          <w:color w:val="121F6B"/>
          <w:sz w:val="80"/>
          <w:szCs w:val="80"/>
        </w:rPr>
        <w:t xml:space="preserve">roup </w:t>
      </w:r>
      <w:r w:rsidRPr="00206A0A">
        <w:rPr>
          <w:rFonts w:ascii="Georgia" w:hAnsi="Georgia"/>
          <w:b/>
          <w:color w:val="121F6B"/>
          <w:sz w:val="80"/>
          <w:szCs w:val="80"/>
        </w:rPr>
        <w:t>C</w:t>
      </w:r>
      <w:r w:rsidR="00924EAC">
        <w:rPr>
          <w:rFonts w:ascii="Georgia" w:hAnsi="Georgia"/>
          <w:b/>
          <w:color w:val="121F6B"/>
          <w:sz w:val="80"/>
          <w:szCs w:val="80"/>
        </w:rPr>
        <w:t>onferences</w:t>
      </w:r>
      <w:r w:rsidRPr="00206A0A">
        <w:rPr>
          <w:rFonts w:ascii="Georgia" w:hAnsi="Georgia"/>
          <w:b/>
          <w:color w:val="121F6B"/>
          <w:sz w:val="80"/>
          <w:szCs w:val="80"/>
        </w:rPr>
        <w:t xml:space="preserve"> </w:t>
      </w:r>
      <w:r>
        <w:rPr>
          <w:rFonts w:ascii="Georgia" w:hAnsi="Georgia"/>
          <w:b/>
          <w:color w:val="121F6B"/>
          <w:sz w:val="80"/>
          <w:szCs w:val="80"/>
        </w:rPr>
        <w:t xml:space="preserve">held </w:t>
      </w:r>
      <w:r w:rsidRPr="00206A0A">
        <w:rPr>
          <w:rFonts w:ascii="Georgia" w:hAnsi="Georgia"/>
          <w:b/>
          <w:color w:val="121F6B"/>
          <w:sz w:val="80"/>
          <w:szCs w:val="80"/>
        </w:rPr>
        <w:t>in 2011 and 2012</w:t>
      </w:r>
    </w:p>
    <w:p w:rsidR="00706A3C" w:rsidRPr="00977A11" w:rsidRDefault="00706A3C" w:rsidP="00706A3C">
      <w:pPr>
        <w:spacing w:line="540" w:lineRule="atLeast"/>
        <w:ind w:right="-284"/>
        <w:rPr>
          <w:rFonts w:ascii="Georgia" w:hAnsi="Georgia"/>
          <w:b/>
          <w:color w:val="121F6B"/>
          <w:sz w:val="40"/>
          <w:szCs w:val="40"/>
        </w:rPr>
      </w:pPr>
    </w:p>
    <w:p w:rsidR="00706A3C" w:rsidRPr="00B6036B" w:rsidRDefault="00706A3C" w:rsidP="00706A3C"/>
    <w:p w:rsidR="00706A3C" w:rsidRPr="00B6036B" w:rsidRDefault="00706A3C" w:rsidP="00706A3C">
      <w:pPr>
        <w:spacing w:before="120" w:line="240" w:lineRule="auto"/>
        <w:rPr>
          <w:rFonts w:ascii="Georgia" w:hAnsi="Georgia"/>
          <w:b/>
          <w:color w:val="121F6B"/>
          <w:sz w:val="40"/>
          <w:szCs w:val="40"/>
        </w:rPr>
        <w:sectPr w:rsidR="00706A3C" w:rsidRPr="00B6036B" w:rsidSect="00E90048">
          <w:pgSz w:w="11906" w:h="16838"/>
          <w:pgMar w:top="1418" w:right="1418" w:bottom="1134" w:left="1418" w:header="709" w:footer="709" w:gutter="0"/>
          <w:cols w:space="708"/>
          <w:docGrid w:linePitch="360"/>
        </w:sectPr>
      </w:pPr>
    </w:p>
    <w:p w:rsidR="00706A3C" w:rsidRPr="00206A0A" w:rsidRDefault="00706A3C" w:rsidP="00706A3C">
      <w:pPr>
        <w:spacing w:before="8520"/>
        <w:rPr>
          <w:b/>
          <w:sz w:val="24"/>
          <w:szCs w:val="24"/>
        </w:rPr>
      </w:pPr>
      <w:bookmarkStart w:id="0" w:name="_Toc386619898"/>
      <w:bookmarkStart w:id="1" w:name="_Toc402433422"/>
      <w:r w:rsidRPr="00206A0A">
        <w:rPr>
          <w:b/>
          <w:sz w:val="24"/>
          <w:szCs w:val="24"/>
        </w:rPr>
        <w:lastRenderedPageBreak/>
        <w:t>Authors</w:t>
      </w:r>
    </w:p>
    <w:p w:rsidR="006C16B5" w:rsidRDefault="00706A3C" w:rsidP="006C16B5">
      <w:pPr>
        <w:spacing w:after="60"/>
        <w:rPr>
          <w:lang w:val="en-NZ"/>
        </w:rPr>
      </w:pPr>
      <w:r>
        <w:rPr>
          <w:lang w:val="en-NZ"/>
        </w:rPr>
        <w:t>Philip Spier and Ryan Wilkinson</w:t>
      </w:r>
    </w:p>
    <w:p w:rsidR="00706A3C" w:rsidRDefault="006C16B5" w:rsidP="00706A3C">
      <w:pPr>
        <w:rPr>
          <w:lang w:val="en-NZ"/>
        </w:rPr>
      </w:pPr>
      <w:r>
        <w:rPr>
          <w:lang w:val="en-NZ"/>
        </w:rPr>
        <w:t>Ministry of Social Development</w:t>
      </w:r>
    </w:p>
    <w:p w:rsidR="00706A3C" w:rsidRPr="00206A0A" w:rsidRDefault="00706A3C" w:rsidP="00706A3C">
      <w:pPr>
        <w:rPr>
          <w:b/>
          <w:sz w:val="24"/>
          <w:szCs w:val="24"/>
        </w:rPr>
      </w:pPr>
      <w:r w:rsidRPr="00206A0A">
        <w:rPr>
          <w:b/>
          <w:sz w:val="24"/>
          <w:szCs w:val="24"/>
        </w:rPr>
        <w:t>Disclaimer</w:t>
      </w:r>
    </w:p>
    <w:p w:rsidR="00706A3C" w:rsidRDefault="00706A3C" w:rsidP="00706A3C">
      <w:pPr>
        <w:rPr>
          <w:lang w:val="en-NZ"/>
        </w:rPr>
      </w:pPr>
      <w:r w:rsidRPr="00E90048">
        <w:rPr>
          <w:lang w:val="en-NZ"/>
        </w:rPr>
        <w:t>The Ministry of Social Development has made every effort to ensure the information in this report is reliable, but does not guarantee its accuracy and does not accept liability for any errors.</w:t>
      </w:r>
    </w:p>
    <w:p w:rsidR="00706A3C" w:rsidRPr="00206A0A" w:rsidRDefault="00706A3C" w:rsidP="00706A3C">
      <w:pPr>
        <w:rPr>
          <w:b/>
          <w:sz w:val="24"/>
          <w:szCs w:val="24"/>
        </w:rPr>
      </w:pPr>
      <w:r>
        <w:rPr>
          <w:b/>
          <w:sz w:val="24"/>
          <w:szCs w:val="24"/>
        </w:rPr>
        <w:t>P</w:t>
      </w:r>
      <w:r w:rsidRPr="00206A0A">
        <w:rPr>
          <w:b/>
          <w:sz w:val="24"/>
          <w:szCs w:val="24"/>
        </w:rPr>
        <w:t>ublished</w:t>
      </w:r>
    </w:p>
    <w:p w:rsidR="00706A3C" w:rsidRDefault="00905F2F" w:rsidP="00706A3C">
      <w:pPr>
        <w:rPr>
          <w:lang w:val="en-NZ"/>
        </w:rPr>
      </w:pPr>
      <w:r>
        <w:rPr>
          <w:lang w:val="en-NZ"/>
        </w:rPr>
        <w:t>September</w:t>
      </w:r>
      <w:bookmarkStart w:id="2" w:name="_GoBack"/>
      <w:bookmarkEnd w:id="2"/>
      <w:r w:rsidR="00733629">
        <w:rPr>
          <w:lang w:val="en-NZ"/>
        </w:rPr>
        <w:t xml:space="preserve"> </w:t>
      </w:r>
      <w:r w:rsidR="00076A90" w:rsidRPr="00076A90">
        <w:rPr>
          <w:lang w:val="en-NZ"/>
        </w:rPr>
        <w:t>201</w:t>
      </w:r>
      <w:r w:rsidR="00733629">
        <w:rPr>
          <w:lang w:val="en-NZ"/>
        </w:rPr>
        <w:t>6</w:t>
      </w:r>
    </w:p>
    <w:p w:rsidR="00706A3C" w:rsidRPr="00206A0A" w:rsidRDefault="00706A3C" w:rsidP="00706A3C">
      <w:pPr>
        <w:rPr>
          <w:b/>
          <w:sz w:val="24"/>
          <w:szCs w:val="24"/>
        </w:rPr>
      </w:pPr>
      <w:r>
        <w:rPr>
          <w:b/>
          <w:sz w:val="24"/>
          <w:szCs w:val="24"/>
        </w:rPr>
        <w:t>ISBN</w:t>
      </w:r>
    </w:p>
    <w:p w:rsidR="00706A3C" w:rsidRDefault="00706A3C" w:rsidP="00706A3C">
      <w:pPr>
        <w:rPr>
          <w:lang w:val="en-NZ"/>
        </w:rPr>
      </w:pPr>
      <w:r>
        <w:rPr>
          <w:lang w:val="en-NZ"/>
        </w:rPr>
        <w:t xml:space="preserve">ISBN </w:t>
      </w:r>
      <w:r w:rsidR="00D611B8" w:rsidRPr="00D611B8">
        <w:rPr>
          <w:lang w:val="en-NZ"/>
        </w:rPr>
        <w:t>978-0-947513-30-6</w:t>
      </w:r>
      <w:r w:rsidR="00D611B8">
        <w:rPr>
          <w:lang w:val="en-NZ"/>
        </w:rPr>
        <w:t xml:space="preserve"> </w:t>
      </w:r>
      <w:r>
        <w:rPr>
          <w:lang w:val="en-NZ"/>
        </w:rPr>
        <w:t>(online)</w:t>
      </w:r>
    </w:p>
    <w:p w:rsidR="00706A3C" w:rsidRDefault="00706A3C" w:rsidP="00706A3C">
      <w:pPr>
        <w:rPr>
          <w:rFonts w:ascii="Georgia" w:eastAsiaTheme="majorEastAsia" w:hAnsi="Georgia"/>
          <w:b/>
          <w:bCs/>
          <w:color w:val="121F6B"/>
          <w:kern w:val="0"/>
          <w:sz w:val="40"/>
          <w:szCs w:val="28"/>
          <w:lang w:val="en-NZ"/>
        </w:rPr>
      </w:pPr>
      <w:r>
        <w:br w:type="page"/>
      </w:r>
    </w:p>
    <w:p w:rsidR="00706A3C" w:rsidRPr="00317D0D" w:rsidRDefault="00706A3C" w:rsidP="00706A3C">
      <w:pPr>
        <w:pStyle w:val="Heading1"/>
        <w:spacing w:after="480"/>
        <w:ind w:right="-45"/>
      </w:pPr>
      <w:bookmarkStart w:id="3" w:name="_Toc408907428"/>
      <w:bookmarkStart w:id="4" w:name="_Toc408924985"/>
      <w:bookmarkStart w:id="5" w:name="_Toc409188177"/>
      <w:bookmarkStart w:id="6" w:name="_Toc450138679"/>
      <w:r w:rsidRPr="007525AF">
        <w:lastRenderedPageBreak/>
        <w:t>Contents</w:t>
      </w:r>
      <w:bookmarkEnd w:id="0"/>
      <w:bookmarkEnd w:id="1"/>
      <w:bookmarkEnd w:id="3"/>
      <w:bookmarkEnd w:id="4"/>
      <w:bookmarkEnd w:id="5"/>
      <w:bookmarkEnd w:id="6"/>
    </w:p>
    <w:sdt>
      <w:sdtPr>
        <w:id w:val="1310822592"/>
        <w:docPartObj>
          <w:docPartGallery w:val="Table of Contents"/>
          <w:docPartUnique/>
        </w:docPartObj>
      </w:sdtPr>
      <w:sdtEndPr/>
      <w:sdtContent>
        <w:p w:rsidR="00FB192A" w:rsidRDefault="00706A3C">
          <w:pPr>
            <w:pStyle w:val="TOC1"/>
            <w:rPr>
              <w:rFonts w:asciiTheme="minorHAnsi" w:eastAsiaTheme="minorEastAsia" w:hAnsiTheme="minorHAnsi" w:cstheme="minorBidi"/>
              <w:kern w:val="0"/>
              <w:sz w:val="22"/>
              <w:szCs w:val="22"/>
              <w:lang w:val="en-NZ" w:eastAsia="en-NZ"/>
            </w:rPr>
          </w:pPr>
          <w:r>
            <w:rPr>
              <w:b/>
              <w:noProof w:val="0"/>
            </w:rPr>
            <w:fldChar w:fldCharType="begin"/>
          </w:r>
          <w:r>
            <w:rPr>
              <w:b/>
              <w:noProof w:val="0"/>
            </w:rPr>
            <w:instrText xml:space="preserve"> TOC \o "1-1" \h \z \u </w:instrText>
          </w:r>
          <w:r>
            <w:rPr>
              <w:b/>
              <w:noProof w:val="0"/>
            </w:rPr>
            <w:fldChar w:fldCharType="separate"/>
          </w:r>
          <w:hyperlink w:anchor="_Toc450138679" w:history="1">
            <w:r w:rsidR="00FB192A" w:rsidRPr="00E623DC">
              <w:rPr>
                <w:rStyle w:val="Hyperlink"/>
              </w:rPr>
              <w:t>Contents</w:t>
            </w:r>
            <w:r w:rsidR="00FB192A">
              <w:rPr>
                <w:webHidden/>
              </w:rPr>
              <w:tab/>
            </w:r>
            <w:r w:rsidR="00FB192A">
              <w:rPr>
                <w:webHidden/>
              </w:rPr>
              <w:fldChar w:fldCharType="begin"/>
            </w:r>
            <w:r w:rsidR="00FB192A">
              <w:rPr>
                <w:webHidden/>
              </w:rPr>
              <w:instrText xml:space="preserve"> PAGEREF _Toc450138679 \h </w:instrText>
            </w:r>
            <w:r w:rsidR="00FB192A">
              <w:rPr>
                <w:webHidden/>
              </w:rPr>
            </w:r>
            <w:r w:rsidR="00FB192A">
              <w:rPr>
                <w:webHidden/>
              </w:rPr>
              <w:fldChar w:fldCharType="separate"/>
            </w:r>
            <w:r w:rsidR="00FB192A">
              <w:rPr>
                <w:webHidden/>
              </w:rPr>
              <w:t>3</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0" w:history="1">
            <w:r w:rsidR="00FB192A" w:rsidRPr="00E623DC">
              <w:rPr>
                <w:rStyle w:val="Hyperlink"/>
              </w:rPr>
              <w:t>Executive summary</w:t>
            </w:r>
            <w:r w:rsidR="00FB192A">
              <w:rPr>
                <w:webHidden/>
              </w:rPr>
              <w:tab/>
            </w:r>
            <w:r w:rsidR="00FB192A">
              <w:rPr>
                <w:webHidden/>
              </w:rPr>
              <w:fldChar w:fldCharType="begin"/>
            </w:r>
            <w:r w:rsidR="00FB192A">
              <w:rPr>
                <w:webHidden/>
              </w:rPr>
              <w:instrText xml:space="preserve"> PAGEREF _Toc450138680 \h </w:instrText>
            </w:r>
            <w:r w:rsidR="00FB192A">
              <w:rPr>
                <w:webHidden/>
              </w:rPr>
            </w:r>
            <w:r w:rsidR="00FB192A">
              <w:rPr>
                <w:webHidden/>
              </w:rPr>
              <w:fldChar w:fldCharType="separate"/>
            </w:r>
            <w:r w:rsidR="00FB192A">
              <w:rPr>
                <w:webHidden/>
              </w:rPr>
              <w:t>1</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1" w:history="1">
            <w:r w:rsidR="00FB192A" w:rsidRPr="00E623DC">
              <w:rPr>
                <w:rStyle w:val="Hyperlink"/>
              </w:rPr>
              <w:t>Part 1 – Introduction</w:t>
            </w:r>
            <w:r w:rsidR="00FB192A">
              <w:rPr>
                <w:webHidden/>
              </w:rPr>
              <w:tab/>
            </w:r>
            <w:r w:rsidR="00FB192A">
              <w:rPr>
                <w:webHidden/>
              </w:rPr>
              <w:fldChar w:fldCharType="begin"/>
            </w:r>
            <w:r w:rsidR="00FB192A">
              <w:rPr>
                <w:webHidden/>
              </w:rPr>
              <w:instrText xml:space="preserve"> PAGEREF _Toc450138681 \h </w:instrText>
            </w:r>
            <w:r w:rsidR="00FB192A">
              <w:rPr>
                <w:webHidden/>
              </w:rPr>
            </w:r>
            <w:r w:rsidR="00FB192A">
              <w:rPr>
                <w:webHidden/>
              </w:rPr>
              <w:fldChar w:fldCharType="separate"/>
            </w:r>
            <w:r w:rsidR="00FB192A">
              <w:rPr>
                <w:webHidden/>
              </w:rPr>
              <w:t>3</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2" w:history="1">
            <w:r w:rsidR="00FB192A" w:rsidRPr="00E623DC">
              <w:rPr>
                <w:rStyle w:val="Hyperlink"/>
              </w:rPr>
              <w:t>Part 2 – Methodology</w:t>
            </w:r>
            <w:r w:rsidR="00FB192A">
              <w:rPr>
                <w:webHidden/>
              </w:rPr>
              <w:tab/>
            </w:r>
            <w:r w:rsidR="00FB192A">
              <w:rPr>
                <w:webHidden/>
              </w:rPr>
              <w:fldChar w:fldCharType="begin"/>
            </w:r>
            <w:r w:rsidR="00FB192A">
              <w:rPr>
                <w:webHidden/>
              </w:rPr>
              <w:instrText xml:space="preserve"> PAGEREF _Toc450138682 \h </w:instrText>
            </w:r>
            <w:r w:rsidR="00FB192A">
              <w:rPr>
                <w:webHidden/>
              </w:rPr>
            </w:r>
            <w:r w:rsidR="00FB192A">
              <w:rPr>
                <w:webHidden/>
              </w:rPr>
              <w:fldChar w:fldCharType="separate"/>
            </w:r>
            <w:r w:rsidR="00FB192A">
              <w:rPr>
                <w:webHidden/>
              </w:rPr>
              <w:t>5</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3" w:history="1">
            <w:r w:rsidR="00FB192A" w:rsidRPr="00E623DC">
              <w:rPr>
                <w:rStyle w:val="Hyperlink"/>
              </w:rPr>
              <w:t>Part 3 – Profile of FGC participants</w:t>
            </w:r>
            <w:r w:rsidR="00FB192A">
              <w:rPr>
                <w:webHidden/>
              </w:rPr>
              <w:tab/>
            </w:r>
            <w:r w:rsidR="00FB192A">
              <w:rPr>
                <w:webHidden/>
              </w:rPr>
              <w:fldChar w:fldCharType="begin"/>
            </w:r>
            <w:r w:rsidR="00FB192A">
              <w:rPr>
                <w:webHidden/>
              </w:rPr>
              <w:instrText xml:space="preserve"> PAGEREF _Toc450138683 \h </w:instrText>
            </w:r>
            <w:r w:rsidR="00FB192A">
              <w:rPr>
                <w:webHidden/>
              </w:rPr>
            </w:r>
            <w:r w:rsidR="00FB192A">
              <w:rPr>
                <w:webHidden/>
              </w:rPr>
              <w:fldChar w:fldCharType="separate"/>
            </w:r>
            <w:r w:rsidR="00FB192A">
              <w:rPr>
                <w:webHidden/>
              </w:rPr>
              <w:t>6</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4" w:history="1">
            <w:r w:rsidR="00FB192A" w:rsidRPr="00E623DC">
              <w:rPr>
                <w:rStyle w:val="Hyperlink"/>
              </w:rPr>
              <w:t>Part 4 – Intention-to-charge FGCs</w:t>
            </w:r>
            <w:r w:rsidR="00FB192A">
              <w:rPr>
                <w:webHidden/>
              </w:rPr>
              <w:tab/>
            </w:r>
            <w:r w:rsidR="00FB192A">
              <w:rPr>
                <w:webHidden/>
              </w:rPr>
              <w:fldChar w:fldCharType="begin"/>
            </w:r>
            <w:r w:rsidR="00FB192A">
              <w:rPr>
                <w:webHidden/>
              </w:rPr>
              <w:instrText xml:space="preserve"> PAGEREF _Toc450138684 \h </w:instrText>
            </w:r>
            <w:r w:rsidR="00FB192A">
              <w:rPr>
                <w:webHidden/>
              </w:rPr>
            </w:r>
            <w:r w:rsidR="00FB192A">
              <w:rPr>
                <w:webHidden/>
              </w:rPr>
              <w:fldChar w:fldCharType="separate"/>
            </w:r>
            <w:r w:rsidR="00FB192A">
              <w:rPr>
                <w:webHidden/>
              </w:rPr>
              <w:t>8</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5" w:history="1">
            <w:r w:rsidR="00FB192A" w:rsidRPr="00E623DC">
              <w:rPr>
                <w:rStyle w:val="Hyperlink"/>
              </w:rPr>
              <w:t>Part 5 – Court-ordered FGCs</w:t>
            </w:r>
            <w:r w:rsidR="00FB192A">
              <w:rPr>
                <w:webHidden/>
              </w:rPr>
              <w:tab/>
            </w:r>
            <w:r w:rsidR="00FB192A">
              <w:rPr>
                <w:webHidden/>
              </w:rPr>
              <w:fldChar w:fldCharType="begin"/>
            </w:r>
            <w:r w:rsidR="00FB192A">
              <w:rPr>
                <w:webHidden/>
              </w:rPr>
              <w:instrText xml:space="preserve"> PAGEREF _Toc450138685 \h </w:instrText>
            </w:r>
            <w:r w:rsidR="00FB192A">
              <w:rPr>
                <w:webHidden/>
              </w:rPr>
            </w:r>
            <w:r w:rsidR="00FB192A">
              <w:rPr>
                <w:webHidden/>
              </w:rPr>
              <w:fldChar w:fldCharType="separate"/>
            </w:r>
            <w:r w:rsidR="00FB192A">
              <w:rPr>
                <w:webHidden/>
              </w:rPr>
              <w:t>13</w:t>
            </w:r>
            <w:r w:rsidR="00FB192A">
              <w:rPr>
                <w:webHidden/>
              </w:rPr>
              <w:fldChar w:fldCharType="end"/>
            </w:r>
          </w:hyperlink>
        </w:p>
        <w:p w:rsidR="00FB192A" w:rsidRDefault="00905F2F">
          <w:pPr>
            <w:pStyle w:val="TOC1"/>
            <w:rPr>
              <w:rFonts w:asciiTheme="minorHAnsi" w:eastAsiaTheme="minorEastAsia" w:hAnsiTheme="minorHAnsi" w:cstheme="minorBidi"/>
              <w:kern w:val="0"/>
              <w:sz w:val="22"/>
              <w:szCs w:val="22"/>
              <w:lang w:val="en-NZ" w:eastAsia="en-NZ"/>
            </w:rPr>
          </w:pPr>
          <w:hyperlink w:anchor="_Toc450138686" w:history="1">
            <w:r w:rsidR="00FB192A" w:rsidRPr="00E623DC">
              <w:rPr>
                <w:rStyle w:val="Hyperlink"/>
              </w:rPr>
              <w:t>Part 6 – Discussion</w:t>
            </w:r>
            <w:r w:rsidR="00FB192A">
              <w:rPr>
                <w:webHidden/>
              </w:rPr>
              <w:tab/>
            </w:r>
            <w:r w:rsidR="00FB192A">
              <w:rPr>
                <w:webHidden/>
              </w:rPr>
              <w:fldChar w:fldCharType="begin"/>
            </w:r>
            <w:r w:rsidR="00FB192A">
              <w:rPr>
                <w:webHidden/>
              </w:rPr>
              <w:instrText xml:space="preserve"> PAGEREF _Toc450138686 \h </w:instrText>
            </w:r>
            <w:r w:rsidR="00FB192A">
              <w:rPr>
                <w:webHidden/>
              </w:rPr>
            </w:r>
            <w:r w:rsidR="00FB192A">
              <w:rPr>
                <w:webHidden/>
              </w:rPr>
              <w:fldChar w:fldCharType="separate"/>
            </w:r>
            <w:r w:rsidR="00FB192A">
              <w:rPr>
                <w:webHidden/>
              </w:rPr>
              <w:t>18</w:t>
            </w:r>
            <w:r w:rsidR="00FB192A">
              <w:rPr>
                <w:webHidden/>
              </w:rPr>
              <w:fldChar w:fldCharType="end"/>
            </w:r>
          </w:hyperlink>
        </w:p>
        <w:p w:rsidR="00FB192A" w:rsidRDefault="00905F2F">
          <w:pPr>
            <w:pStyle w:val="TOC1"/>
            <w:tabs>
              <w:tab w:val="left" w:pos="1540"/>
            </w:tabs>
            <w:rPr>
              <w:rFonts w:asciiTheme="minorHAnsi" w:eastAsiaTheme="minorEastAsia" w:hAnsiTheme="minorHAnsi" w:cstheme="minorBidi"/>
              <w:kern w:val="0"/>
              <w:sz w:val="22"/>
              <w:szCs w:val="22"/>
              <w:lang w:val="en-NZ" w:eastAsia="en-NZ"/>
            </w:rPr>
          </w:pPr>
          <w:hyperlink w:anchor="_Toc450138687" w:history="1">
            <w:r w:rsidR="00FB192A" w:rsidRPr="00E623DC">
              <w:rPr>
                <w:rStyle w:val="Hyperlink"/>
              </w:rPr>
              <w:t>Appendix A:</w:t>
            </w:r>
            <w:r w:rsidR="00FB192A">
              <w:rPr>
                <w:rFonts w:asciiTheme="minorHAnsi" w:eastAsiaTheme="minorEastAsia" w:hAnsiTheme="minorHAnsi" w:cstheme="minorBidi"/>
                <w:kern w:val="0"/>
                <w:sz w:val="22"/>
                <w:szCs w:val="22"/>
                <w:lang w:val="en-NZ" w:eastAsia="en-NZ"/>
              </w:rPr>
              <w:tab/>
            </w:r>
            <w:r w:rsidR="00FB192A" w:rsidRPr="00E623DC">
              <w:rPr>
                <w:rStyle w:val="Hyperlink"/>
              </w:rPr>
              <w:t>Measuring reoffending</w:t>
            </w:r>
            <w:r w:rsidR="00FB192A">
              <w:rPr>
                <w:webHidden/>
              </w:rPr>
              <w:tab/>
            </w:r>
            <w:r w:rsidR="00FB192A">
              <w:rPr>
                <w:webHidden/>
              </w:rPr>
              <w:fldChar w:fldCharType="begin"/>
            </w:r>
            <w:r w:rsidR="00FB192A">
              <w:rPr>
                <w:webHidden/>
              </w:rPr>
              <w:instrText xml:space="preserve"> PAGEREF _Toc450138687 \h </w:instrText>
            </w:r>
            <w:r w:rsidR="00FB192A">
              <w:rPr>
                <w:webHidden/>
              </w:rPr>
            </w:r>
            <w:r w:rsidR="00FB192A">
              <w:rPr>
                <w:webHidden/>
              </w:rPr>
              <w:fldChar w:fldCharType="separate"/>
            </w:r>
            <w:r w:rsidR="00FB192A">
              <w:rPr>
                <w:webHidden/>
              </w:rPr>
              <w:t>19</w:t>
            </w:r>
            <w:r w:rsidR="00FB192A">
              <w:rPr>
                <w:webHidden/>
              </w:rPr>
              <w:fldChar w:fldCharType="end"/>
            </w:r>
          </w:hyperlink>
        </w:p>
        <w:p w:rsidR="00FB192A" w:rsidRDefault="00905F2F">
          <w:pPr>
            <w:pStyle w:val="TOC1"/>
            <w:tabs>
              <w:tab w:val="left" w:pos="1540"/>
            </w:tabs>
            <w:rPr>
              <w:rFonts w:asciiTheme="minorHAnsi" w:eastAsiaTheme="minorEastAsia" w:hAnsiTheme="minorHAnsi" w:cstheme="minorBidi"/>
              <w:kern w:val="0"/>
              <w:sz w:val="22"/>
              <w:szCs w:val="22"/>
              <w:lang w:val="en-NZ" w:eastAsia="en-NZ"/>
            </w:rPr>
          </w:pPr>
          <w:hyperlink w:anchor="_Toc450138688" w:history="1">
            <w:r w:rsidR="00FB192A" w:rsidRPr="00E623DC">
              <w:rPr>
                <w:rStyle w:val="Hyperlink"/>
              </w:rPr>
              <w:t>Appendix B:</w:t>
            </w:r>
            <w:r w:rsidR="00FB192A">
              <w:rPr>
                <w:rFonts w:asciiTheme="minorHAnsi" w:eastAsiaTheme="minorEastAsia" w:hAnsiTheme="minorHAnsi" w:cstheme="minorBidi"/>
                <w:kern w:val="0"/>
                <w:sz w:val="22"/>
                <w:szCs w:val="22"/>
                <w:lang w:val="en-NZ" w:eastAsia="en-NZ"/>
              </w:rPr>
              <w:tab/>
            </w:r>
            <w:r w:rsidR="00FB192A" w:rsidRPr="00E623DC">
              <w:rPr>
                <w:rStyle w:val="Hyperlink"/>
              </w:rPr>
              <w:t>ANZSOC offence divisions</w:t>
            </w:r>
            <w:r w:rsidR="00FB192A">
              <w:rPr>
                <w:webHidden/>
              </w:rPr>
              <w:tab/>
            </w:r>
            <w:r w:rsidR="00FB192A">
              <w:rPr>
                <w:webHidden/>
              </w:rPr>
              <w:fldChar w:fldCharType="begin"/>
            </w:r>
            <w:r w:rsidR="00FB192A">
              <w:rPr>
                <w:webHidden/>
              </w:rPr>
              <w:instrText xml:space="preserve"> PAGEREF _Toc450138688 \h </w:instrText>
            </w:r>
            <w:r w:rsidR="00FB192A">
              <w:rPr>
                <w:webHidden/>
              </w:rPr>
            </w:r>
            <w:r w:rsidR="00FB192A">
              <w:rPr>
                <w:webHidden/>
              </w:rPr>
              <w:fldChar w:fldCharType="separate"/>
            </w:r>
            <w:r w:rsidR="00FB192A">
              <w:rPr>
                <w:webHidden/>
              </w:rPr>
              <w:t>22</w:t>
            </w:r>
            <w:r w:rsidR="00FB192A">
              <w:rPr>
                <w:webHidden/>
              </w:rPr>
              <w:fldChar w:fldCharType="end"/>
            </w:r>
          </w:hyperlink>
        </w:p>
        <w:p w:rsidR="00706A3C" w:rsidRDefault="00706A3C" w:rsidP="00706A3C">
          <w:pPr>
            <w:pStyle w:val="TOC1"/>
          </w:pPr>
          <w:r>
            <w:rPr>
              <w:b/>
              <w:noProof w:val="0"/>
            </w:rPr>
            <w:fldChar w:fldCharType="end"/>
          </w:r>
        </w:p>
      </w:sdtContent>
    </w:sdt>
    <w:p w:rsidR="00706A3C" w:rsidRDefault="00706A3C" w:rsidP="00706A3C">
      <w:pPr>
        <w:rPr>
          <w:lang w:val="en-NZ"/>
        </w:rPr>
        <w:sectPr w:rsidR="00706A3C" w:rsidSect="009E20F2">
          <w:pgSz w:w="11906" w:h="16838"/>
          <w:pgMar w:top="1440" w:right="1440" w:bottom="1134" w:left="1440" w:header="708" w:footer="708" w:gutter="0"/>
          <w:cols w:space="708"/>
          <w:docGrid w:linePitch="360"/>
        </w:sectPr>
      </w:pPr>
    </w:p>
    <w:p w:rsidR="00706A3C" w:rsidRDefault="00706A3C" w:rsidP="00706A3C">
      <w:pPr>
        <w:pStyle w:val="Heading1"/>
        <w:spacing w:before="0"/>
        <w:ind w:right="-45"/>
      </w:pPr>
      <w:bookmarkStart w:id="7" w:name="_Toc450138680"/>
      <w:r w:rsidRPr="0020549B">
        <w:lastRenderedPageBreak/>
        <w:t>Executive summary</w:t>
      </w:r>
      <w:bookmarkEnd w:id="7"/>
    </w:p>
    <w:p w:rsidR="00706A3C" w:rsidRPr="00DB46EE" w:rsidRDefault="00706A3C" w:rsidP="00706A3C">
      <w:pPr>
        <w:rPr>
          <w:lang w:val="en-NZ"/>
        </w:rPr>
      </w:pPr>
      <w:r w:rsidRPr="00DB46EE">
        <w:rPr>
          <w:lang w:val="en-NZ"/>
        </w:rPr>
        <w:t xml:space="preserve">Family </w:t>
      </w:r>
      <w:r w:rsidR="00AD0696">
        <w:rPr>
          <w:lang w:val="en-NZ"/>
        </w:rPr>
        <w:t>G</w:t>
      </w:r>
      <w:r w:rsidRPr="00DB46EE">
        <w:rPr>
          <w:lang w:val="en-NZ"/>
        </w:rPr>
        <w:t xml:space="preserve">roup </w:t>
      </w:r>
      <w:r w:rsidR="00AD0696">
        <w:rPr>
          <w:lang w:val="en-NZ"/>
        </w:rPr>
        <w:t>C</w:t>
      </w:r>
      <w:r w:rsidRPr="00DB46EE">
        <w:rPr>
          <w:lang w:val="en-NZ"/>
        </w:rPr>
        <w:t>onferences (FGCs) are the cornerstone of the youth justice system in New Zealand</w:t>
      </w:r>
      <w:r>
        <w:rPr>
          <w:lang w:val="en-NZ"/>
        </w:rPr>
        <w:t xml:space="preserve">. </w:t>
      </w:r>
      <w:r w:rsidRPr="00967BEE">
        <w:t xml:space="preserve">The </w:t>
      </w:r>
      <w:r>
        <w:t xml:space="preserve">FGC </w:t>
      </w:r>
      <w:r w:rsidRPr="00967BEE">
        <w:t xml:space="preserve">process </w:t>
      </w:r>
      <w:r>
        <w:t>seeks</w:t>
      </w:r>
      <w:r w:rsidRPr="00967BEE">
        <w:t xml:space="preserve"> to hold </w:t>
      </w:r>
      <w:r>
        <w:t>children and young people</w:t>
      </w:r>
      <w:r w:rsidRPr="00967BEE">
        <w:t xml:space="preserve"> accountable </w:t>
      </w:r>
      <w:r>
        <w:t xml:space="preserve">for their offending, </w:t>
      </w:r>
      <w:r w:rsidRPr="00967BEE">
        <w:t xml:space="preserve">while </w:t>
      </w:r>
      <w:r>
        <w:t>also</w:t>
      </w:r>
      <w:r w:rsidRPr="00967BEE">
        <w:t xml:space="preserve"> encouraging them to change </w:t>
      </w:r>
      <w:r>
        <w:t xml:space="preserve">their behavior </w:t>
      </w:r>
      <w:r w:rsidRPr="00967BEE">
        <w:t>and not reoffend</w:t>
      </w:r>
      <w:r>
        <w:t>. However, there is a lack of evidence in New Zealand as to whether youth justice FGCs are effective at reducing or stopping reoffending.</w:t>
      </w:r>
    </w:p>
    <w:p w:rsidR="00706A3C" w:rsidRDefault="00076A90" w:rsidP="00706A3C">
      <w:pPr>
        <w:spacing w:after="60"/>
        <w:rPr>
          <w:lang w:val="en-NZ"/>
        </w:rPr>
      </w:pPr>
      <w:r>
        <w:rPr>
          <w:lang w:val="en-NZ"/>
        </w:rPr>
        <w:t>T</w:t>
      </w:r>
      <w:r w:rsidR="00706A3C" w:rsidRPr="004E4255">
        <w:rPr>
          <w:lang w:val="en-NZ"/>
        </w:rPr>
        <w:t xml:space="preserve">his report </w:t>
      </w:r>
      <w:r w:rsidR="00706A3C">
        <w:rPr>
          <w:lang w:val="en-NZ"/>
        </w:rPr>
        <w:t>describes</w:t>
      </w:r>
      <w:r w:rsidR="00706A3C" w:rsidRPr="004E4255">
        <w:rPr>
          <w:lang w:val="en-NZ"/>
        </w:rPr>
        <w:t xml:space="preserve"> </w:t>
      </w:r>
      <w:r w:rsidR="00706A3C">
        <w:rPr>
          <w:lang w:val="en-NZ"/>
        </w:rPr>
        <w:t>the profile and patterns of reoffending observed for nearly 6,800</w:t>
      </w:r>
      <w:r w:rsidR="00706A3C" w:rsidRPr="004E4255">
        <w:rPr>
          <w:lang w:val="en-NZ"/>
        </w:rPr>
        <w:t xml:space="preserve"> </w:t>
      </w:r>
      <w:r w:rsidR="00706A3C">
        <w:rPr>
          <w:lang w:val="en-NZ"/>
        </w:rPr>
        <w:t xml:space="preserve">participants of </w:t>
      </w:r>
      <w:r w:rsidR="00706A3C" w:rsidRPr="004E4255">
        <w:rPr>
          <w:lang w:val="en-NZ"/>
        </w:rPr>
        <w:t xml:space="preserve">youth justice FGCs held in the 2011 </w:t>
      </w:r>
      <w:r w:rsidR="00706A3C">
        <w:rPr>
          <w:lang w:val="en-NZ"/>
        </w:rPr>
        <w:t>and</w:t>
      </w:r>
      <w:r w:rsidR="00706A3C" w:rsidRPr="004E4255">
        <w:rPr>
          <w:lang w:val="en-NZ"/>
        </w:rPr>
        <w:t xml:space="preserve"> 2012 calendar years. </w:t>
      </w:r>
      <w:r w:rsidR="00706A3C">
        <w:rPr>
          <w:lang w:val="en-NZ"/>
        </w:rPr>
        <w:t>Two FGC cohorts were examined:</w:t>
      </w:r>
    </w:p>
    <w:p w:rsidR="00706A3C" w:rsidRDefault="00706A3C" w:rsidP="00706A3C">
      <w:pPr>
        <w:pStyle w:val="Bullet1"/>
        <w:numPr>
          <w:ilvl w:val="0"/>
          <w:numId w:val="5"/>
        </w:numPr>
        <w:spacing w:after="60"/>
        <w:ind w:left="357" w:hanging="357"/>
      </w:pPr>
      <w:r>
        <w:t>3,936 intention-to-charge (ITC) FGCs</w:t>
      </w:r>
    </w:p>
    <w:p w:rsidR="00706A3C" w:rsidRPr="00D5146B" w:rsidRDefault="00706A3C" w:rsidP="00706A3C">
      <w:pPr>
        <w:pStyle w:val="Bullet1"/>
        <w:numPr>
          <w:ilvl w:val="0"/>
          <w:numId w:val="5"/>
        </w:numPr>
      </w:pPr>
      <w:r>
        <w:t>2,828 court-ordered FGCs.</w:t>
      </w:r>
    </w:p>
    <w:p w:rsidR="00706A3C" w:rsidRDefault="00706A3C" w:rsidP="00706A3C">
      <w:pPr>
        <w:pStyle w:val="Bullet1"/>
        <w:numPr>
          <w:ilvl w:val="0"/>
          <w:numId w:val="0"/>
        </w:numPr>
      </w:pPr>
      <w:bookmarkStart w:id="8" w:name="_Toc383076285"/>
      <w:bookmarkStart w:id="9" w:name="_Toc383076335"/>
      <w:r>
        <w:t xml:space="preserve">Caution must be taken in interpreting reoffending outcomes as they are not </w:t>
      </w:r>
      <w:r w:rsidR="003255B4">
        <w:t xml:space="preserve">always </w:t>
      </w:r>
      <w:r>
        <w:t xml:space="preserve">a measure of the effectiveness of an </w:t>
      </w:r>
      <w:r w:rsidR="003255B4">
        <w:t>intervention alone</w:t>
      </w:r>
      <w:r>
        <w:t>. For example, a person may reoffend less often simply due to the fact that they were caught by the Police and made to account for their actions, regardless of the particular intervention applied.</w:t>
      </w:r>
    </w:p>
    <w:p w:rsidR="00706A3C" w:rsidRDefault="00706A3C" w:rsidP="00706A3C">
      <w:pPr>
        <w:pStyle w:val="Bullet1"/>
        <w:numPr>
          <w:ilvl w:val="0"/>
          <w:numId w:val="0"/>
        </w:numPr>
      </w:pPr>
      <w:r>
        <w:t xml:space="preserve">Measuring the relative effectiveness of the FGC cohorts would require a </w:t>
      </w:r>
      <w:r w:rsidR="009A1579">
        <w:t>robust statistical</w:t>
      </w:r>
      <w:r>
        <w:t xml:space="preserve"> approach </w:t>
      </w:r>
      <w:r w:rsidR="009A1579">
        <w:t>such as a matched comparison analysis. This was not in</w:t>
      </w:r>
      <w:r>
        <w:t xml:space="preserve"> scope for this analysis.</w:t>
      </w:r>
    </w:p>
    <w:p w:rsidR="00706A3C" w:rsidRDefault="00706A3C" w:rsidP="00706A3C">
      <w:pPr>
        <w:pStyle w:val="Heading2"/>
      </w:pPr>
      <w:r w:rsidRPr="00E4343A">
        <w:t>Key findings</w:t>
      </w:r>
      <w:bookmarkEnd w:id="8"/>
      <w:bookmarkEnd w:id="9"/>
    </w:p>
    <w:p w:rsidR="00706A3C" w:rsidRPr="0066729B" w:rsidRDefault="00A147CE" w:rsidP="00706A3C">
      <w:pPr>
        <w:pStyle w:val="Heading4"/>
      </w:pPr>
      <w:r>
        <w:t xml:space="preserve">Profile of youth </w:t>
      </w:r>
      <w:r w:rsidR="00706A3C">
        <w:t>justice FGC participants</w:t>
      </w:r>
      <w:r w:rsidR="00556685">
        <w:t xml:space="preserve"> in 2011 and 2012</w:t>
      </w:r>
    </w:p>
    <w:p w:rsidR="00706A3C" w:rsidRPr="009B5ACF" w:rsidRDefault="00706A3C" w:rsidP="00706A3C">
      <w:pPr>
        <w:pStyle w:val="Bullet1"/>
        <w:numPr>
          <w:ilvl w:val="0"/>
          <w:numId w:val="5"/>
        </w:numPr>
        <w:rPr>
          <w:bCs/>
          <w:szCs w:val="24"/>
        </w:rPr>
      </w:pPr>
      <w:r w:rsidRPr="009B5ACF">
        <w:t xml:space="preserve">Around </w:t>
      </w:r>
      <w:r w:rsidR="00A147CE">
        <w:t>eight out of every 10</w:t>
      </w:r>
      <w:r w:rsidRPr="009B5ACF">
        <w:t xml:space="preserve"> </w:t>
      </w:r>
      <w:r>
        <w:t>attendees of FGCs were</w:t>
      </w:r>
      <w:r w:rsidRPr="009B5ACF">
        <w:t xml:space="preserve"> male</w:t>
      </w:r>
      <w:r w:rsidR="00A147CE">
        <w:t>, with the figure being slightly lower for ITC FGCs</w:t>
      </w:r>
      <w:r w:rsidR="00556685">
        <w:t xml:space="preserve"> than court-ordered FGCs</w:t>
      </w:r>
      <w:r>
        <w:t>.</w:t>
      </w:r>
    </w:p>
    <w:p w:rsidR="00706A3C" w:rsidRPr="009B5ACF" w:rsidRDefault="00706A3C" w:rsidP="00706A3C">
      <w:pPr>
        <w:pStyle w:val="Bullet1"/>
        <w:numPr>
          <w:ilvl w:val="0"/>
          <w:numId w:val="5"/>
        </w:numPr>
        <w:rPr>
          <w:bCs/>
          <w:szCs w:val="24"/>
        </w:rPr>
      </w:pPr>
      <w:r>
        <w:t xml:space="preserve">Just over </w:t>
      </w:r>
      <w:r w:rsidRPr="009B5ACF">
        <w:t xml:space="preserve">half of </w:t>
      </w:r>
      <w:r>
        <w:t>FGC</w:t>
      </w:r>
      <w:r w:rsidRPr="009B5ACF">
        <w:t xml:space="preserve"> participants </w:t>
      </w:r>
      <w:r w:rsidR="00916562">
        <w:t>we</w:t>
      </w:r>
      <w:r>
        <w:t>re</w:t>
      </w:r>
      <w:r w:rsidRPr="009B5ACF">
        <w:t xml:space="preserve"> identified as Māori</w:t>
      </w:r>
      <w:r>
        <w:t xml:space="preserve"> and around one-third </w:t>
      </w:r>
      <w:r w:rsidR="00916562">
        <w:t>we</w:t>
      </w:r>
      <w:r>
        <w:t>re European.</w:t>
      </w:r>
    </w:p>
    <w:p w:rsidR="00706A3C" w:rsidRPr="009B5ACF" w:rsidRDefault="00706A3C" w:rsidP="00706A3C">
      <w:pPr>
        <w:pStyle w:val="Bullet1"/>
        <w:numPr>
          <w:ilvl w:val="0"/>
          <w:numId w:val="5"/>
        </w:numPr>
        <w:rPr>
          <w:bCs/>
          <w:szCs w:val="24"/>
        </w:rPr>
      </w:pPr>
      <w:r w:rsidRPr="009B5ACF">
        <w:t xml:space="preserve">Around </w:t>
      </w:r>
      <w:r>
        <w:t>70%</w:t>
      </w:r>
      <w:r w:rsidRPr="009B5ACF">
        <w:t xml:space="preserve"> of </w:t>
      </w:r>
      <w:r>
        <w:t xml:space="preserve">all youth justice </w:t>
      </w:r>
      <w:r w:rsidRPr="009B5ACF">
        <w:t>FGC participants</w:t>
      </w:r>
      <w:r>
        <w:t xml:space="preserve"> are 15- or </w:t>
      </w:r>
      <w:r w:rsidRPr="009B5ACF">
        <w:t>16</w:t>
      </w:r>
      <w:r>
        <w:t>-</w:t>
      </w:r>
      <w:r w:rsidRPr="009B5ACF">
        <w:t>years</w:t>
      </w:r>
      <w:r>
        <w:t>-</w:t>
      </w:r>
      <w:r w:rsidRPr="009B5ACF">
        <w:t>old</w:t>
      </w:r>
      <w:r>
        <w:t xml:space="preserve"> when the FGCs were held, with the average age being just under 16 years</w:t>
      </w:r>
      <w:r w:rsidRPr="009B5ACF">
        <w:t>.</w:t>
      </w:r>
      <w:r>
        <w:t xml:space="preserve"> While they were aged 16 years or younger when they offended, around one in every 10 of the FGC participants were aged 17 years or older at the time the FGC was held.</w:t>
      </w:r>
    </w:p>
    <w:p w:rsidR="00706A3C" w:rsidRPr="0066729B" w:rsidRDefault="00706A3C" w:rsidP="00706A3C">
      <w:pPr>
        <w:pStyle w:val="Heading4"/>
      </w:pPr>
      <w:r>
        <w:t>An escalation in offending prior to the FGCs was curtailed for both cohorts</w:t>
      </w:r>
    </w:p>
    <w:p w:rsidR="00706A3C" w:rsidRPr="00E82A9C" w:rsidRDefault="00706A3C" w:rsidP="00706A3C">
      <w:pPr>
        <w:pStyle w:val="Bullet1"/>
        <w:numPr>
          <w:ilvl w:val="0"/>
          <w:numId w:val="5"/>
        </w:numPr>
        <w:rPr>
          <w:bCs/>
          <w:szCs w:val="24"/>
        </w:rPr>
      </w:pPr>
      <w:r>
        <w:t>For both cohorts, an</w:t>
      </w:r>
      <w:r w:rsidRPr="003732E5">
        <w:t xml:space="preserve"> escalation in the frequency and seriousness of offending by young people </w:t>
      </w:r>
      <w:r>
        <w:t>prior to</w:t>
      </w:r>
      <w:r w:rsidRPr="003732E5">
        <w:t xml:space="preserve"> the FGCs </w:t>
      </w:r>
      <w:r>
        <w:t xml:space="preserve">was </w:t>
      </w:r>
      <w:r w:rsidRPr="003732E5">
        <w:t xml:space="preserve">followed by a reduction in both </w:t>
      </w:r>
      <w:r>
        <w:t xml:space="preserve">measures </w:t>
      </w:r>
      <w:r w:rsidRPr="003732E5">
        <w:t xml:space="preserve">after </w:t>
      </w:r>
      <w:r>
        <w:t>the FGCs</w:t>
      </w:r>
      <w:r w:rsidRPr="003732E5">
        <w:t>.</w:t>
      </w:r>
    </w:p>
    <w:p w:rsidR="00706A3C" w:rsidRPr="004202A0" w:rsidRDefault="00706A3C" w:rsidP="00706A3C">
      <w:pPr>
        <w:pStyle w:val="Bullet1"/>
        <w:numPr>
          <w:ilvl w:val="0"/>
          <w:numId w:val="5"/>
        </w:numPr>
        <w:rPr>
          <w:bCs/>
          <w:szCs w:val="24"/>
        </w:rPr>
      </w:pPr>
      <w:r>
        <w:t xml:space="preserve">The vast majority of the decrease in the number of offences after </w:t>
      </w:r>
      <w:r w:rsidR="00B07E42">
        <w:t xml:space="preserve">both of </w:t>
      </w:r>
      <w:r>
        <w:t>the FGC cohorts was due to large drops in the three most common offence divisions: theft-related, burglary and property damage.</w:t>
      </w:r>
    </w:p>
    <w:p w:rsidR="00706A3C" w:rsidRPr="0066729B" w:rsidRDefault="00556685" w:rsidP="00706A3C">
      <w:pPr>
        <w:pStyle w:val="Heading4"/>
      </w:pPr>
      <w:r>
        <w:t>Participants of ITC FGCs generally had more positive reoffending outcomes than those with court-ordered FGCs, though this could be expected</w:t>
      </w:r>
    </w:p>
    <w:p w:rsidR="00A92768" w:rsidRPr="00A92768" w:rsidRDefault="0041767D" w:rsidP="00706A3C">
      <w:pPr>
        <w:pStyle w:val="Bullet1"/>
        <w:numPr>
          <w:ilvl w:val="0"/>
          <w:numId w:val="5"/>
        </w:numPr>
        <w:rPr>
          <w:bCs/>
          <w:szCs w:val="24"/>
        </w:rPr>
      </w:pPr>
      <w:r>
        <w:rPr>
          <w:bCs/>
          <w:szCs w:val="24"/>
        </w:rPr>
        <w:t>Research has shown that p</w:t>
      </w:r>
      <w:r w:rsidR="00A92768">
        <w:rPr>
          <w:bCs/>
          <w:szCs w:val="24"/>
        </w:rPr>
        <w:t xml:space="preserve">rior offending </w:t>
      </w:r>
      <w:r>
        <w:rPr>
          <w:bCs/>
          <w:szCs w:val="24"/>
        </w:rPr>
        <w:t>is</w:t>
      </w:r>
      <w:r w:rsidR="00A92768">
        <w:rPr>
          <w:bCs/>
          <w:szCs w:val="24"/>
        </w:rPr>
        <w:t xml:space="preserve"> </w:t>
      </w:r>
      <w:r>
        <w:rPr>
          <w:bCs/>
          <w:szCs w:val="24"/>
        </w:rPr>
        <w:t>generally</w:t>
      </w:r>
      <w:r w:rsidR="00A92768">
        <w:rPr>
          <w:bCs/>
          <w:szCs w:val="24"/>
        </w:rPr>
        <w:t xml:space="preserve"> a good predictor of future offending. </w:t>
      </w:r>
      <w:r>
        <w:rPr>
          <w:bCs/>
          <w:szCs w:val="24"/>
        </w:rPr>
        <w:t>For example, i</w:t>
      </w:r>
      <w:r w:rsidR="00A92768">
        <w:rPr>
          <w:bCs/>
          <w:szCs w:val="24"/>
        </w:rPr>
        <w:t xml:space="preserve">t could be expected that </w:t>
      </w:r>
      <w:r>
        <w:rPr>
          <w:bCs/>
          <w:szCs w:val="24"/>
        </w:rPr>
        <w:t>those with less extensive offending histories would be less likely to reoffend than those with extensive offending histories.</w:t>
      </w:r>
      <w:r w:rsidRPr="0041767D">
        <w:t xml:space="preserve"> </w:t>
      </w:r>
      <w:r>
        <w:t xml:space="preserve">This analysis showed that </w:t>
      </w:r>
      <w:r w:rsidR="00E1269C">
        <w:t>prior to</w:t>
      </w:r>
      <w:r>
        <w:t xml:space="preserve"> the FGCs, participants of ITC FGCs had </w:t>
      </w:r>
      <w:r>
        <w:lastRenderedPageBreak/>
        <w:t xml:space="preserve">committed fewer offences and </w:t>
      </w:r>
      <w:r w:rsidR="00E1269C">
        <w:t xml:space="preserve">also </w:t>
      </w:r>
      <w:r>
        <w:t xml:space="preserve">less serious offences, on average than participants of court-ordered FGCs. It </w:t>
      </w:r>
      <w:r w:rsidR="00E1269C">
        <w:t>c</w:t>
      </w:r>
      <w:r>
        <w:t>ould therefore be expected that reoffending outcomes for ITC FGCs would be more positive than those seen for court-ordered FGCs.</w:t>
      </w:r>
    </w:p>
    <w:p w:rsidR="00706A3C" w:rsidRPr="00A315E9" w:rsidRDefault="00706A3C" w:rsidP="00706A3C">
      <w:pPr>
        <w:pStyle w:val="Bullet1"/>
        <w:numPr>
          <w:ilvl w:val="0"/>
          <w:numId w:val="5"/>
        </w:numPr>
        <w:rPr>
          <w:bCs/>
          <w:szCs w:val="24"/>
        </w:rPr>
      </w:pPr>
      <w:r>
        <w:t xml:space="preserve">Thirty </w:t>
      </w:r>
      <w:proofErr w:type="spellStart"/>
      <w:r>
        <w:t>percent</w:t>
      </w:r>
      <w:proofErr w:type="spellEnd"/>
      <w:r>
        <w:t xml:space="preserve"> of participants of c</w:t>
      </w:r>
      <w:r w:rsidR="00916562">
        <w:t>ourt-ordered</w:t>
      </w:r>
      <w:r>
        <w:t xml:space="preserve"> FGCs did not reoffend</w:t>
      </w:r>
      <w:r w:rsidR="00916562">
        <w:t>, whereas t</w:t>
      </w:r>
      <w:r>
        <w:t>he figure was higher at 36% for ITC FGCs</w:t>
      </w:r>
      <w:r w:rsidR="00916562">
        <w:t xml:space="preserve">. </w:t>
      </w:r>
    </w:p>
    <w:p w:rsidR="00706A3C" w:rsidRPr="002B1077" w:rsidRDefault="00706A3C" w:rsidP="00706A3C">
      <w:pPr>
        <w:pStyle w:val="Bullet1"/>
        <w:numPr>
          <w:ilvl w:val="0"/>
          <w:numId w:val="5"/>
        </w:numPr>
      </w:pPr>
      <w:r>
        <w:t xml:space="preserve">The proportion of young people who reduced the frequency and/or seriousness of their offending was similar for </w:t>
      </w:r>
      <w:r w:rsidR="00916562">
        <w:t>both</w:t>
      </w:r>
      <w:r>
        <w:t xml:space="preserve"> FGC cohorts at around 70%</w:t>
      </w:r>
      <w:r w:rsidRPr="007773C5">
        <w:t>.</w:t>
      </w:r>
      <w:r w:rsidR="00E1269C">
        <w:t xml:space="preserve"> In contrast, a little over 20% of participants of both FGC cohorts increased the frequency and/or seriousness of their offending after the FGCs.</w:t>
      </w:r>
    </w:p>
    <w:p w:rsidR="00706A3C" w:rsidRDefault="00706A3C" w:rsidP="00706A3C">
      <w:pPr>
        <w:pStyle w:val="Bullet1"/>
        <w:numPr>
          <w:ilvl w:val="0"/>
          <w:numId w:val="5"/>
        </w:numPr>
      </w:pPr>
      <w:r w:rsidRPr="00E82A9C">
        <w:t xml:space="preserve">Participants </w:t>
      </w:r>
      <w:r>
        <w:t xml:space="preserve">of </w:t>
      </w:r>
      <w:r w:rsidR="00556685">
        <w:t xml:space="preserve">court ordered </w:t>
      </w:r>
      <w:r w:rsidRPr="00E82A9C">
        <w:t xml:space="preserve">FGCs </w:t>
      </w:r>
      <w:r w:rsidR="00556685">
        <w:t xml:space="preserve">(12%) </w:t>
      </w:r>
      <w:r w:rsidRPr="00E82A9C">
        <w:t xml:space="preserve">were much </w:t>
      </w:r>
      <w:r w:rsidR="0041767D">
        <w:t>more</w:t>
      </w:r>
      <w:r w:rsidRPr="00E82A9C">
        <w:t xml:space="preserve"> likely to receive </w:t>
      </w:r>
      <w:r>
        <w:t xml:space="preserve">a </w:t>
      </w:r>
      <w:r w:rsidRPr="00E82A9C">
        <w:t>custodial sentence</w:t>
      </w:r>
      <w:r>
        <w:t xml:space="preserve"> in the 12 months </w:t>
      </w:r>
      <w:r w:rsidRPr="00E82A9C">
        <w:t xml:space="preserve">after the FGCs compared with </w:t>
      </w:r>
      <w:r>
        <w:t xml:space="preserve">ITC FGC participants </w:t>
      </w:r>
      <w:r w:rsidR="00556685">
        <w:t>(4%)</w:t>
      </w:r>
      <w:r>
        <w:t>.</w:t>
      </w:r>
    </w:p>
    <w:p w:rsidR="00706A3C" w:rsidRPr="00BE14F0" w:rsidRDefault="00706A3C" w:rsidP="00706A3C">
      <w:pPr>
        <w:pStyle w:val="Heading3"/>
      </w:pPr>
      <w:r w:rsidRPr="00BE14F0">
        <w:t xml:space="preserve">Overall outcomes </w:t>
      </w:r>
      <w:r>
        <w:t>24 months</w:t>
      </w:r>
      <w:r w:rsidRPr="00BE14F0">
        <w:t xml:space="preserve"> after the FGCs</w:t>
      </w:r>
      <w:r>
        <w:t xml:space="preserve"> held in 2011</w:t>
      </w:r>
    </w:p>
    <w:p w:rsidR="00706A3C" w:rsidRPr="00BE14F0" w:rsidRDefault="00706A3C" w:rsidP="00706A3C">
      <w:pPr>
        <w:pStyle w:val="Bullet1"/>
        <w:numPr>
          <w:ilvl w:val="0"/>
          <w:numId w:val="0"/>
        </w:numPr>
      </w:pPr>
      <w:r>
        <w:t>The 24-month</w:t>
      </w:r>
      <w:r w:rsidRPr="00BE14F0">
        <w:t xml:space="preserve"> reoffending outcomes for the participants of FGCs</w:t>
      </w:r>
      <w:r>
        <w:t xml:space="preserve"> held in 2011 were examined in brief</w:t>
      </w:r>
      <w:r w:rsidRPr="00BE14F0">
        <w:t>.</w:t>
      </w:r>
      <w:r>
        <w:t xml:space="preserve"> Comparable figures were not yet available for FGCs held in 2012.</w:t>
      </w:r>
    </w:p>
    <w:p w:rsidR="00706A3C" w:rsidRDefault="00706A3C" w:rsidP="00706A3C">
      <w:pPr>
        <w:pStyle w:val="Bullet1"/>
        <w:numPr>
          <w:ilvl w:val="0"/>
          <w:numId w:val="5"/>
        </w:numPr>
      </w:pPr>
      <w:r>
        <w:t xml:space="preserve">The proportion of </w:t>
      </w:r>
      <w:r w:rsidR="001E0BB0">
        <w:t>court-ordered</w:t>
      </w:r>
      <w:r>
        <w:t xml:space="preserve"> FGC participants who did not reoffend within 24 months of the FGCs being held in 2011 was 1</w:t>
      </w:r>
      <w:r w:rsidR="001E0BB0">
        <w:t>8</w:t>
      </w:r>
      <w:r>
        <w:t>%</w:t>
      </w:r>
      <w:r w:rsidR="001E0BB0">
        <w:t>, while the figure for ITC FGCs was higher at 23%</w:t>
      </w:r>
      <w:r>
        <w:t>.</w:t>
      </w:r>
    </w:p>
    <w:p w:rsidR="00706A3C" w:rsidRPr="00BE14F0" w:rsidRDefault="00706A3C" w:rsidP="00706A3C">
      <w:pPr>
        <w:pStyle w:val="Bullet1"/>
        <w:numPr>
          <w:ilvl w:val="0"/>
          <w:numId w:val="5"/>
        </w:numPr>
      </w:pPr>
      <w:r>
        <w:t xml:space="preserve">Comparing the 24-month period after the FGCs held in 2011 to the same period prior, at least six out of every 10 young people reduced the frequency and/or seriousness of their offending for </w:t>
      </w:r>
      <w:r w:rsidR="001E0BB0">
        <w:t>both</w:t>
      </w:r>
      <w:r>
        <w:t xml:space="preserve"> FGC cohorts.</w:t>
      </w:r>
    </w:p>
    <w:p w:rsidR="00706A3C" w:rsidRDefault="00706A3C" w:rsidP="00706A3C">
      <w:pPr>
        <w:pStyle w:val="Bullet1"/>
        <w:numPr>
          <w:ilvl w:val="0"/>
          <w:numId w:val="5"/>
        </w:numPr>
      </w:pPr>
      <w:r>
        <w:t xml:space="preserve">A </w:t>
      </w:r>
      <w:r w:rsidR="001E0BB0">
        <w:t>much higher</w:t>
      </w:r>
      <w:r>
        <w:t xml:space="preserve"> proportion of</w:t>
      </w:r>
      <w:r w:rsidRPr="007B2A8D">
        <w:t xml:space="preserve"> young people received a custodial sentence in </w:t>
      </w:r>
      <w:r>
        <w:t>the following</w:t>
      </w:r>
      <w:r w:rsidRPr="007B2A8D">
        <w:t xml:space="preserve"> </w:t>
      </w:r>
      <w:r>
        <w:t xml:space="preserve">24 months for </w:t>
      </w:r>
      <w:r w:rsidR="001E0BB0">
        <w:t>court-ordered</w:t>
      </w:r>
      <w:r>
        <w:t xml:space="preserve"> FGCs (1</w:t>
      </w:r>
      <w:r w:rsidR="001E0BB0">
        <w:t>9</w:t>
      </w:r>
      <w:r>
        <w:t xml:space="preserve">%) than ITC FGCs </w:t>
      </w:r>
      <w:r w:rsidR="001E0BB0">
        <w:t>(</w:t>
      </w:r>
      <w:r>
        <w:t>8%</w:t>
      </w:r>
      <w:r w:rsidR="001E0BB0">
        <w:t>)</w:t>
      </w:r>
      <w:r>
        <w:t>.</w:t>
      </w:r>
    </w:p>
    <w:p w:rsidR="00706A3C" w:rsidRPr="00BE14F0" w:rsidRDefault="00706A3C" w:rsidP="00706A3C">
      <w:pPr>
        <w:pStyle w:val="Heading3"/>
      </w:pPr>
      <w:r>
        <w:t>Further research</w:t>
      </w:r>
    </w:p>
    <w:p w:rsidR="005F6B85" w:rsidRDefault="005F6B85" w:rsidP="00706A3C">
      <w:pPr>
        <w:rPr>
          <w:lang w:val="en-NZ"/>
        </w:rPr>
      </w:pPr>
      <w:r>
        <w:rPr>
          <w:lang w:val="en-NZ"/>
        </w:rPr>
        <w:t>A key youth justice Principle in the CYP&amp;F Act is that “</w:t>
      </w:r>
      <w:r w:rsidRPr="005E4838">
        <w:rPr>
          <w:i/>
          <w:lang w:val="en-NZ"/>
        </w:rPr>
        <w:t>unless the public interest requires otherwise, criminal proceedings should not be instituted against a child or young person if there is an alternative means of dealing with the matter</w:t>
      </w:r>
      <w:r>
        <w:rPr>
          <w:lang w:val="en-NZ"/>
        </w:rPr>
        <w:t xml:space="preserve">”. We are therefore interested in </w:t>
      </w:r>
      <w:r w:rsidR="005E4838">
        <w:rPr>
          <w:lang w:val="en-NZ"/>
        </w:rPr>
        <w:t xml:space="preserve">identifying </w:t>
      </w:r>
      <w:r>
        <w:rPr>
          <w:lang w:val="en-NZ"/>
        </w:rPr>
        <w:t>whether there are groups of young people being dealt with by the Youth Court who could achieve similar or better reoffending outcomes from ITC FGCs, as the Principle would be better met by not having the young person appearing in court.</w:t>
      </w:r>
      <w:r w:rsidR="00EC645B" w:rsidRPr="00EC645B">
        <w:rPr>
          <w:lang w:val="en-NZ"/>
        </w:rPr>
        <w:t xml:space="preserve"> </w:t>
      </w:r>
      <w:r w:rsidR="00EC645B">
        <w:rPr>
          <w:lang w:val="en-NZ"/>
        </w:rPr>
        <w:t>The feasibility of such an analysis would need to be investigated.</w:t>
      </w:r>
    </w:p>
    <w:p w:rsidR="00706A3C" w:rsidRDefault="00706A3C" w:rsidP="00706A3C">
      <w:pPr>
        <w:pStyle w:val="BodyText"/>
        <w:rPr>
          <w:highlight w:val="yellow"/>
          <w:lang w:val="en-NZ"/>
        </w:rPr>
      </w:pPr>
    </w:p>
    <w:p w:rsidR="00706A3C" w:rsidRDefault="00706A3C" w:rsidP="00706A3C">
      <w:pPr>
        <w:rPr>
          <w:lang w:val="en-NZ"/>
        </w:rPr>
        <w:sectPr w:rsidR="00706A3C" w:rsidSect="009E20F2">
          <w:footerReference w:type="even" r:id="rId11"/>
          <w:footerReference w:type="default" r:id="rId12"/>
          <w:pgSz w:w="11906" w:h="16838"/>
          <w:pgMar w:top="1440" w:right="1440" w:bottom="1134" w:left="1440" w:header="708" w:footer="557" w:gutter="0"/>
          <w:pgNumType w:start="1"/>
          <w:cols w:space="708"/>
          <w:docGrid w:linePitch="360"/>
        </w:sectPr>
      </w:pPr>
    </w:p>
    <w:p w:rsidR="00706A3C" w:rsidRPr="00F926FD" w:rsidRDefault="00706A3C" w:rsidP="00706A3C">
      <w:pPr>
        <w:pStyle w:val="Heading1"/>
        <w:ind w:right="-46"/>
      </w:pPr>
      <w:bookmarkStart w:id="10" w:name="_Toc450138681"/>
      <w:r w:rsidRPr="00F926FD">
        <w:lastRenderedPageBreak/>
        <w:t xml:space="preserve">Part 1 – </w:t>
      </w:r>
      <w:bookmarkStart w:id="11" w:name="_Toc403136505"/>
      <w:r w:rsidRPr="00A8061E">
        <w:t>Introduction</w:t>
      </w:r>
      <w:bookmarkEnd w:id="10"/>
      <w:bookmarkEnd w:id="11"/>
    </w:p>
    <w:p w:rsidR="00706A3C" w:rsidRPr="00DB46EE" w:rsidRDefault="00706A3C" w:rsidP="00706A3C">
      <w:pPr>
        <w:rPr>
          <w:lang w:val="en-NZ"/>
        </w:rPr>
      </w:pPr>
      <w:r w:rsidRPr="00DB46EE">
        <w:rPr>
          <w:lang w:val="en-NZ"/>
        </w:rPr>
        <w:t xml:space="preserve">Family </w:t>
      </w:r>
      <w:r w:rsidR="00AD0696">
        <w:rPr>
          <w:lang w:val="en-NZ"/>
        </w:rPr>
        <w:t>G</w:t>
      </w:r>
      <w:r w:rsidRPr="00DB46EE">
        <w:rPr>
          <w:lang w:val="en-NZ"/>
        </w:rPr>
        <w:t xml:space="preserve">roup </w:t>
      </w:r>
      <w:r w:rsidR="00AD0696">
        <w:rPr>
          <w:lang w:val="en-NZ"/>
        </w:rPr>
        <w:t>C</w:t>
      </w:r>
      <w:r w:rsidRPr="00DB46EE">
        <w:rPr>
          <w:lang w:val="en-NZ"/>
        </w:rPr>
        <w:t>onferences (FGCs) are the cornerstone of the youth justice system in New Zealand</w:t>
      </w:r>
      <w:r>
        <w:rPr>
          <w:lang w:val="en-NZ"/>
        </w:rPr>
        <w:t xml:space="preserve">. </w:t>
      </w:r>
      <w:r w:rsidRPr="00967BEE">
        <w:t xml:space="preserve">The </w:t>
      </w:r>
      <w:r>
        <w:t xml:space="preserve">FGC </w:t>
      </w:r>
      <w:r w:rsidRPr="00967BEE">
        <w:t xml:space="preserve">process </w:t>
      </w:r>
      <w:r>
        <w:t>seeks</w:t>
      </w:r>
      <w:r w:rsidRPr="00967BEE">
        <w:t xml:space="preserve"> to hold </w:t>
      </w:r>
      <w:r>
        <w:t>children and young people</w:t>
      </w:r>
      <w:r w:rsidRPr="00967BEE">
        <w:t xml:space="preserve"> accountable </w:t>
      </w:r>
      <w:r>
        <w:t xml:space="preserve">for their offending, </w:t>
      </w:r>
      <w:r w:rsidRPr="00967BEE">
        <w:t xml:space="preserve">while </w:t>
      </w:r>
      <w:r>
        <w:t>also</w:t>
      </w:r>
      <w:r w:rsidRPr="00967BEE">
        <w:t xml:space="preserve"> encouraging them to change </w:t>
      </w:r>
      <w:r>
        <w:t xml:space="preserve">their behavior </w:t>
      </w:r>
      <w:r w:rsidRPr="00967BEE">
        <w:t>and not reoffend</w:t>
      </w:r>
      <w:r>
        <w:t xml:space="preserve">. </w:t>
      </w:r>
      <w:r>
        <w:rPr>
          <w:lang w:val="en-NZ"/>
        </w:rPr>
        <w:t>I</w:t>
      </w:r>
      <w:r w:rsidRPr="00DB46EE">
        <w:rPr>
          <w:lang w:val="en-NZ"/>
        </w:rPr>
        <w:t xml:space="preserve">t is important </w:t>
      </w:r>
      <w:r>
        <w:rPr>
          <w:lang w:val="en-NZ"/>
        </w:rPr>
        <w:t xml:space="preserve">therefore </w:t>
      </w:r>
      <w:r w:rsidRPr="00DB46EE">
        <w:rPr>
          <w:lang w:val="en-NZ"/>
        </w:rPr>
        <w:t xml:space="preserve">to understand whether they are effective. </w:t>
      </w:r>
      <w:r>
        <w:t>However, there is a lack of evidence in New Zealand as to whether youth justice FGCs are effective at reducing or stopping reoffending.</w:t>
      </w:r>
    </w:p>
    <w:p w:rsidR="00706A3C" w:rsidRPr="00A8061E" w:rsidRDefault="00706A3C" w:rsidP="00706A3C">
      <w:pPr>
        <w:spacing w:after="60"/>
        <w:rPr>
          <w:bCs/>
          <w:lang w:val="en-NZ"/>
        </w:rPr>
      </w:pPr>
      <w:r>
        <w:rPr>
          <w:lang w:val="en-NZ"/>
        </w:rPr>
        <w:t xml:space="preserve">Accordingly, </w:t>
      </w:r>
      <w:r w:rsidR="001E0BB0">
        <w:rPr>
          <w:lang w:val="en-NZ"/>
        </w:rPr>
        <w:t xml:space="preserve">this </w:t>
      </w:r>
      <w:r w:rsidRPr="00A8061E">
        <w:rPr>
          <w:lang w:val="en-NZ"/>
        </w:rPr>
        <w:t xml:space="preserve">report examines patterns of reoffending </w:t>
      </w:r>
      <w:r>
        <w:rPr>
          <w:lang w:val="en-NZ"/>
        </w:rPr>
        <w:t>following</w:t>
      </w:r>
      <w:r w:rsidRPr="00A8061E">
        <w:rPr>
          <w:lang w:val="en-NZ"/>
        </w:rPr>
        <w:t xml:space="preserve"> </w:t>
      </w:r>
      <w:r w:rsidR="001E0BB0">
        <w:rPr>
          <w:lang w:val="en-NZ"/>
        </w:rPr>
        <w:t>around 6,80</w:t>
      </w:r>
      <w:r>
        <w:rPr>
          <w:lang w:val="en-NZ"/>
        </w:rPr>
        <w:t>0</w:t>
      </w:r>
      <w:r w:rsidRPr="00A8061E">
        <w:rPr>
          <w:lang w:val="en-NZ"/>
        </w:rPr>
        <w:t xml:space="preserve"> youth justice</w:t>
      </w:r>
      <w:r>
        <w:rPr>
          <w:lang w:val="en-NZ"/>
        </w:rPr>
        <w:t xml:space="preserve"> family group conferences (</w:t>
      </w:r>
      <w:r w:rsidRPr="00A8061E">
        <w:rPr>
          <w:lang w:val="en-NZ"/>
        </w:rPr>
        <w:t>FGCs</w:t>
      </w:r>
      <w:r>
        <w:rPr>
          <w:lang w:val="en-NZ"/>
        </w:rPr>
        <w:t>)</w:t>
      </w:r>
      <w:r w:rsidRPr="00A8061E">
        <w:rPr>
          <w:lang w:val="en-NZ"/>
        </w:rPr>
        <w:t xml:space="preserve"> held </w:t>
      </w:r>
      <w:r>
        <w:rPr>
          <w:lang w:val="en-NZ"/>
        </w:rPr>
        <w:t xml:space="preserve">between 1 January </w:t>
      </w:r>
      <w:r w:rsidRPr="00A8061E">
        <w:rPr>
          <w:lang w:val="en-NZ"/>
        </w:rPr>
        <w:t xml:space="preserve">2011 </w:t>
      </w:r>
      <w:r>
        <w:rPr>
          <w:lang w:val="en-NZ"/>
        </w:rPr>
        <w:t>and 31 December</w:t>
      </w:r>
      <w:r w:rsidRPr="00A8061E">
        <w:rPr>
          <w:lang w:val="en-NZ"/>
        </w:rPr>
        <w:t xml:space="preserve"> 2012. </w:t>
      </w:r>
      <w:r w:rsidR="001E0BB0">
        <w:rPr>
          <w:lang w:val="en-NZ"/>
        </w:rPr>
        <w:t>The two</w:t>
      </w:r>
      <w:r>
        <w:rPr>
          <w:lang w:val="en-NZ"/>
        </w:rPr>
        <w:t xml:space="preserve"> </w:t>
      </w:r>
      <w:r w:rsidRPr="00A8061E">
        <w:rPr>
          <w:lang w:val="en-NZ"/>
        </w:rPr>
        <w:t>FGC</w:t>
      </w:r>
      <w:r>
        <w:rPr>
          <w:lang w:val="en-NZ"/>
        </w:rPr>
        <w:t xml:space="preserve"> cohort</w:t>
      </w:r>
      <w:r w:rsidRPr="00A8061E">
        <w:rPr>
          <w:lang w:val="en-NZ"/>
        </w:rPr>
        <w:t>s examined</w:t>
      </w:r>
      <w:r w:rsidR="001E0BB0">
        <w:rPr>
          <w:lang w:val="en-NZ"/>
        </w:rPr>
        <w:t xml:space="preserve"> were</w:t>
      </w:r>
      <w:r w:rsidRPr="00A8061E">
        <w:rPr>
          <w:lang w:val="en-NZ"/>
        </w:rPr>
        <w:t>:</w:t>
      </w:r>
    </w:p>
    <w:p w:rsidR="001E0BB0" w:rsidRDefault="001E0BB0" w:rsidP="001E0BB0">
      <w:pPr>
        <w:pStyle w:val="Bullet1"/>
        <w:numPr>
          <w:ilvl w:val="0"/>
          <w:numId w:val="5"/>
        </w:numPr>
        <w:spacing w:after="60"/>
        <w:ind w:left="357" w:hanging="357"/>
      </w:pPr>
      <w:r>
        <w:t>3,936 intention-to-charge (ITC) FGCs</w:t>
      </w:r>
    </w:p>
    <w:p w:rsidR="001E0BB0" w:rsidRPr="00D5146B" w:rsidRDefault="001E0BB0" w:rsidP="001E0BB0">
      <w:pPr>
        <w:pStyle w:val="Bullet1"/>
        <w:numPr>
          <w:ilvl w:val="0"/>
          <w:numId w:val="5"/>
        </w:numPr>
      </w:pPr>
      <w:r>
        <w:t>2,828 court-ordered FGCs.</w:t>
      </w:r>
    </w:p>
    <w:p w:rsidR="00706A3C" w:rsidRDefault="00706A3C" w:rsidP="00706A3C">
      <w:pPr>
        <w:rPr>
          <w:lang w:val="en-NZ"/>
        </w:rPr>
      </w:pPr>
      <w:r>
        <w:rPr>
          <w:lang w:val="en-NZ"/>
        </w:rPr>
        <w:t xml:space="preserve">This report provides a descriptive analysis of the profile of the young people in these three FGC cohorts, and the patterns of offending observed before and after their FGCs. </w:t>
      </w:r>
    </w:p>
    <w:p w:rsidR="00706A3C" w:rsidRDefault="00706A3C" w:rsidP="00706A3C">
      <w:pPr>
        <w:pStyle w:val="Bullet1"/>
        <w:numPr>
          <w:ilvl w:val="0"/>
          <w:numId w:val="0"/>
        </w:numPr>
      </w:pPr>
      <w:r>
        <w:t xml:space="preserve">Caution must be taken in interpreting reoffending outcomes as they are not a measure of the effectiveness of an intervention. For example, a person may reoffend less often simply due to the fact that they were caught by the Police and made to account for their actions, regardless of the particular intervention applied. There may also be a general effect from the person aging and maturing. </w:t>
      </w:r>
    </w:p>
    <w:p w:rsidR="00706A3C" w:rsidRDefault="00AD0696" w:rsidP="00706A3C">
      <w:pPr>
        <w:pStyle w:val="Bullet1"/>
        <w:numPr>
          <w:ilvl w:val="0"/>
          <w:numId w:val="0"/>
        </w:numPr>
      </w:pPr>
      <w:r>
        <w:t>Measuring the relative effectiveness of the FGC cohorts would require a robust statistical approach such as a matched comparison analysis. This was not in scope for this analysis.</w:t>
      </w:r>
    </w:p>
    <w:p w:rsidR="00706A3C" w:rsidRDefault="00706A3C" w:rsidP="00706A3C">
      <w:pPr>
        <w:pStyle w:val="Heading2"/>
      </w:pPr>
      <w:r>
        <w:t>Youth Justice Family Group Conferences</w:t>
      </w:r>
    </w:p>
    <w:p w:rsidR="00706A3C" w:rsidRDefault="00706A3C" w:rsidP="00706A3C">
      <w:pPr>
        <w:spacing w:after="60"/>
        <w:rPr>
          <w:lang w:val="en-NZ"/>
        </w:rPr>
      </w:pPr>
      <w:r>
        <w:rPr>
          <w:lang w:val="en-NZ"/>
        </w:rPr>
        <w:t xml:space="preserve">A youth justice </w:t>
      </w:r>
      <w:r w:rsidRPr="00651536">
        <w:rPr>
          <w:lang w:val="en-NZ"/>
        </w:rPr>
        <w:t xml:space="preserve">FGC is a meeting </w:t>
      </w:r>
      <w:r>
        <w:rPr>
          <w:lang w:val="en-NZ"/>
        </w:rPr>
        <w:t xml:space="preserve">convened by a youth justice co-ordinator </w:t>
      </w:r>
      <w:r w:rsidRPr="00651536">
        <w:rPr>
          <w:lang w:val="en-NZ"/>
        </w:rPr>
        <w:t>whe</w:t>
      </w:r>
      <w:r>
        <w:rPr>
          <w:lang w:val="en-NZ"/>
        </w:rPr>
        <w:t>n</w:t>
      </w:r>
      <w:r w:rsidRPr="00651536">
        <w:rPr>
          <w:lang w:val="en-NZ"/>
        </w:rPr>
        <w:t xml:space="preserve"> a young person who has offended</w:t>
      </w:r>
      <w:r>
        <w:rPr>
          <w:lang w:val="en-NZ"/>
        </w:rPr>
        <w:t xml:space="preserve"> has been referred to Child, Youth and Family</w:t>
      </w:r>
      <w:r w:rsidRPr="00AE22B8">
        <w:rPr>
          <w:lang w:val="en-NZ"/>
        </w:rPr>
        <w:t xml:space="preserve"> </w:t>
      </w:r>
      <w:r>
        <w:rPr>
          <w:lang w:val="en-NZ"/>
        </w:rPr>
        <w:t>by either the Police (for an ITC FGC) or the Youth Court (</w:t>
      </w:r>
      <w:proofErr w:type="spellStart"/>
      <w:r>
        <w:rPr>
          <w:lang w:val="en-NZ"/>
        </w:rPr>
        <w:t>ie</w:t>
      </w:r>
      <w:proofErr w:type="spellEnd"/>
      <w:r>
        <w:rPr>
          <w:lang w:val="en-NZ"/>
        </w:rPr>
        <w:t xml:space="preserve"> a court-ordered FGC). The parties involved in the conference may include: </w:t>
      </w:r>
      <w:r w:rsidRPr="00651536">
        <w:rPr>
          <w:lang w:val="en-NZ"/>
        </w:rPr>
        <w:t>the</w:t>
      </w:r>
      <w:r>
        <w:rPr>
          <w:lang w:val="en-NZ"/>
        </w:rPr>
        <w:t xml:space="preserve"> </w:t>
      </w:r>
      <w:r w:rsidR="00DA3C4F">
        <w:rPr>
          <w:lang w:val="en-NZ"/>
        </w:rPr>
        <w:t xml:space="preserve">alleged </w:t>
      </w:r>
      <w:r>
        <w:rPr>
          <w:lang w:val="en-NZ"/>
        </w:rPr>
        <w:t xml:space="preserve">offender, a parent or guardian, a </w:t>
      </w:r>
      <w:r w:rsidRPr="00651536">
        <w:rPr>
          <w:lang w:val="en-NZ"/>
        </w:rPr>
        <w:t>family</w:t>
      </w:r>
      <w:r>
        <w:rPr>
          <w:lang w:val="en-NZ"/>
        </w:rPr>
        <w:t xml:space="preserve"> member</w:t>
      </w:r>
      <w:r w:rsidRPr="00651536">
        <w:rPr>
          <w:lang w:val="en-NZ"/>
        </w:rPr>
        <w:t xml:space="preserve">, </w:t>
      </w:r>
      <w:r>
        <w:rPr>
          <w:lang w:val="en-NZ"/>
        </w:rPr>
        <w:t xml:space="preserve">the </w:t>
      </w:r>
      <w:r w:rsidRPr="00651536">
        <w:rPr>
          <w:lang w:val="en-NZ"/>
        </w:rPr>
        <w:t>victim</w:t>
      </w:r>
      <w:r>
        <w:rPr>
          <w:lang w:val="en-NZ"/>
        </w:rPr>
        <w:t>(</w:t>
      </w:r>
      <w:r w:rsidRPr="00651536">
        <w:rPr>
          <w:lang w:val="en-NZ"/>
        </w:rPr>
        <w:t>s</w:t>
      </w:r>
      <w:r>
        <w:rPr>
          <w:lang w:val="en-NZ"/>
        </w:rPr>
        <w:t xml:space="preserve">), the youth justice co-ordinator, </w:t>
      </w:r>
      <w:r w:rsidRPr="00651536">
        <w:rPr>
          <w:lang w:val="en-NZ"/>
        </w:rPr>
        <w:t xml:space="preserve">the </w:t>
      </w:r>
      <w:r>
        <w:rPr>
          <w:lang w:val="en-NZ"/>
        </w:rPr>
        <w:t>P</w:t>
      </w:r>
      <w:r w:rsidRPr="00651536">
        <w:rPr>
          <w:lang w:val="en-NZ"/>
        </w:rPr>
        <w:t xml:space="preserve">olice, a </w:t>
      </w:r>
      <w:r>
        <w:rPr>
          <w:lang w:val="en-NZ"/>
        </w:rPr>
        <w:t xml:space="preserve">youth justice </w:t>
      </w:r>
      <w:r w:rsidRPr="00651536">
        <w:rPr>
          <w:lang w:val="en-NZ"/>
        </w:rPr>
        <w:t xml:space="preserve">social worker </w:t>
      </w:r>
      <w:r>
        <w:rPr>
          <w:lang w:val="en-NZ"/>
        </w:rPr>
        <w:t>and</w:t>
      </w:r>
      <w:r w:rsidRPr="00651536">
        <w:rPr>
          <w:lang w:val="en-NZ"/>
        </w:rPr>
        <w:t xml:space="preserve"> </w:t>
      </w:r>
      <w:r>
        <w:rPr>
          <w:lang w:val="en-NZ"/>
        </w:rPr>
        <w:t xml:space="preserve">a </w:t>
      </w:r>
      <w:r w:rsidRPr="00651536">
        <w:rPr>
          <w:lang w:val="en-NZ"/>
        </w:rPr>
        <w:t>youth advocate</w:t>
      </w:r>
      <w:r>
        <w:rPr>
          <w:lang w:val="en-NZ"/>
        </w:rPr>
        <w:t xml:space="preserve"> (the </w:t>
      </w:r>
      <w:r>
        <w:rPr>
          <w:lang w:val="en"/>
        </w:rPr>
        <w:t>young person's lawyer</w:t>
      </w:r>
      <w:r>
        <w:rPr>
          <w:lang w:val="en-NZ"/>
        </w:rPr>
        <w:t>).</w:t>
      </w:r>
      <w:r w:rsidR="000B7449">
        <w:rPr>
          <w:rStyle w:val="FootnoteReference"/>
        </w:rPr>
        <w:footnoteReference w:id="1"/>
      </w:r>
      <w:r>
        <w:rPr>
          <w:lang w:val="en-NZ"/>
        </w:rPr>
        <w:t xml:space="preserve"> The parties </w:t>
      </w:r>
      <w:r w:rsidRPr="00651536">
        <w:rPr>
          <w:lang w:val="en-NZ"/>
        </w:rPr>
        <w:t>talk about how to help the young person to:</w:t>
      </w:r>
    </w:p>
    <w:p w:rsidR="00706A3C" w:rsidRDefault="00706A3C" w:rsidP="00706A3C">
      <w:pPr>
        <w:pStyle w:val="Bullet1"/>
        <w:numPr>
          <w:ilvl w:val="0"/>
          <w:numId w:val="5"/>
        </w:numPr>
      </w:pPr>
      <w:r w:rsidRPr="00651536">
        <w:t>own up to what they did wrong and learn from their mistakes</w:t>
      </w:r>
      <w:r>
        <w:t xml:space="preserve"> </w:t>
      </w:r>
    </w:p>
    <w:p w:rsidR="00706A3C" w:rsidRDefault="00706A3C" w:rsidP="00706A3C">
      <w:pPr>
        <w:pStyle w:val="Bullet1"/>
        <w:numPr>
          <w:ilvl w:val="0"/>
          <w:numId w:val="5"/>
        </w:numPr>
      </w:pPr>
      <w:r w:rsidRPr="00651536">
        <w:t xml:space="preserve">find practical ways </w:t>
      </w:r>
      <w:r>
        <w:t>to</w:t>
      </w:r>
      <w:r w:rsidRPr="00651536">
        <w:t xml:space="preserve"> put things right and make up for what they did</w:t>
      </w:r>
    </w:p>
    <w:p w:rsidR="00706A3C" w:rsidRDefault="00706A3C" w:rsidP="00706A3C">
      <w:pPr>
        <w:pStyle w:val="Bullet1"/>
        <w:numPr>
          <w:ilvl w:val="0"/>
          <w:numId w:val="5"/>
        </w:numPr>
        <w:spacing w:after="170"/>
        <w:ind w:left="357" w:hanging="357"/>
      </w:pPr>
      <w:r w:rsidRPr="00651536">
        <w:t>look at why they offended and find ways to help them turn their life around. This may include programmes that help with life skills, employment or education, or activities like team sports and mentoring.</w:t>
      </w:r>
    </w:p>
    <w:p w:rsidR="00706A3C" w:rsidRDefault="00706A3C" w:rsidP="00706A3C">
      <w:r>
        <w:t>If the young person admits to their offending, then a FGC plan will likely be put in place. The young person and their family initially talk about a plan to put things right. After this, they report their ideas back to the meeting. Everyone talks about it and decides if they agree on this or an alternative plan. Parties will also discuss a timeframe for when tasks need to be done, and who will monitor the tasks.</w:t>
      </w:r>
    </w:p>
    <w:p w:rsidR="00706A3C" w:rsidRPr="00651536" w:rsidRDefault="00706A3C" w:rsidP="00706A3C">
      <w:r>
        <w:lastRenderedPageBreak/>
        <w:t>If all parties cannot agree on the way to proceed, or if the young person does not admit to their offending, then the police or the court will decide what to do next.</w:t>
      </w:r>
    </w:p>
    <w:p w:rsidR="00706A3C" w:rsidRPr="0058773F" w:rsidRDefault="00706A3C" w:rsidP="00706A3C">
      <w:pPr>
        <w:pStyle w:val="Heading3"/>
      </w:pPr>
      <w:r>
        <w:t xml:space="preserve">Intention-to-charge </w:t>
      </w:r>
      <w:r w:rsidRPr="0058773F">
        <w:t>FGCs</w:t>
      </w:r>
    </w:p>
    <w:p w:rsidR="00706A3C" w:rsidRDefault="00706A3C" w:rsidP="00706A3C">
      <w:r w:rsidRPr="00A94EB2">
        <w:t xml:space="preserve">Where a young person is alleged to have committed an offence but has not been arrested, and </w:t>
      </w:r>
      <w:r>
        <w:t xml:space="preserve">the Police </w:t>
      </w:r>
      <w:r w:rsidRPr="00A94EB2">
        <w:t>believe that the institution of criminal proceedings against the young person is required in the public interest</w:t>
      </w:r>
      <w:r>
        <w:t xml:space="preserve">, they </w:t>
      </w:r>
      <w:r w:rsidR="00B7268A">
        <w:t>can</w:t>
      </w:r>
      <w:r>
        <w:t xml:space="preserve"> make a referral to Child, Youth and Family to convene an </w:t>
      </w:r>
      <w:r w:rsidR="00CB1ACF">
        <w:t>‘</w:t>
      </w:r>
      <w:r>
        <w:t>intention to charge</w:t>
      </w:r>
      <w:r w:rsidR="00CB1ACF">
        <w:t>’</w:t>
      </w:r>
      <w:r>
        <w:t xml:space="preserve"> FGC under s247(b) of the Children, Young Persons, and Their Families Act 1989 (</w:t>
      </w:r>
      <w:r w:rsidRPr="004C1D2E">
        <w:t>CYP&amp;F Act</w:t>
      </w:r>
      <w:r>
        <w:t>).</w:t>
      </w:r>
    </w:p>
    <w:p w:rsidR="00706A3C" w:rsidRDefault="00706A3C" w:rsidP="00706A3C">
      <w:r w:rsidRPr="00214096">
        <w:t xml:space="preserve">The FGC attendees consider whether the young person should be prosecuted or whether </w:t>
      </w:r>
      <w:r>
        <w:t xml:space="preserve">a diversionary plan can be put in place to deal with </w:t>
      </w:r>
      <w:r w:rsidRPr="00214096">
        <w:t xml:space="preserve">the matter </w:t>
      </w:r>
      <w:r>
        <w:t>without the court being involved (providing the young person admits the offending).</w:t>
      </w:r>
    </w:p>
    <w:p w:rsidR="00611C56" w:rsidRDefault="00611C56" w:rsidP="00706A3C">
      <w:r>
        <w:t xml:space="preserve">If an </w:t>
      </w:r>
      <w:r w:rsidR="00120ACB">
        <w:t xml:space="preserve">ITC </w:t>
      </w:r>
      <w:r>
        <w:t xml:space="preserve">FGC plan is agreed to and is subsequently completed by the young person, </w:t>
      </w:r>
      <w:r w:rsidR="0027234F">
        <w:t xml:space="preserve">the police will agree not to charge the young person and </w:t>
      </w:r>
      <w:r>
        <w:t>this is the end of the matter.</w:t>
      </w:r>
    </w:p>
    <w:p w:rsidR="00706A3C" w:rsidRDefault="00706A3C" w:rsidP="00706A3C">
      <w:pPr>
        <w:pStyle w:val="Heading3"/>
      </w:pPr>
      <w:r>
        <w:t>Court-ordered FGCs</w:t>
      </w:r>
    </w:p>
    <w:p w:rsidR="00706A3C" w:rsidRDefault="00706A3C" w:rsidP="00706A3C">
      <w:r>
        <w:t xml:space="preserve">When a young person has been arrested by the Police and brought before the Youth Court to answer the charge(s), unless they have denied the charge, the court will not enter a plea and the judge will direct an FGC to be convened under s247(d) of the </w:t>
      </w:r>
      <w:r w:rsidRPr="004C1D2E">
        <w:t xml:space="preserve">CYP&amp;F </w:t>
      </w:r>
      <w:r>
        <w:t>Act</w:t>
      </w:r>
      <w:r w:rsidRPr="00E31D41">
        <w:t>.</w:t>
      </w:r>
      <w:r>
        <w:t xml:space="preserve"> The proceedings will then be </w:t>
      </w:r>
      <w:r w:rsidRPr="00E31D41">
        <w:t>adjourn</w:t>
      </w:r>
      <w:r>
        <w:t xml:space="preserve">ed </w:t>
      </w:r>
      <w:r w:rsidRPr="00E31D41">
        <w:t>until th</w:t>
      </w:r>
      <w:r>
        <w:t>e FGC</w:t>
      </w:r>
      <w:r w:rsidRPr="00E31D41">
        <w:t xml:space="preserve"> had been held</w:t>
      </w:r>
      <w:r>
        <w:t>.</w:t>
      </w:r>
    </w:p>
    <w:p w:rsidR="00706A3C" w:rsidRPr="00214096" w:rsidRDefault="00706A3C" w:rsidP="00706A3C">
      <w:r>
        <w:t xml:space="preserve">The FGC will </w:t>
      </w:r>
      <w:r w:rsidRPr="00214096">
        <w:t xml:space="preserve">consider whether the </w:t>
      </w:r>
      <w:r>
        <w:t>young</w:t>
      </w:r>
      <w:r w:rsidRPr="00214096">
        <w:t xml:space="preserve"> person should be dealt with by the court or whether the matter can be dealt with in some other way.</w:t>
      </w:r>
      <w:r>
        <w:t xml:space="preserve"> If an FGC plan is agreed to and is subsequently completed by the young person, the case is often discharged</w:t>
      </w:r>
      <w:r w:rsidR="00B7268A">
        <w:t xml:space="preserve"> by the court</w:t>
      </w:r>
      <w:r>
        <w:t xml:space="preserve"> under s282 or 283(a) of the </w:t>
      </w:r>
      <w:r w:rsidRPr="004C1D2E">
        <w:t xml:space="preserve">CYP&amp;F </w:t>
      </w:r>
      <w:r>
        <w:t>Act.</w:t>
      </w:r>
    </w:p>
    <w:p w:rsidR="00706A3C" w:rsidRPr="00F16C62" w:rsidRDefault="00706A3C" w:rsidP="00706A3C">
      <w:r>
        <w:t>The Youth Court can also order a youth justice FGC to be convened in other situations</w:t>
      </w:r>
      <w:r w:rsidRPr="00F16C62">
        <w:t>:</w:t>
      </w:r>
    </w:p>
    <w:p w:rsidR="00706A3C" w:rsidRDefault="00706A3C" w:rsidP="00706A3C">
      <w:pPr>
        <w:pStyle w:val="Bullet1"/>
        <w:numPr>
          <w:ilvl w:val="0"/>
          <w:numId w:val="5"/>
        </w:numPr>
      </w:pPr>
      <w:r>
        <w:t xml:space="preserve">when </w:t>
      </w:r>
      <w:r w:rsidRPr="00D01959">
        <w:t>a young person denies a charge and the court makes an order for the detention of the young person pending the determination of the charge</w:t>
      </w:r>
      <w:r>
        <w:t xml:space="preserve"> (s</w:t>
      </w:r>
      <w:r w:rsidRPr="00F16C62">
        <w:t>247</w:t>
      </w:r>
      <w:r>
        <w:t>(</w:t>
      </w:r>
      <w:r w:rsidRPr="00F16C62">
        <w:t>c</w:t>
      </w:r>
      <w:r>
        <w:t>))</w:t>
      </w:r>
      <w:r w:rsidRPr="00D01959">
        <w:t>;</w:t>
      </w:r>
    </w:p>
    <w:p w:rsidR="00706A3C" w:rsidRPr="00F16C62" w:rsidRDefault="00706A3C" w:rsidP="00706A3C">
      <w:pPr>
        <w:pStyle w:val="Bullet1"/>
        <w:numPr>
          <w:ilvl w:val="0"/>
          <w:numId w:val="5"/>
        </w:numPr>
      </w:pPr>
      <w:r w:rsidRPr="00F16C62">
        <w:t>when a charge against a young person is proved before a Youth Court and an FGC has not had the opportunity to consider sentencing options (</w:t>
      </w:r>
      <w:r>
        <w:t>s</w:t>
      </w:r>
      <w:r w:rsidRPr="00F16C62">
        <w:t>247</w:t>
      </w:r>
      <w:r>
        <w:t>(</w:t>
      </w:r>
      <w:r w:rsidRPr="00F16C62">
        <w:t>e)</w:t>
      </w:r>
      <w:r>
        <w:t>)</w:t>
      </w:r>
    </w:p>
    <w:p w:rsidR="00706A3C" w:rsidRPr="00F16C62" w:rsidRDefault="00706A3C" w:rsidP="00706A3C">
      <w:pPr>
        <w:pStyle w:val="Bullet1"/>
        <w:numPr>
          <w:ilvl w:val="0"/>
          <w:numId w:val="5"/>
        </w:numPr>
      </w:pPr>
      <w:r w:rsidRPr="00F16C62">
        <w:t>during any stage of proceedings when the court deems that it is necessary or desirable for an FGC to be convened (s281B).</w:t>
      </w:r>
    </w:p>
    <w:p w:rsidR="00706A3C" w:rsidRDefault="00706A3C" w:rsidP="00706A3C">
      <w:pPr>
        <w:pStyle w:val="Bullet1"/>
        <w:numPr>
          <w:ilvl w:val="0"/>
          <w:numId w:val="0"/>
        </w:numPr>
      </w:pPr>
      <w:bookmarkStart w:id="12" w:name="_Toc403136507"/>
      <w:r>
        <w:t>The following sections of the report cover the methodology, a profile of the young people attending youth justice FGCs, and offending patterns before and after the FGCs.</w:t>
      </w:r>
    </w:p>
    <w:p w:rsidR="00706A3C" w:rsidRDefault="00706A3C" w:rsidP="00706A3C">
      <w:pPr>
        <w:spacing w:after="0" w:line="240" w:lineRule="auto"/>
        <w:rPr>
          <w:rFonts w:ascii="Georgia" w:eastAsiaTheme="majorEastAsia" w:hAnsi="Georgia"/>
          <w:b/>
          <w:bCs/>
          <w:color w:val="121F6B"/>
          <w:kern w:val="0"/>
          <w:sz w:val="40"/>
          <w:szCs w:val="28"/>
          <w:lang w:val="en-NZ"/>
        </w:rPr>
      </w:pPr>
      <w:r>
        <w:br w:type="page"/>
      </w:r>
    </w:p>
    <w:p w:rsidR="00706A3C" w:rsidRPr="00530D7C" w:rsidRDefault="00706A3C" w:rsidP="00706A3C">
      <w:pPr>
        <w:pStyle w:val="Heading1"/>
        <w:ind w:right="-46"/>
      </w:pPr>
      <w:bookmarkStart w:id="13" w:name="_Toc450138682"/>
      <w:r>
        <w:lastRenderedPageBreak/>
        <w:t xml:space="preserve">Part 2 – </w:t>
      </w:r>
      <w:r w:rsidRPr="00530D7C">
        <w:t>Methodology</w:t>
      </w:r>
      <w:bookmarkEnd w:id="12"/>
      <w:bookmarkEnd w:id="13"/>
    </w:p>
    <w:p w:rsidR="00706A3C" w:rsidRDefault="00706A3C" w:rsidP="00706A3C">
      <w:pPr>
        <w:rPr>
          <w:lang w:val="en-NZ"/>
        </w:rPr>
      </w:pPr>
      <w:r w:rsidRPr="00530D7C">
        <w:rPr>
          <w:lang w:val="en-NZ"/>
        </w:rPr>
        <w:t>Insights MSD</w:t>
      </w:r>
      <w:r w:rsidR="00127B53">
        <w:rPr>
          <w:lang w:val="en-NZ"/>
        </w:rPr>
        <w:t xml:space="preserve">, Ministry of Social Development, </w:t>
      </w:r>
      <w:r w:rsidRPr="00530D7C">
        <w:rPr>
          <w:lang w:val="en-NZ"/>
        </w:rPr>
        <w:t xml:space="preserve">produced all summary analyses in this report using data </w:t>
      </w:r>
      <w:r>
        <w:rPr>
          <w:lang w:val="en-NZ"/>
        </w:rPr>
        <w:t xml:space="preserve">sourced </w:t>
      </w:r>
      <w:r w:rsidRPr="00530D7C">
        <w:rPr>
          <w:lang w:val="en-NZ"/>
        </w:rPr>
        <w:t>from New Zealand Police (</w:t>
      </w:r>
      <w:r w:rsidR="008621FD">
        <w:rPr>
          <w:lang w:val="en-NZ"/>
        </w:rPr>
        <w:t>Police)</w:t>
      </w:r>
      <w:r w:rsidRPr="00530D7C">
        <w:rPr>
          <w:lang w:val="en-NZ"/>
        </w:rPr>
        <w:t xml:space="preserve"> and </w:t>
      </w:r>
      <w:r w:rsidRPr="00530D7C">
        <w:t>C</w:t>
      </w:r>
      <w:r>
        <w:t xml:space="preserve">hild, </w:t>
      </w:r>
      <w:r w:rsidRPr="00530D7C">
        <w:t>Y</w:t>
      </w:r>
      <w:r>
        <w:t xml:space="preserve">outh and </w:t>
      </w:r>
      <w:r w:rsidRPr="00530D7C">
        <w:t>F</w:t>
      </w:r>
      <w:r>
        <w:t>amily.</w:t>
      </w:r>
    </w:p>
    <w:p w:rsidR="00706A3C" w:rsidRDefault="00090E10" w:rsidP="00706A3C">
      <w:pPr>
        <w:rPr>
          <w:lang w:val="en-NZ"/>
        </w:rPr>
      </w:pPr>
      <w:r>
        <w:rPr>
          <w:lang w:val="en-NZ"/>
        </w:rPr>
        <w:t xml:space="preserve">Only </w:t>
      </w:r>
      <w:r w:rsidR="00706A3C">
        <w:rPr>
          <w:lang w:val="en-NZ"/>
        </w:rPr>
        <w:t xml:space="preserve">ITC and court-ordered FGCs recorded as </w:t>
      </w:r>
      <w:r>
        <w:rPr>
          <w:lang w:val="en-NZ"/>
        </w:rPr>
        <w:t>‘</w:t>
      </w:r>
      <w:r w:rsidR="00706A3C">
        <w:rPr>
          <w:lang w:val="en-NZ"/>
        </w:rPr>
        <w:t>new</w:t>
      </w:r>
      <w:r>
        <w:rPr>
          <w:lang w:val="en-NZ"/>
        </w:rPr>
        <w:t>’</w:t>
      </w:r>
      <w:r w:rsidR="00706A3C">
        <w:rPr>
          <w:lang w:val="en-NZ"/>
        </w:rPr>
        <w:t xml:space="preserve"> in CYRAS</w:t>
      </w:r>
      <w:r w:rsidR="00706A3C">
        <w:rPr>
          <w:rStyle w:val="FootnoteReference"/>
        </w:rPr>
        <w:footnoteReference w:id="2"/>
      </w:r>
      <w:r w:rsidR="00706A3C">
        <w:rPr>
          <w:lang w:val="en-NZ"/>
        </w:rPr>
        <w:t xml:space="preserve"> were included in the analysis. This excludes reconvened FGCs, and FGCs to review whether plans were completed. If a person had more than one </w:t>
      </w:r>
      <w:r w:rsidR="00157695">
        <w:rPr>
          <w:lang w:val="en-NZ"/>
        </w:rPr>
        <w:t xml:space="preserve">new </w:t>
      </w:r>
      <w:r w:rsidR="00706A3C">
        <w:rPr>
          <w:lang w:val="en-NZ"/>
        </w:rPr>
        <w:t xml:space="preserve">FGC held within a calendar year, only the first FGC in that year was included in the analysis. </w:t>
      </w:r>
      <w:r w:rsidR="001A0EBF">
        <w:rPr>
          <w:lang w:val="en-NZ"/>
        </w:rPr>
        <w:t>Just under</w:t>
      </w:r>
      <w:r w:rsidR="00706A3C">
        <w:rPr>
          <w:lang w:val="en-NZ"/>
        </w:rPr>
        <w:t xml:space="preserve"> </w:t>
      </w:r>
      <w:r w:rsidR="00706A3C" w:rsidRPr="001A0EBF">
        <w:rPr>
          <w:lang w:val="en-NZ"/>
        </w:rPr>
        <w:t>1,000 individuals</w:t>
      </w:r>
      <w:r w:rsidR="00706A3C">
        <w:rPr>
          <w:lang w:val="en-NZ"/>
        </w:rPr>
        <w:t xml:space="preserve"> had an FGC in both 2011 and 2012, so they appear twice in the combined 2011 and 2012 analysis.</w:t>
      </w:r>
    </w:p>
    <w:p w:rsidR="00706A3C" w:rsidRPr="00214096" w:rsidRDefault="00090E10" w:rsidP="00706A3C">
      <w:pPr>
        <w:pStyle w:val="Bullet1"/>
        <w:numPr>
          <w:ilvl w:val="0"/>
          <w:numId w:val="0"/>
        </w:numPr>
      </w:pPr>
      <w:r>
        <w:t>The</w:t>
      </w:r>
      <w:r w:rsidR="00706A3C">
        <w:t xml:space="preserve"> court-ordered FGCs </w:t>
      </w:r>
      <w:r>
        <w:t>a</w:t>
      </w:r>
      <w:r w:rsidR="00706A3C">
        <w:t>nalys</w:t>
      </w:r>
      <w:r>
        <w:t xml:space="preserve">ed did not include </w:t>
      </w:r>
      <w:r w:rsidR="00706A3C">
        <w:t xml:space="preserve">those convened under </w:t>
      </w:r>
      <w:r w:rsidR="00706A3C" w:rsidRPr="00F16C62">
        <w:t>s247</w:t>
      </w:r>
      <w:r w:rsidR="00706A3C">
        <w:t>(</w:t>
      </w:r>
      <w:r w:rsidR="00706A3C" w:rsidRPr="00F16C62">
        <w:t>c</w:t>
      </w:r>
      <w:r w:rsidR="00706A3C">
        <w:t>) of the CYP&amp;F Act to consider the remand status of the young person.</w:t>
      </w:r>
    </w:p>
    <w:p w:rsidR="00706A3C" w:rsidRDefault="00706A3C" w:rsidP="00706A3C">
      <w:pPr>
        <w:rPr>
          <w:lang w:val="en-NZ"/>
        </w:rPr>
      </w:pPr>
      <w:r w:rsidRPr="00530D7C">
        <w:rPr>
          <w:lang w:val="en-NZ"/>
        </w:rPr>
        <w:t xml:space="preserve">The date each FGC was held was the reference point for all analyses. Patterns of offending over the 12 months after the FGCs were held were compared with those in the 12 months before the FGCs. </w:t>
      </w:r>
    </w:p>
    <w:p w:rsidR="00706A3C" w:rsidRPr="00530D7C" w:rsidRDefault="00706A3C" w:rsidP="00706A3C">
      <w:pPr>
        <w:rPr>
          <w:lang w:val="en-NZ"/>
        </w:rPr>
      </w:pPr>
      <w:r w:rsidRPr="00530D7C">
        <w:rPr>
          <w:lang w:val="en-NZ"/>
        </w:rPr>
        <w:t xml:space="preserve">Offending patterns were measured using </w:t>
      </w:r>
      <w:r w:rsidR="00CB1ACF">
        <w:rPr>
          <w:lang w:val="en-NZ"/>
        </w:rPr>
        <w:t>‘</w:t>
      </w:r>
      <w:r w:rsidRPr="00530D7C">
        <w:rPr>
          <w:lang w:val="en-NZ"/>
        </w:rPr>
        <w:t>offence occurrence</w:t>
      </w:r>
      <w:r w:rsidR="00CB1ACF">
        <w:rPr>
          <w:lang w:val="en-NZ"/>
        </w:rPr>
        <w:t>’</w:t>
      </w:r>
      <w:r w:rsidRPr="00530D7C">
        <w:rPr>
          <w:lang w:val="en-NZ"/>
        </w:rPr>
        <w:t xml:space="preserve"> data from Police. Further details on this data and how measures were calculated can be found in Appendix A.</w:t>
      </w:r>
    </w:p>
    <w:p w:rsidR="00706A3C" w:rsidRPr="00530D7C" w:rsidRDefault="00706A3C" w:rsidP="00706A3C">
      <w:r w:rsidRPr="00530D7C">
        <w:t xml:space="preserve">The types of offences committed by </w:t>
      </w:r>
      <w:r>
        <w:t>young</w:t>
      </w:r>
      <w:r w:rsidRPr="00530D7C">
        <w:t xml:space="preserve"> offenders were </w:t>
      </w:r>
      <w:proofErr w:type="spellStart"/>
      <w:r w:rsidRPr="00530D7C">
        <w:t>categorised</w:t>
      </w:r>
      <w:proofErr w:type="spellEnd"/>
      <w:r w:rsidRPr="00530D7C">
        <w:t xml:space="preserve"> according to the offence divisions of the Australian and New Zealand Standard Offence Classification (ANZSOC), 2011. Examples of the more detailed types of offences committed by young people within each of the offence divisions can be found in Appendix B.</w:t>
      </w:r>
    </w:p>
    <w:p w:rsidR="00706A3C" w:rsidRPr="00260E56" w:rsidRDefault="00706A3C" w:rsidP="00706A3C">
      <w:r w:rsidRPr="00530D7C">
        <w:t xml:space="preserve">Changes in the seriousness of offending were examined using the Justice Sector Seriousness Scale produced by the Ministry of Justice. See Appendix A </w:t>
      </w:r>
      <w:r w:rsidRPr="00260E56">
        <w:t>for further details.</w:t>
      </w:r>
    </w:p>
    <w:p w:rsidR="00706A3C" w:rsidRPr="00260E56" w:rsidRDefault="00706A3C" w:rsidP="00706A3C">
      <w:pPr>
        <w:pStyle w:val="Heading3"/>
      </w:pPr>
      <w:r w:rsidRPr="00260E56">
        <w:t>Cautionary notes about the data</w:t>
      </w:r>
    </w:p>
    <w:p w:rsidR="00706A3C" w:rsidRDefault="00706A3C" w:rsidP="00706A3C">
      <w:pPr>
        <w:rPr>
          <w:lang w:val="en-NZ"/>
        </w:rPr>
      </w:pPr>
      <w:r>
        <w:rPr>
          <w:lang w:val="en-NZ"/>
        </w:rPr>
        <w:t xml:space="preserve">Not all </w:t>
      </w:r>
      <w:r w:rsidR="00F66B7A">
        <w:rPr>
          <w:lang w:val="en-NZ"/>
        </w:rPr>
        <w:t xml:space="preserve">youth justice </w:t>
      </w:r>
      <w:r>
        <w:rPr>
          <w:lang w:val="en-NZ"/>
        </w:rPr>
        <w:t xml:space="preserve">FGCs result in a diversionary plan being put in place for the </w:t>
      </w:r>
      <w:r w:rsidR="00F66B7A">
        <w:rPr>
          <w:lang w:val="en-NZ"/>
        </w:rPr>
        <w:t xml:space="preserve">child or </w:t>
      </w:r>
      <w:r>
        <w:rPr>
          <w:lang w:val="en-NZ"/>
        </w:rPr>
        <w:t>young person to complete. Prosecution is the likely result if the young person denies the offence</w:t>
      </w:r>
      <w:r w:rsidR="00F66B7A">
        <w:rPr>
          <w:lang w:val="en-NZ"/>
        </w:rPr>
        <w:t>,</w:t>
      </w:r>
      <w:r>
        <w:rPr>
          <w:lang w:val="en-NZ"/>
        </w:rPr>
        <w:t xml:space="preserve"> or if agreement cannot be reached between parties at the FGC.</w:t>
      </w:r>
    </w:p>
    <w:p w:rsidR="00706A3C" w:rsidRDefault="00706A3C" w:rsidP="00706A3C">
      <w:pPr>
        <w:rPr>
          <w:lang w:val="en-NZ"/>
        </w:rPr>
      </w:pPr>
      <w:r w:rsidRPr="00260E56">
        <w:rPr>
          <w:lang w:val="en-NZ"/>
        </w:rPr>
        <w:t xml:space="preserve">An offence </w:t>
      </w:r>
      <w:r>
        <w:rPr>
          <w:lang w:val="en-NZ"/>
        </w:rPr>
        <w:t xml:space="preserve">occurrence </w:t>
      </w:r>
      <w:r w:rsidRPr="00260E56">
        <w:rPr>
          <w:lang w:val="en-NZ"/>
        </w:rPr>
        <w:t xml:space="preserve">does not necessarily result in a charge being laid in court or imply that the offence has been proven in any </w:t>
      </w:r>
      <w:r>
        <w:rPr>
          <w:lang w:val="en-NZ"/>
        </w:rPr>
        <w:t xml:space="preserve">formal </w:t>
      </w:r>
      <w:r w:rsidRPr="00260E56">
        <w:rPr>
          <w:lang w:val="en-NZ"/>
        </w:rPr>
        <w:t>way</w:t>
      </w:r>
      <w:r>
        <w:rPr>
          <w:lang w:val="en-NZ"/>
        </w:rPr>
        <w:t>, although proceeding by diversionary approaches such as Police Alternative Action first requires an admission of guilt by the young person</w:t>
      </w:r>
      <w:r w:rsidRPr="00260E56">
        <w:rPr>
          <w:lang w:val="en-NZ"/>
        </w:rPr>
        <w:t xml:space="preserve">. However, offence occurrences provide a consistent measure of offending patterns for </w:t>
      </w:r>
      <w:r>
        <w:rPr>
          <w:lang w:val="en-NZ"/>
        </w:rPr>
        <w:t>youth</w:t>
      </w:r>
      <w:r w:rsidRPr="00260E56">
        <w:rPr>
          <w:lang w:val="en-NZ"/>
        </w:rPr>
        <w:t xml:space="preserve"> who are </w:t>
      </w:r>
      <w:r>
        <w:rPr>
          <w:lang w:val="en-NZ"/>
        </w:rPr>
        <w:t>often</w:t>
      </w:r>
      <w:r w:rsidRPr="00260E56">
        <w:rPr>
          <w:lang w:val="en-NZ"/>
        </w:rPr>
        <w:t xml:space="preserve"> diverted from prosecution.</w:t>
      </w:r>
      <w:r w:rsidRPr="00060CC2">
        <w:rPr>
          <w:vertAlign w:val="superscript"/>
          <w:lang w:val="en-NZ"/>
        </w:rPr>
        <w:footnoteReference w:id="3"/>
      </w:r>
      <w:r w:rsidRPr="00260E56">
        <w:rPr>
          <w:lang w:val="en-NZ"/>
        </w:rPr>
        <w:t xml:space="preserve"> Given the </w:t>
      </w:r>
      <w:r>
        <w:rPr>
          <w:lang w:val="en-NZ"/>
        </w:rPr>
        <w:t>type of</w:t>
      </w:r>
      <w:r w:rsidRPr="00260E56">
        <w:rPr>
          <w:lang w:val="en-NZ"/>
        </w:rPr>
        <w:t xml:space="preserve"> data used, the reoffending rates presented in this report are likely to be higher than figures reported elsewhere </w:t>
      </w:r>
      <w:r>
        <w:rPr>
          <w:lang w:val="en-NZ"/>
        </w:rPr>
        <w:t>using</w:t>
      </w:r>
      <w:r w:rsidRPr="00260E56">
        <w:rPr>
          <w:lang w:val="en-NZ"/>
        </w:rPr>
        <w:t xml:space="preserve"> other recidivism measures such as repeat FGCs, arrests or prosecutions.</w:t>
      </w:r>
    </w:p>
    <w:p w:rsidR="00706A3C" w:rsidRPr="00770A9A" w:rsidRDefault="00706A3C" w:rsidP="00706A3C">
      <w:bookmarkStart w:id="14" w:name="_Toc403136508"/>
      <w:r>
        <w:br w:type="page"/>
      </w:r>
    </w:p>
    <w:p w:rsidR="00706A3C" w:rsidRPr="005A54E0" w:rsidRDefault="00706A3C" w:rsidP="00706A3C">
      <w:pPr>
        <w:pStyle w:val="Heading1"/>
        <w:spacing w:before="0"/>
        <w:ind w:right="-45"/>
      </w:pPr>
      <w:bookmarkStart w:id="15" w:name="_Toc450138683"/>
      <w:r>
        <w:lastRenderedPageBreak/>
        <w:t xml:space="preserve">Part 3 – </w:t>
      </w:r>
      <w:r w:rsidRPr="005A54E0">
        <w:t>Profile of FGC</w:t>
      </w:r>
      <w:r>
        <w:t xml:space="preserve"> participants</w:t>
      </w:r>
      <w:bookmarkEnd w:id="14"/>
      <w:bookmarkEnd w:id="15"/>
    </w:p>
    <w:p w:rsidR="00706A3C" w:rsidRDefault="00706A3C" w:rsidP="00706A3C">
      <w:pPr>
        <w:rPr>
          <w:lang w:val="en-NZ"/>
        </w:rPr>
      </w:pPr>
      <w:r>
        <w:rPr>
          <w:lang w:val="en-NZ"/>
        </w:rPr>
        <w:t>Overall, fewer FGCs were held in 2012 than 2011 (</w:t>
      </w:r>
      <w:r w:rsidRPr="005A54E0">
        <w:rPr>
          <w:lang w:val="en-NZ"/>
        </w:rPr>
        <w:t xml:space="preserve">Table </w:t>
      </w:r>
      <w:r>
        <w:rPr>
          <w:lang w:val="en-NZ"/>
        </w:rPr>
        <w:t xml:space="preserve">1). </w:t>
      </w:r>
      <w:r w:rsidR="008621FD">
        <w:rPr>
          <w:lang w:val="en-NZ"/>
        </w:rPr>
        <w:t>This is in line with a reduction in youth offending seen over the last five years.</w:t>
      </w:r>
    </w:p>
    <w:p w:rsidR="00706A3C" w:rsidRPr="00E24DDE" w:rsidRDefault="00706A3C" w:rsidP="00706A3C">
      <w:pPr>
        <w:pStyle w:val="Caption"/>
      </w:pPr>
      <w:r w:rsidRPr="00E24DDE">
        <w:t xml:space="preserve">Table </w:t>
      </w:r>
      <w:r>
        <w:t>1</w:t>
      </w:r>
      <w:r w:rsidRPr="00E24DDE">
        <w:t>:</w:t>
      </w:r>
      <w:r>
        <w:tab/>
      </w:r>
      <w:r w:rsidRPr="00E24DDE">
        <w:t>Characteristics of young offenders attending FGCs</w:t>
      </w:r>
      <w:r>
        <w:t xml:space="preserve"> in 2011 and 2012</w:t>
      </w:r>
      <w:r w:rsidRPr="00E24DDE">
        <w:t>, by FGC type</w:t>
      </w:r>
    </w:p>
    <w:tbl>
      <w:tblPr>
        <w:tblStyle w:val="MSD1"/>
        <w:tblW w:w="4813" w:type="pct"/>
        <w:tblLayout w:type="fixed"/>
        <w:tblLook w:val="00A0" w:firstRow="1" w:lastRow="0" w:firstColumn="1" w:lastColumn="0" w:noHBand="0" w:noVBand="0"/>
      </w:tblPr>
      <w:tblGrid>
        <w:gridCol w:w="2920"/>
        <w:gridCol w:w="1493"/>
        <w:gridCol w:w="1495"/>
        <w:gridCol w:w="1493"/>
        <w:gridCol w:w="1495"/>
      </w:tblGrid>
      <w:tr w:rsidR="008621FD" w:rsidRPr="009D2266" w:rsidTr="008621FD">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1642" w:type="pct"/>
            <w:noWrap/>
          </w:tcPr>
          <w:p w:rsidR="008621FD" w:rsidRPr="009D2266" w:rsidRDefault="008621FD" w:rsidP="00706A3C">
            <w:pPr>
              <w:spacing w:before="0" w:after="20" w:line="240" w:lineRule="auto"/>
              <w:rPr>
                <w:sz w:val="20"/>
                <w:lang w:val="en-AU" w:eastAsia="en-AU"/>
              </w:rPr>
            </w:pPr>
          </w:p>
        </w:tc>
        <w:tc>
          <w:tcPr>
            <w:cnfStyle w:val="000010000000" w:firstRow="0" w:lastRow="0" w:firstColumn="0" w:lastColumn="0" w:oddVBand="1" w:evenVBand="0" w:oddHBand="0" w:evenHBand="0" w:firstRowFirstColumn="0" w:firstRowLastColumn="0" w:lastRowFirstColumn="0" w:lastRowLastColumn="0"/>
            <w:tcW w:w="1679" w:type="pct"/>
            <w:gridSpan w:val="2"/>
          </w:tcPr>
          <w:p w:rsidR="008621FD" w:rsidRPr="009D2266" w:rsidRDefault="008621FD" w:rsidP="00706A3C">
            <w:pPr>
              <w:spacing w:before="0" w:after="20" w:line="240" w:lineRule="auto"/>
              <w:rPr>
                <w:sz w:val="20"/>
                <w:lang w:val="en-AU" w:eastAsia="en-AU"/>
              </w:rPr>
            </w:pPr>
            <w:r w:rsidRPr="009D2266">
              <w:rPr>
                <w:sz w:val="20"/>
                <w:lang w:val="en-AU" w:eastAsia="en-AU"/>
              </w:rPr>
              <w:t>Intention-to-charge</w:t>
            </w:r>
          </w:p>
        </w:tc>
        <w:tc>
          <w:tcPr>
            <w:cnfStyle w:val="000001000000" w:firstRow="0" w:lastRow="0" w:firstColumn="0" w:lastColumn="0" w:oddVBand="0" w:evenVBand="1" w:oddHBand="0" w:evenHBand="0" w:firstRowFirstColumn="0" w:firstRowLastColumn="0" w:lastRowFirstColumn="0" w:lastRowLastColumn="0"/>
            <w:tcW w:w="1679" w:type="pct"/>
            <w:gridSpan w:val="2"/>
          </w:tcPr>
          <w:p w:rsidR="008621FD" w:rsidRPr="009D2266" w:rsidRDefault="008621FD" w:rsidP="00706A3C">
            <w:pPr>
              <w:spacing w:before="0" w:after="20" w:line="240" w:lineRule="auto"/>
              <w:ind w:right="-29"/>
              <w:rPr>
                <w:sz w:val="20"/>
                <w:lang w:val="en-AU" w:eastAsia="en-AU"/>
              </w:rPr>
            </w:pPr>
            <w:r w:rsidRPr="009D2266">
              <w:rPr>
                <w:sz w:val="20"/>
                <w:lang w:val="en-AU" w:eastAsia="en-AU"/>
              </w:rPr>
              <w:t>Court</w:t>
            </w:r>
            <w:r>
              <w:rPr>
                <w:sz w:val="20"/>
                <w:lang w:val="en-AU" w:eastAsia="en-AU"/>
              </w:rPr>
              <w:t>-ordered</w:t>
            </w:r>
          </w:p>
        </w:tc>
      </w:tr>
      <w:tr w:rsidR="008621FD" w:rsidRPr="009D2266" w:rsidTr="008621FD">
        <w:tc>
          <w:tcPr>
            <w:cnfStyle w:val="001000000000" w:firstRow="0" w:lastRow="0" w:firstColumn="1" w:lastColumn="0" w:oddVBand="0" w:evenVBand="0" w:oddHBand="0" w:evenHBand="0" w:firstRowFirstColumn="0" w:firstRowLastColumn="0" w:lastRowFirstColumn="0" w:lastRowLastColumn="0"/>
            <w:tcW w:w="1642" w:type="pct"/>
            <w:tcBorders>
              <w:bottom w:val="nil"/>
              <w:right w:val="single" w:sz="4" w:space="0" w:color="FFFFFF" w:themeColor="background1"/>
            </w:tcBorders>
            <w:shd w:val="clear" w:color="auto" w:fill="121F6B"/>
            <w:noWrap/>
          </w:tcPr>
          <w:p w:rsidR="008621FD" w:rsidRPr="009D2266" w:rsidRDefault="008621FD" w:rsidP="00706A3C">
            <w:pPr>
              <w:spacing w:before="0" w:after="0" w:line="240" w:lineRule="auto"/>
              <w:rPr>
                <w:b/>
                <w:color w:val="FFFFFF"/>
                <w:lang w:val="en-AU" w:eastAsia="en-AU"/>
              </w:rPr>
            </w:pPr>
          </w:p>
        </w:tc>
        <w:tc>
          <w:tcPr>
            <w:cnfStyle w:val="000010000000" w:firstRow="0" w:lastRow="0" w:firstColumn="0" w:lastColumn="0" w:oddVBand="1" w:evenVBand="0" w:oddHBand="0" w:evenHBand="0" w:firstRowFirstColumn="0" w:firstRowLastColumn="0" w:lastRowFirstColumn="0" w:lastRowLastColumn="0"/>
            <w:tcW w:w="839" w:type="pct"/>
            <w:tcBorders>
              <w:left w:val="single" w:sz="4" w:space="0" w:color="FFFFFF" w:themeColor="background1"/>
              <w:bottom w:val="nil"/>
              <w:right w:val="nil"/>
            </w:tcBorders>
            <w:shd w:val="clear" w:color="auto" w:fill="121F6B"/>
          </w:tcPr>
          <w:p w:rsidR="008621FD" w:rsidRPr="009D2266" w:rsidRDefault="008621FD" w:rsidP="00706A3C">
            <w:pPr>
              <w:spacing w:before="0" w:after="0" w:line="240" w:lineRule="auto"/>
              <w:rPr>
                <w:color w:val="FFFFFF"/>
                <w:sz w:val="20"/>
                <w:lang w:val="en-AU" w:eastAsia="en-AU"/>
              </w:rPr>
            </w:pPr>
            <w:r w:rsidRPr="009D2266">
              <w:rPr>
                <w:color w:val="FFFFFF"/>
                <w:sz w:val="20"/>
                <w:lang w:val="en-AU" w:eastAsia="en-AU"/>
              </w:rPr>
              <w:t>2011</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nil"/>
              <w:right w:val="single" w:sz="4" w:space="0" w:color="FFFFFF" w:themeColor="background1"/>
            </w:tcBorders>
            <w:shd w:val="clear" w:color="auto" w:fill="121F6B"/>
          </w:tcPr>
          <w:p w:rsidR="008621FD" w:rsidRPr="009D2266" w:rsidRDefault="008621FD" w:rsidP="00706A3C">
            <w:pPr>
              <w:spacing w:before="0" w:after="0" w:line="240" w:lineRule="auto"/>
              <w:rPr>
                <w:color w:val="FFFFFF"/>
                <w:sz w:val="20"/>
                <w:lang w:val="en-AU" w:eastAsia="en-AU"/>
              </w:rPr>
            </w:pPr>
            <w:r w:rsidRPr="009D2266">
              <w:rPr>
                <w:color w:val="FFFFFF"/>
                <w:sz w:val="20"/>
                <w:lang w:val="en-AU" w:eastAsia="en-AU"/>
              </w:rPr>
              <w:t>2012</w:t>
            </w:r>
          </w:p>
        </w:tc>
        <w:tc>
          <w:tcPr>
            <w:cnfStyle w:val="000010000000" w:firstRow="0" w:lastRow="0" w:firstColumn="0" w:lastColumn="0" w:oddVBand="1" w:evenVBand="0" w:oddHBand="0" w:evenHBand="0" w:firstRowFirstColumn="0" w:firstRowLastColumn="0" w:lastRowFirstColumn="0" w:lastRowLastColumn="0"/>
            <w:tcW w:w="839" w:type="pct"/>
            <w:tcBorders>
              <w:left w:val="single" w:sz="4" w:space="0" w:color="FFFFFF" w:themeColor="background1"/>
              <w:bottom w:val="nil"/>
              <w:right w:val="nil"/>
            </w:tcBorders>
            <w:shd w:val="clear" w:color="auto" w:fill="121F6B"/>
          </w:tcPr>
          <w:p w:rsidR="008621FD" w:rsidRPr="009D2266" w:rsidRDefault="008621FD" w:rsidP="00706A3C">
            <w:pPr>
              <w:spacing w:before="0" w:after="0" w:line="240" w:lineRule="auto"/>
              <w:rPr>
                <w:color w:val="FFFFFF"/>
                <w:sz w:val="20"/>
                <w:lang w:val="en-AU" w:eastAsia="en-AU"/>
              </w:rPr>
            </w:pPr>
            <w:r w:rsidRPr="009D2266">
              <w:rPr>
                <w:color w:val="FFFFFF"/>
                <w:sz w:val="20"/>
                <w:lang w:val="en-AU" w:eastAsia="en-AU"/>
              </w:rPr>
              <w:t>2011</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nil"/>
              <w:right w:val="single" w:sz="8" w:space="0" w:color="FFFFFF" w:themeColor="background1"/>
            </w:tcBorders>
            <w:shd w:val="clear" w:color="auto" w:fill="121F6B"/>
          </w:tcPr>
          <w:p w:rsidR="008621FD" w:rsidRPr="009D2266" w:rsidRDefault="008621FD" w:rsidP="00706A3C">
            <w:pPr>
              <w:spacing w:before="0" w:after="0" w:line="240" w:lineRule="auto"/>
              <w:rPr>
                <w:color w:val="FFFFFF"/>
                <w:sz w:val="20"/>
                <w:lang w:val="en-AU" w:eastAsia="en-AU"/>
              </w:rPr>
            </w:pPr>
            <w:r w:rsidRPr="009D2266">
              <w:rPr>
                <w:color w:val="FFFFFF"/>
                <w:sz w:val="20"/>
                <w:lang w:val="en-AU" w:eastAsia="en-AU"/>
              </w:rPr>
              <w:t>2012</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Borders>
              <w:top w:val="nil"/>
            </w:tcBorders>
            <w:noWrap/>
          </w:tcPr>
          <w:p w:rsidR="008621FD" w:rsidRPr="00E05066" w:rsidRDefault="008621FD" w:rsidP="00706A3C">
            <w:pPr>
              <w:spacing w:before="0" w:after="0" w:line="240" w:lineRule="auto"/>
            </w:pPr>
            <w:r w:rsidRPr="00E05066">
              <w:t>Number of FGCs</w:t>
            </w:r>
            <w:r>
              <w:t xml:space="preserve"> held</w:t>
            </w:r>
            <w:r w:rsidRPr="00915084">
              <w:rPr>
                <w:vertAlign w:val="superscript"/>
              </w:rPr>
              <w:t>1</w:t>
            </w:r>
          </w:p>
        </w:tc>
        <w:tc>
          <w:tcPr>
            <w:cnfStyle w:val="000010000000" w:firstRow="0" w:lastRow="0" w:firstColumn="0" w:lastColumn="0" w:oddVBand="1" w:evenVBand="0" w:oddHBand="0" w:evenHBand="0" w:firstRowFirstColumn="0" w:firstRowLastColumn="0" w:lastRowFirstColumn="0" w:lastRowLastColumn="0"/>
            <w:tcW w:w="839" w:type="pct"/>
            <w:tcBorders>
              <w:top w:val="nil"/>
              <w:right w:val="nil"/>
            </w:tcBorders>
          </w:tcPr>
          <w:p w:rsidR="008621FD" w:rsidRPr="00E05066" w:rsidRDefault="008621FD" w:rsidP="00706A3C">
            <w:pPr>
              <w:spacing w:before="0" w:after="0" w:line="240" w:lineRule="auto"/>
              <w:rPr>
                <w:sz w:val="20"/>
              </w:rPr>
            </w:pPr>
            <w:r w:rsidRPr="00E05066">
              <w:rPr>
                <w:sz w:val="20"/>
              </w:rPr>
              <w:t>2,086</w:t>
            </w:r>
          </w:p>
        </w:tc>
        <w:tc>
          <w:tcPr>
            <w:cnfStyle w:val="000001000000" w:firstRow="0" w:lastRow="0" w:firstColumn="0" w:lastColumn="0" w:oddVBand="0" w:evenVBand="1" w:oddHBand="0" w:evenHBand="0" w:firstRowFirstColumn="0" w:firstRowLastColumn="0" w:lastRowFirstColumn="0" w:lastRowLastColumn="0"/>
            <w:tcW w:w="840" w:type="pct"/>
            <w:tcBorders>
              <w:top w:val="nil"/>
              <w:left w:val="nil"/>
            </w:tcBorders>
          </w:tcPr>
          <w:p w:rsidR="008621FD" w:rsidRPr="00E05066" w:rsidRDefault="008621FD" w:rsidP="00706A3C">
            <w:pPr>
              <w:spacing w:before="0" w:after="0" w:line="240" w:lineRule="auto"/>
              <w:rPr>
                <w:sz w:val="20"/>
              </w:rPr>
            </w:pPr>
            <w:r w:rsidRPr="00E05066">
              <w:rPr>
                <w:sz w:val="20"/>
              </w:rPr>
              <w:t>1,85</w:t>
            </w:r>
            <w:r>
              <w:rPr>
                <w:sz w:val="20"/>
              </w:rPr>
              <w:t>0</w:t>
            </w:r>
          </w:p>
        </w:tc>
        <w:tc>
          <w:tcPr>
            <w:cnfStyle w:val="000010000000" w:firstRow="0" w:lastRow="0" w:firstColumn="0" w:lastColumn="0" w:oddVBand="1" w:evenVBand="0" w:oddHBand="0" w:evenHBand="0" w:firstRowFirstColumn="0" w:firstRowLastColumn="0" w:lastRowFirstColumn="0" w:lastRowLastColumn="0"/>
            <w:tcW w:w="839" w:type="pct"/>
            <w:tcBorders>
              <w:top w:val="nil"/>
              <w:right w:val="nil"/>
            </w:tcBorders>
          </w:tcPr>
          <w:p w:rsidR="008621FD" w:rsidRPr="00E05066" w:rsidRDefault="008621FD" w:rsidP="00706A3C">
            <w:pPr>
              <w:spacing w:before="0" w:after="0" w:line="240" w:lineRule="auto"/>
              <w:rPr>
                <w:sz w:val="20"/>
              </w:rPr>
            </w:pPr>
            <w:r w:rsidRPr="00E05066">
              <w:rPr>
                <w:sz w:val="20"/>
              </w:rPr>
              <w:t>1,54</w:t>
            </w:r>
            <w:r>
              <w:rPr>
                <w:sz w:val="20"/>
              </w:rPr>
              <w:t>4</w:t>
            </w:r>
          </w:p>
        </w:tc>
        <w:tc>
          <w:tcPr>
            <w:cnfStyle w:val="000001000000" w:firstRow="0" w:lastRow="0" w:firstColumn="0" w:lastColumn="0" w:oddVBand="0" w:evenVBand="1" w:oddHBand="0" w:evenHBand="0" w:firstRowFirstColumn="0" w:firstRowLastColumn="0" w:lastRowFirstColumn="0" w:lastRowLastColumn="0"/>
            <w:tcW w:w="840" w:type="pct"/>
            <w:tcBorders>
              <w:top w:val="nil"/>
              <w:left w:val="nil"/>
            </w:tcBorders>
          </w:tcPr>
          <w:p w:rsidR="008621FD" w:rsidRPr="00E05066" w:rsidRDefault="008621FD" w:rsidP="00706A3C">
            <w:pPr>
              <w:spacing w:before="0" w:after="0" w:line="240" w:lineRule="auto"/>
              <w:rPr>
                <w:sz w:val="20"/>
              </w:rPr>
            </w:pPr>
            <w:r w:rsidRPr="00E05066">
              <w:rPr>
                <w:sz w:val="20"/>
              </w:rPr>
              <w:t>1,2</w:t>
            </w:r>
            <w:r>
              <w:rPr>
                <w:sz w:val="20"/>
              </w:rPr>
              <w:t>84</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tcBorders>
              <w:top w:val="single" w:sz="4" w:space="0" w:color="121F6B"/>
            </w:tcBorders>
            <w:noWrap/>
          </w:tcPr>
          <w:p w:rsidR="008621FD" w:rsidRPr="00E05066" w:rsidRDefault="008621FD" w:rsidP="00706A3C">
            <w:pPr>
              <w:spacing w:before="0" w:after="20" w:line="240" w:lineRule="auto"/>
              <w:rPr>
                <w:b/>
              </w:rPr>
            </w:pPr>
            <w:r w:rsidRPr="00E05066">
              <w:rPr>
                <w:b/>
              </w:rPr>
              <w:t>Gender</w:t>
            </w: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rPr>
            </w:pP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highlight w:val="yellow"/>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highlight w:val="yellow"/>
              </w:rPr>
            </w:pP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Male</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77%</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78%</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82%</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82%</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tcBorders>
              <w:bottom w:val="single" w:sz="4" w:space="0" w:color="121F6B"/>
            </w:tcBorders>
            <w:noWrap/>
          </w:tcPr>
          <w:p w:rsidR="008621FD" w:rsidRPr="00E05066" w:rsidRDefault="008621FD" w:rsidP="00706A3C">
            <w:pPr>
              <w:spacing w:before="0" w:after="0" w:line="240" w:lineRule="auto"/>
            </w:pPr>
            <w:r w:rsidRPr="00E05066">
              <w:t>Female</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23%</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22%</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18%</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18%</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Borders>
              <w:top w:val="single" w:sz="4" w:space="0" w:color="121F6B"/>
            </w:tcBorders>
            <w:noWrap/>
          </w:tcPr>
          <w:p w:rsidR="008621FD" w:rsidRPr="00E05066" w:rsidRDefault="008621FD" w:rsidP="00706A3C">
            <w:pPr>
              <w:spacing w:before="0" w:after="20" w:line="240" w:lineRule="auto"/>
              <w:rPr>
                <w:b/>
                <w:color w:val="54534C"/>
              </w:rPr>
            </w:pPr>
            <w:r w:rsidRPr="00E05066">
              <w:rPr>
                <w:b/>
              </w:rPr>
              <w:t>Primary ethnicity</w:t>
            </w:r>
            <w:r w:rsidRPr="005B2CAF">
              <w:rPr>
                <w:vertAlign w:val="superscript"/>
              </w:rPr>
              <w:t>2</w:t>
            </w: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rPr>
            </w:pP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rPr>
            </w:pP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European</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39%</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34%</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31%</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30%</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Māori</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48%</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54%</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53%</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55%</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Pacific people</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10%</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11%</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13%</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13%</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Borders>
              <w:bottom w:val="single" w:sz="4" w:space="0" w:color="121F6B"/>
            </w:tcBorders>
            <w:noWrap/>
          </w:tcPr>
          <w:p w:rsidR="008621FD" w:rsidRPr="00E05066" w:rsidRDefault="008621FD" w:rsidP="00706A3C">
            <w:pPr>
              <w:spacing w:before="0" w:after="0" w:line="240" w:lineRule="auto"/>
            </w:pPr>
            <w:r>
              <w:t>Other</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3%</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2%</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3%</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2%</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tcBorders>
              <w:top w:val="single" w:sz="4" w:space="0" w:color="121F6B"/>
            </w:tcBorders>
            <w:noWrap/>
          </w:tcPr>
          <w:p w:rsidR="008621FD" w:rsidRPr="00E05066" w:rsidRDefault="008621FD" w:rsidP="00706A3C">
            <w:pPr>
              <w:spacing w:before="0" w:after="20" w:line="240" w:lineRule="auto"/>
              <w:rPr>
                <w:b/>
              </w:rPr>
            </w:pPr>
            <w:r w:rsidRPr="00E05066">
              <w:rPr>
                <w:b/>
              </w:rPr>
              <w:t>Age when FGC held</w:t>
            </w: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highlight w:val="yellow"/>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highlight w:val="yellow"/>
              </w:rPr>
            </w:pP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highlight w:val="yellow"/>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highlight w:val="yellow"/>
              </w:rPr>
            </w:pP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12</w:t>
            </w:r>
            <w:r>
              <w:t xml:space="preserve"> or </w:t>
            </w:r>
            <w:r w:rsidRPr="00E05066">
              <w:t>13 years</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1%</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1%</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1%</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1%</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14 years</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21%</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21%</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17%</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18%</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15 years</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29%</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30%</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30%</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32%</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tcBorders>
              <w:bottom w:val="nil"/>
            </w:tcBorders>
            <w:noWrap/>
          </w:tcPr>
          <w:p w:rsidR="008621FD" w:rsidRPr="00E05066" w:rsidRDefault="008621FD" w:rsidP="00706A3C">
            <w:pPr>
              <w:spacing w:before="0" w:after="0" w:line="240" w:lineRule="auto"/>
            </w:pPr>
            <w:r w:rsidRPr="00E05066">
              <w:t>16 years</w:t>
            </w:r>
          </w:p>
        </w:tc>
        <w:tc>
          <w:tcPr>
            <w:cnfStyle w:val="000010000000" w:firstRow="0" w:lastRow="0" w:firstColumn="0" w:lastColumn="0" w:oddVBand="1" w:evenVBand="0" w:oddHBand="0" w:evenHBand="0" w:firstRowFirstColumn="0" w:firstRowLastColumn="0" w:lastRowFirstColumn="0" w:lastRowLastColumn="0"/>
            <w:tcW w:w="839" w:type="pct"/>
            <w:tcBorders>
              <w:bottom w:val="nil"/>
              <w:right w:val="nil"/>
            </w:tcBorders>
          </w:tcPr>
          <w:p w:rsidR="008621FD" w:rsidRPr="00E05066" w:rsidRDefault="008621FD" w:rsidP="00706A3C">
            <w:pPr>
              <w:spacing w:before="0" w:after="0" w:line="240" w:lineRule="auto"/>
              <w:rPr>
                <w:sz w:val="20"/>
              </w:rPr>
            </w:pPr>
            <w:r>
              <w:rPr>
                <w:sz w:val="20"/>
              </w:rPr>
              <w:t>39%</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nil"/>
            </w:tcBorders>
          </w:tcPr>
          <w:p w:rsidR="008621FD" w:rsidRPr="00E05066" w:rsidRDefault="008621FD" w:rsidP="00706A3C">
            <w:pPr>
              <w:spacing w:before="0" w:after="0" w:line="240" w:lineRule="auto"/>
              <w:rPr>
                <w:sz w:val="20"/>
              </w:rPr>
            </w:pPr>
            <w:r>
              <w:rPr>
                <w:sz w:val="20"/>
              </w:rPr>
              <w:t>39%</w:t>
            </w:r>
          </w:p>
        </w:tc>
        <w:tc>
          <w:tcPr>
            <w:cnfStyle w:val="000010000000" w:firstRow="0" w:lastRow="0" w:firstColumn="0" w:lastColumn="0" w:oddVBand="1" w:evenVBand="0" w:oddHBand="0" w:evenHBand="0" w:firstRowFirstColumn="0" w:firstRowLastColumn="0" w:lastRowFirstColumn="0" w:lastRowLastColumn="0"/>
            <w:tcW w:w="839" w:type="pct"/>
            <w:tcBorders>
              <w:bottom w:val="nil"/>
              <w:right w:val="nil"/>
            </w:tcBorders>
          </w:tcPr>
          <w:p w:rsidR="008621FD" w:rsidRPr="00E05066" w:rsidRDefault="008621FD" w:rsidP="00706A3C">
            <w:pPr>
              <w:spacing w:before="0" w:after="0" w:line="240" w:lineRule="auto"/>
              <w:rPr>
                <w:sz w:val="20"/>
              </w:rPr>
            </w:pPr>
            <w:r>
              <w:rPr>
                <w:sz w:val="20"/>
              </w:rPr>
              <w:t>41%</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nil"/>
            </w:tcBorders>
          </w:tcPr>
          <w:p w:rsidR="008621FD" w:rsidRPr="00E05066" w:rsidRDefault="008621FD" w:rsidP="00706A3C">
            <w:pPr>
              <w:spacing w:before="0" w:after="0" w:line="240" w:lineRule="auto"/>
              <w:rPr>
                <w:sz w:val="20"/>
              </w:rPr>
            </w:pPr>
            <w:r>
              <w:rPr>
                <w:sz w:val="20"/>
              </w:rPr>
              <w:t>39%</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Borders>
              <w:bottom w:val="single" w:sz="4" w:space="0" w:color="121F6B"/>
            </w:tcBorders>
            <w:noWrap/>
          </w:tcPr>
          <w:p w:rsidR="008621FD" w:rsidRPr="00E05066" w:rsidRDefault="008621FD" w:rsidP="00706A3C">
            <w:pPr>
              <w:spacing w:before="0" w:after="0" w:line="240" w:lineRule="auto"/>
            </w:pPr>
            <w:r w:rsidRPr="00E05066">
              <w:t>17+ years</w:t>
            </w:r>
            <w:r>
              <w:rPr>
                <w:vertAlign w:val="superscript"/>
              </w:rPr>
              <w:t>3</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10%</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10%</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11%</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10%</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tcBorders>
              <w:top w:val="single" w:sz="4" w:space="0" w:color="121F6B"/>
            </w:tcBorders>
            <w:noWrap/>
          </w:tcPr>
          <w:p w:rsidR="008621FD" w:rsidRPr="00E05066" w:rsidRDefault="008621FD" w:rsidP="00706A3C">
            <w:pPr>
              <w:spacing w:before="0" w:after="20" w:line="240" w:lineRule="auto"/>
              <w:rPr>
                <w:b/>
                <w:color w:val="54534C"/>
              </w:rPr>
            </w:pPr>
            <w:r w:rsidRPr="00E05066">
              <w:rPr>
                <w:b/>
              </w:rPr>
              <w:t>Region where FGC held</w:t>
            </w: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highlight w:val="yellow"/>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highlight w:val="yellow"/>
              </w:rPr>
            </w:pPr>
          </w:p>
        </w:tc>
        <w:tc>
          <w:tcPr>
            <w:cnfStyle w:val="000010000000" w:firstRow="0" w:lastRow="0" w:firstColumn="0" w:lastColumn="0" w:oddVBand="1" w:evenVBand="0" w:oddHBand="0" w:evenHBand="0" w:firstRowFirstColumn="0" w:firstRowLastColumn="0" w:lastRowFirstColumn="0" w:lastRowLastColumn="0"/>
            <w:tcW w:w="839" w:type="pct"/>
            <w:tcBorders>
              <w:top w:val="single" w:sz="4" w:space="0" w:color="121F6B"/>
              <w:right w:val="nil"/>
            </w:tcBorders>
          </w:tcPr>
          <w:p w:rsidR="008621FD" w:rsidRPr="00E05066" w:rsidRDefault="008621FD" w:rsidP="00706A3C">
            <w:pPr>
              <w:spacing w:before="0" w:after="20" w:line="240" w:lineRule="auto"/>
              <w:rPr>
                <w:sz w:val="20"/>
                <w:highlight w:val="yellow"/>
              </w:rPr>
            </w:pPr>
          </w:p>
        </w:tc>
        <w:tc>
          <w:tcPr>
            <w:cnfStyle w:val="000001000000" w:firstRow="0" w:lastRow="0" w:firstColumn="0" w:lastColumn="0" w:oddVBand="0" w:evenVBand="1" w:oddHBand="0" w:evenHBand="0" w:firstRowFirstColumn="0" w:firstRowLastColumn="0" w:lastRowFirstColumn="0" w:lastRowLastColumn="0"/>
            <w:tcW w:w="840" w:type="pct"/>
            <w:tcBorders>
              <w:top w:val="single" w:sz="4" w:space="0" w:color="121F6B"/>
              <w:left w:val="nil"/>
            </w:tcBorders>
          </w:tcPr>
          <w:p w:rsidR="008621FD" w:rsidRPr="00E05066" w:rsidRDefault="008621FD" w:rsidP="00706A3C">
            <w:pPr>
              <w:spacing w:before="0" w:after="20" w:line="240" w:lineRule="auto"/>
              <w:rPr>
                <w:sz w:val="20"/>
                <w:highlight w:val="yellow"/>
              </w:rPr>
            </w:pP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 xml:space="preserve">Te Tai </w:t>
            </w:r>
            <w:proofErr w:type="spellStart"/>
            <w:r w:rsidRPr="00E05066">
              <w:t>Tokerau</w:t>
            </w:r>
            <w:proofErr w:type="spellEnd"/>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7%</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7%</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6%</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6%</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Auckland</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25%</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24%</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28%</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25%</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Midlands</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24%</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25%</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17%</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18%</w:t>
            </w:r>
          </w:p>
        </w:tc>
      </w:tr>
      <w:tr w:rsidR="008621FD" w:rsidRPr="00E05066" w:rsidTr="008621FD">
        <w:tc>
          <w:tcPr>
            <w:cnfStyle w:val="001000000000" w:firstRow="0" w:lastRow="0" w:firstColumn="1" w:lastColumn="0" w:oddVBand="0" w:evenVBand="0" w:oddHBand="0" w:evenHBand="0" w:firstRowFirstColumn="0" w:firstRowLastColumn="0" w:lastRowFirstColumn="0" w:lastRowLastColumn="0"/>
            <w:tcW w:w="1642" w:type="pct"/>
            <w:noWrap/>
          </w:tcPr>
          <w:p w:rsidR="008621FD" w:rsidRPr="00E05066" w:rsidRDefault="008621FD" w:rsidP="00706A3C">
            <w:pPr>
              <w:spacing w:before="0" w:after="0" w:line="240" w:lineRule="auto"/>
            </w:pPr>
            <w:r w:rsidRPr="00E05066">
              <w:t>Central</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20%</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23%</w:t>
            </w:r>
          </w:p>
        </w:tc>
        <w:tc>
          <w:tcPr>
            <w:cnfStyle w:val="000010000000" w:firstRow="0" w:lastRow="0" w:firstColumn="0" w:lastColumn="0" w:oddVBand="1" w:evenVBand="0" w:oddHBand="0" w:evenHBand="0" w:firstRowFirstColumn="0" w:firstRowLastColumn="0" w:lastRowFirstColumn="0" w:lastRowLastColumn="0"/>
            <w:tcW w:w="839" w:type="pct"/>
            <w:tcBorders>
              <w:right w:val="nil"/>
            </w:tcBorders>
          </w:tcPr>
          <w:p w:rsidR="008621FD" w:rsidRPr="00E05066" w:rsidRDefault="008621FD" w:rsidP="00706A3C">
            <w:pPr>
              <w:spacing w:before="0" w:after="0" w:line="240" w:lineRule="auto"/>
              <w:rPr>
                <w:sz w:val="20"/>
              </w:rPr>
            </w:pPr>
            <w:r>
              <w:rPr>
                <w:sz w:val="20"/>
              </w:rPr>
              <w:t>26%</w:t>
            </w:r>
          </w:p>
        </w:tc>
        <w:tc>
          <w:tcPr>
            <w:cnfStyle w:val="000001000000" w:firstRow="0" w:lastRow="0" w:firstColumn="0" w:lastColumn="0" w:oddVBand="0" w:evenVBand="1" w:oddHBand="0" w:evenHBand="0" w:firstRowFirstColumn="0" w:firstRowLastColumn="0" w:lastRowFirstColumn="0" w:lastRowLastColumn="0"/>
            <w:tcW w:w="840" w:type="pct"/>
            <w:tcBorders>
              <w:left w:val="nil"/>
            </w:tcBorders>
          </w:tcPr>
          <w:p w:rsidR="008621FD" w:rsidRPr="00E05066" w:rsidRDefault="008621FD" w:rsidP="00706A3C">
            <w:pPr>
              <w:spacing w:before="0" w:after="0" w:line="240" w:lineRule="auto"/>
              <w:rPr>
                <w:sz w:val="20"/>
              </w:rPr>
            </w:pPr>
            <w:r>
              <w:rPr>
                <w:sz w:val="20"/>
              </w:rPr>
              <w:t>26%</w:t>
            </w:r>
          </w:p>
        </w:tc>
      </w:tr>
      <w:tr w:rsidR="008621FD" w:rsidRPr="00E05066" w:rsidTr="008621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Borders>
              <w:bottom w:val="single" w:sz="4" w:space="0" w:color="121F6B"/>
            </w:tcBorders>
            <w:noWrap/>
          </w:tcPr>
          <w:p w:rsidR="008621FD" w:rsidRPr="00E05066" w:rsidRDefault="008621FD" w:rsidP="00706A3C">
            <w:pPr>
              <w:spacing w:before="0" w:after="0" w:line="240" w:lineRule="auto"/>
            </w:pPr>
            <w:r w:rsidRPr="00E05066">
              <w:t>Southern</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24%</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21%</w:t>
            </w:r>
          </w:p>
        </w:tc>
        <w:tc>
          <w:tcPr>
            <w:cnfStyle w:val="000010000000" w:firstRow="0" w:lastRow="0" w:firstColumn="0" w:lastColumn="0" w:oddVBand="1" w:evenVBand="0" w:oddHBand="0" w:evenHBand="0" w:firstRowFirstColumn="0" w:firstRowLastColumn="0" w:lastRowFirstColumn="0" w:lastRowLastColumn="0"/>
            <w:tcW w:w="839" w:type="pct"/>
            <w:tcBorders>
              <w:bottom w:val="single" w:sz="4" w:space="0" w:color="121F6B"/>
              <w:right w:val="nil"/>
            </w:tcBorders>
          </w:tcPr>
          <w:p w:rsidR="008621FD" w:rsidRPr="00E05066" w:rsidRDefault="008621FD" w:rsidP="00706A3C">
            <w:pPr>
              <w:spacing w:before="0" w:after="0" w:line="240" w:lineRule="auto"/>
              <w:rPr>
                <w:sz w:val="20"/>
              </w:rPr>
            </w:pPr>
            <w:r>
              <w:rPr>
                <w:sz w:val="20"/>
              </w:rPr>
              <w:t>23%</w:t>
            </w:r>
          </w:p>
        </w:tc>
        <w:tc>
          <w:tcPr>
            <w:cnfStyle w:val="000001000000" w:firstRow="0" w:lastRow="0" w:firstColumn="0" w:lastColumn="0" w:oddVBand="0" w:evenVBand="1" w:oddHBand="0" w:evenHBand="0" w:firstRowFirstColumn="0" w:firstRowLastColumn="0" w:lastRowFirstColumn="0" w:lastRowLastColumn="0"/>
            <w:tcW w:w="840" w:type="pct"/>
            <w:tcBorders>
              <w:left w:val="nil"/>
              <w:bottom w:val="single" w:sz="4" w:space="0" w:color="121F6B"/>
            </w:tcBorders>
          </w:tcPr>
          <w:p w:rsidR="008621FD" w:rsidRPr="00E05066" w:rsidRDefault="008621FD" w:rsidP="00706A3C">
            <w:pPr>
              <w:spacing w:before="0" w:after="0" w:line="240" w:lineRule="auto"/>
              <w:rPr>
                <w:sz w:val="20"/>
              </w:rPr>
            </w:pPr>
            <w:r>
              <w:rPr>
                <w:sz w:val="20"/>
              </w:rPr>
              <w:t>24%</w:t>
            </w:r>
          </w:p>
        </w:tc>
      </w:tr>
    </w:tbl>
    <w:p w:rsidR="00706A3C" w:rsidRPr="00E24DDE" w:rsidRDefault="00706A3C" w:rsidP="008621FD">
      <w:pPr>
        <w:pStyle w:val="BodyText"/>
        <w:spacing w:after="0" w:line="240" w:lineRule="auto"/>
        <w:ind w:right="237"/>
        <w:rPr>
          <w:rFonts w:ascii="Verdana" w:hAnsi="Verdana"/>
          <w:sz w:val="18"/>
          <w:szCs w:val="18"/>
        </w:rPr>
      </w:pPr>
      <w:r w:rsidRPr="00E24DDE">
        <w:rPr>
          <w:rFonts w:ascii="Verdana" w:hAnsi="Verdana"/>
          <w:sz w:val="18"/>
          <w:szCs w:val="18"/>
        </w:rPr>
        <w:t>Note</w:t>
      </w:r>
      <w:r>
        <w:rPr>
          <w:rFonts w:ascii="Verdana" w:hAnsi="Verdana"/>
          <w:sz w:val="18"/>
          <w:szCs w:val="18"/>
        </w:rPr>
        <w:t>s</w:t>
      </w:r>
      <w:r w:rsidRPr="00E24DDE">
        <w:rPr>
          <w:rFonts w:ascii="Verdana" w:hAnsi="Verdana"/>
          <w:sz w:val="18"/>
          <w:szCs w:val="18"/>
        </w:rPr>
        <w:t>:</w:t>
      </w:r>
    </w:p>
    <w:p w:rsidR="00706A3C" w:rsidRDefault="00706A3C" w:rsidP="008621FD">
      <w:pPr>
        <w:pStyle w:val="BodyText"/>
        <w:numPr>
          <w:ilvl w:val="0"/>
          <w:numId w:val="18"/>
        </w:numPr>
        <w:spacing w:after="0" w:line="240" w:lineRule="auto"/>
        <w:ind w:left="357" w:right="237" w:hanging="357"/>
        <w:rPr>
          <w:rFonts w:ascii="Verdana" w:hAnsi="Verdana"/>
          <w:sz w:val="18"/>
          <w:szCs w:val="18"/>
        </w:rPr>
      </w:pPr>
      <w:r>
        <w:rPr>
          <w:rFonts w:ascii="Verdana" w:hAnsi="Verdana"/>
          <w:sz w:val="18"/>
          <w:szCs w:val="18"/>
        </w:rPr>
        <w:t xml:space="preserve">Figures show the number of </w:t>
      </w:r>
      <w:r w:rsidR="00CB1ACF">
        <w:rPr>
          <w:rFonts w:ascii="Verdana" w:hAnsi="Verdana"/>
          <w:sz w:val="18"/>
          <w:szCs w:val="18"/>
        </w:rPr>
        <w:t>‘</w:t>
      </w:r>
      <w:r>
        <w:rPr>
          <w:rFonts w:ascii="Verdana" w:hAnsi="Verdana"/>
          <w:sz w:val="18"/>
          <w:szCs w:val="18"/>
        </w:rPr>
        <w:t>new</w:t>
      </w:r>
      <w:r w:rsidR="00CB1ACF">
        <w:rPr>
          <w:rFonts w:ascii="Verdana" w:hAnsi="Verdana"/>
          <w:sz w:val="18"/>
          <w:szCs w:val="18"/>
        </w:rPr>
        <w:t>’</w:t>
      </w:r>
      <w:r>
        <w:rPr>
          <w:rFonts w:ascii="Verdana" w:hAnsi="Verdana"/>
          <w:sz w:val="18"/>
          <w:szCs w:val="18"/>
        </w:rPr>
        <w:t xml:space="preserve"> FGCs. This excludes reconvened FGCs, and FGCs to review FGC plans. For people with more than one new FGC in a calendar year, only the first FGC was included in the analysis.</w:t>
      </w:r>
    </w:p>
    <w:p w:rsidR="00706A3C" w:rsidRPr="00915084" w:rsidRDefault="00706A3C" w:rsidP="008621FD">
      <w:pPr>
        <w:pStyle w:val="BodyText"/>
        <w:numPr>
          <w:ilvl w:val="0"/>
          <w:numId w:val="18"/>
        </w:numPr>
        <w:spacing w:after="0" w:line="240" w:lineRule="auto"/>
        <w:ind w:left="357" w:right="237" w:hanging="357"/>
        <w:rPr>
          <w:rFonts w:ascii="Verdana" w:hAnsi="Verdana"/>
          <w:sz w:val="18"/>
          <w:szCs w:val="18"/>
        </w:rPr>
      </w:pPr>
      <w:r>
        <w:rPr>
          <w:rFonts w:ascii="Verdana" w:hAnsi="Verdana"/>
          <w:sz w:val="18"/>
          <w:szCs w:val="18"/>
        </w:rPr>
        <w:t xml:space="preserve">Ethnicity figures exclude </w:t>
      </w:r>
      <w:r w:rsidR="00B009E0">
        <w:rPr>
          <w:rFonts w:ascii="Verdana" w:hAnsi="Verdana"/>
          <w:sz w:val="18"/>
          <w:szCs w:val="18"/>
        </w:rPr>
        <w:t>a small number of</w:t>
      </w:r>
      <w:r>
        <w:rPr>
          <w:rFonts w:ascii="Verdana" w:hAnsi="Verdana"/>
          <w:sz w:val="18"/>
          <w:szCs w:val="18"/>
        </w:rPr>
        <w:t xml:space="preserve"> cases (mostly ITC FGCs) where the ethnicity of the young person was not recorded in the data.</w:t>
      </w:r>
    </w:p>
    <w:p w:rsidR="00706A3C" w:rsidRPr="00E24DDE" w:rsidRDefault="00706A3C" w:rsidP="008621FD">
      <w:pPr>
        <w:pStyle w:val="BodyText"/>
        <w:numPr>
          <w:ilvl w:val="0"/>
          <w:numId w:val="18"/>
        </w:numPr>
        <w:spacing w:after="0" w:line="240" w:lineRule="auto"/>
        <w:ind w:left="357" w:right="237" w:hanging="357"/>
        <w:rPr>
          <w:rFonts w:ascii="Verdana" w:hAnsi="Verdana"/>
          <w:sz w:val="18"/>
          <w:szCs w:val="18"/>
        </w:rPr>
      </w:pPr>
      <w:r w:rsidRPr="00E24DDE">
        <w:rPr>
          <w:rFonts w:ascii="Verdana" w:hAnsi="Verdana"/>
          <w:sz w:val="18"/>
          <w:szCs w:val="18"/>
          <w:lang w:val="en-NZ"/>
        </w:rPr>
        <w:t xml:space="preserve">People </w:t>
      </w:r>
      <w:r>
        <w:rPr>
          <w:rFonts w:ascii="Verdana" w:hAnsi="Verdana"/>
          <w:sz w:val="18"/>
          <w:szCs w:val="18"/>
          <w:lang w:val="en-NZ"/>
        </w:rPr>
        <w:t xml:space="preserve">aged </w:t>
      </w:r>
      <w:r w:rsidRPr="00E24DDE">
        <w:rPr>
          <w:rFonts w:ascii="Verdana" w:hAnsi="Verdana"/>
          <w:sz w:val="18"/>
          <w:szCs w:val="18"/>
          <w:lang w:val="en-NZ"/>
        </w:rPr>
        <w:t xml:space="preserve">17 years </w:t>
      </w:r>
      <w:r>
        <w:rPr>
          <w:rFonts w:ascii="Verdana" w:hAnsi="Verdana"/>
          <w:sz w:val="18"/>
          <w:szCs w:val="18"/>
          <w:lang w:val="en-NZ"/>
        </w:rPr>
        <w:t xml:space="preserve">or </w:t>
      </w:r>
      <w:r w:rsidRPr="00E24DDE">
        <w:rPr>
          <w:rFonts w:ascii="Verdana" w:hAnsi="Verdana"/>
          <w:sz w:val="18"/>
          <w:szCs w:val="18"/>
          <w:lang w:val="en-NZ"/>
        </w:rPr>
        <w:t>old</w:t>
      </w:r>
      <w:r>
        <w:rPr>
          <w:rFonts w:ascii="Verdana" w:hAnsi="Verdana"/>
          <w:sz w:val="18"/>
          <w:szCs w:val="18"/>
          <w:lang w:val="en-NZ"/>
        </w:rPr>
        <w:t>er</w:t>
      </w:r>
      <w:r w:rsidRPr="00E24DDE">
        <w:rPr>
          <w:rFonts w:ascii="Verdana" w:hAnsi="Verdana"/>
          <w:sz w:val="18"/>
          <w:szCs w:val="18"/>
          <w:lang w:val="en-NZ"/>
        </w:rPr>
        <w:t xml:space="preserve"> can have matters dealt with in the Youth Court for offences </w:t>
      </w:r>
      <w:r>
        <w:rPr>
          <w:rFonts w:ascii="Verdana" w:hAnsi="Verdana"/>
          <w:sz w:val="18"/>
          <w:szCs w:val="18"/>
          <w:lang w:val="en-NZ"/>
        </w:rPr>
        <w:t xml:space="preserve">they </w:t>
      </w:r>
      <w:r w:rsidRPr="00E24DDE">
        <w:rPr>
          <w:rFonts w:ascii="Verdana" w:hAnsi="Verdana"/>
          <w:sz w:val="18"/>
          <w:szCs w:val="18"/>
          <w:lang w:val="en-NZ"/>
        </w:rPr>
        <w:t>committed prior to their 17</w:t>
      </w:r>
      <w:r w:rsidRPr="00E24DDE">
        <w:rPr>
          <w:rFonts w:ascii="Verdana" w:hAnsi="Verdana"/>
          <w:sz w:val="18"/>
          <w:szCs w:val="18"/>
          <w:vertAlign w:val="superscript"/>
          <w:lang w:val="en-NZ"/>
        </w:rPr>
        <w:t>th</w:t>
      </w:r>
      <w:r w:rsidRPr="00E24DDE">
        <w:rPr>
          <w:rFonts w:ascii="Verdana" w:hAnsi="Verdana"/>
          <w:sz w:val="18"/>
          <w:szCs w:val="18"/>
          <w:lang w:val="en-NZ"/>
        </w:rPr>
        <w:t xml:space="preserve"> birthday</w:t>
      </w:r>
      <w:r>
        <w:rPr>
          <w:rFonts w:ascii="Verdana" w:hAnsi="Verdana"/>
          <w:sz w:val="18"/>
          <w:szCs w:val="18"/>
          <w:lang w:val="en-NZ"/>
        </w:rPr>
        <w:t>.</w:t>
      </w:r>
    </w:p>
    <w:p w:rsidR="00706A3C" w:rsidRPr="00E24DDE" w:rsidRDefault="00706A3C" w:rsidP="008621FD">
      <w:pPr>
        <w:pStyle w:val="BodyText"/>
        <w:spacing w:after="60" w:line="240" w:lineRule="auto"/>
        <w:ind w:right="237"/>
        <w:rPr>
          <w:rFonts w:ascii="Verdana" w:hAnsi="Verdana"/>
          <w:sz w:val="18"/>
          <w:szCs w:val="18"/>
        </w:rPr>
      </w:pPr>
      <w:bookmarkStart w:id="16" w:name="_Toc403136509"/>
      <w:r>
        <w:rPr>
          <w:rFonts w:ascii="Verdana" w:hAnsi="Verdana"/>
          <w:sz w:val="18"/>
          <w:szCs w:val="18"/>
        </w:rPr>
        <w:t>Source: CYRAS.</w:t>
      </w:r>
    </w:p>
    <w:p w:rsidR="008621FD" w:rsidRDefault="008621FD" w:rsidP="008621FD">
      <w:pPr>
        <w:spacing w:after="0"/>
        <w:rPr>
          <w:lang w:val="en-NZ"/>
        </w:rPr>
      </w:pPr>
    </w:p>
    <w:p w:rsidR="00706A3C" w:rsidRDefault="00706A3C" w:rsidP="00706A3C">
      <w:pPr>
        <w:rPr>
          <w:lang w:val="en-NZ"/>
        </w:rPr>
      </w:pPr>
      <w:r>
        <w:rPr>
          <w:lang w:val="en-NZ"/>
        </w:rPr>
        <w:t xml:space="preserve">For </w:t>
      </w:r>
      <w:r w:rsidR="008621FD">
        <w:rPr>
          <w:lang w:val="en-NZ"/>
        </w:rPr>
        <w:t>both</w:t>
      </w:r>
      <w:r>
        <w:rPr>
          <w:lang w:val="en-NZ"/>
        </w:rPr>
        <w:t xml:space="preserve"> FGC cohorts, around eight out of every 10 young people were male. </w:t>
      </w:r>
      <w:r w:rsidRPr="00B34153">
        <w:rPr>
          <w:lang w:val="en-NZ"/>
        </w:rPr>
        <w:t>Māori</w:t>
      </w:r>
      <w:r>
        <w:rPr>
          <w:lang w:val="en-NZ"/>
        </w:rPr>
        <w:t xml:space="preserve"> were over-represented in both ITC and court-ordered FGCs. </w:t>
      </w:r>
    </w:p>
    <w:p w:rsidR="00706A3C" w:rsidRPr="00B34153" w:rsidRDefault="00706A3C" w:rsidP="00706A3C">
      <w:pPr>
        <w:rPr>
          <w:lang w:val="en-NZ"/>
        </w:rPr>
      </w:pPr>
      <w:r>
        <w:rPr>
          <w:lang w:val="en-NZ"/>
        </w:rPr>
        <w:t xml:space="preserve">The distribution across primary ethnic groups was similar for ITC and </w:t>
      </w:r>
      <w:r w:rsidR="008621FD">
        <w:rPr>
          <w:lang w:val="en-NZ"/>
        </w:rPr>
        <w:t>court-ordered</w:t>
      </w:r>
      <w:r>
        <w:rPr>
          <w:lang w:val="en-NZ"/>
        </w:rPr>
        <w:t xml:space="preserve"> FGCs, with around half the young people being </w:t>
      </w:r>
      <w:r w:rsidRPr="00660ABB">
        <w:rPr>
          <w:lang w:val="en-NZ"/>
        </w:rPr>
        <w:t>Māori</w:t>
      </w:r>
      <w:r>
        <w:rPr>
          <w:lang w:val="en-NZ"/>
        </w:rPr>
        <w:t xml:space="preserve"> and about a third being European. </w:t>
      </w:r>
    </w:p>
    <w:p w:rsidR="008621FD" w:rsidRDefault="008621FD" w:rsidP="00706A3C">
      <w:r w:rsidRPr="009B5ACF">
        <w:lastRenderedPageBreak/>
        <w:t xml:space="preserve">Around </w:t>
      </w:r>
      <w:r>
        <w:t>70%</w:t>
      </w:r>
      <w:r w:rsidRPr="009B5ACF">
        <w:t xml:space="preserve"> of </w:t>
      </w:r>
      <w:r>
        <w:t xml:space="preserve">all youth justice </w:t>
      </w:r>
      <w:r w:rsidRPr="009B5ACF">
        <w:t>FGC participants</w:t>
      </w:r>
      <w:r>
        <w:t xml:space="preserve"> are 15- or </w:t>
      </w:r>
      <w:r w:rsidRPr="009B5ACF">
        <w:t>16</w:t>
      </w:r>
      <w:r>
        <w:t>-</w:t>
      </w:r>
      <w:r w:rsidRPr="009B5ACF">
        <w:t>years</w:t>
      </w:r>
      <w:r>
        <w:t>-</w:t>
      </w:r>
      <w:r w:rsidRPr="009B5ACF">
        <w:t>old</w:t>
      </w:r>
      <w:r>
        <w:t xml:space="preserve"> when the FGCs were held, with the average age being just under 16 years</w:t>
      </w:r>
      <w:r w:rsidRPr="009B5ACF">
        <w:t>.</w:t>
      </w:r>
      <w:r>
        <w:t xml:space="preserve"> While they were aged 16 years or younger when they offended, around one in every 10 of the FGC participants were aged 17 years or older at the time the FGC was held.</w:t>
      </w:r>
    </w:p>
    <w:p w:rsidR="008621FD" w:rsidRDefault="008621FD" w:rsidP="00706A3C">
      <w:pPr>
        <w:rPr>
          <w:lang w:val="en-NZ"/>
        </w:rPr>
      </w:pPr>
    </w:p>
    <w:p w:rsidR="00706A3C" w:rsidRPr="003A7111" w:rsidRDefault="00706A3C" w:rsidP="00706A3C">
      <w:pPr>
        <w:pStyle w:val="Heading1"/>
        <w:spacing w:before="240"/>
        <w:ind w:right="-45"/>
      </w:pPr>
      <w:r>
        <w:br w:type="page"/>
      </w:r>
      <w:bookmarkStart w:id="17" w:name="_Toc450138684"/>
      <w:r>
        <w:lastRenderedPageBreak/>
        <w:t xml:space="preserve">Part 4 – </w:t>
      </w:r>
      <w:r w:rsidRPr="003A7111">
        <w:t>Intention-to-charge FGCs</w:t>
      </w:r>
      <w:bookmarkEnd w:id="16"/>
      <w:bookmarkEnd w:id="17"/>
    </w:p>
    <w:p w:rsidR="00706A3C" w:rsidRDefault="00706A3C" w:rsidP="00706A3C">
      <w:pPr>
        <w:spacing w:after="60"/>
        <w:rPr>
          <w:lang w:val="en-NZ"/>
        </w:rPr>
      </w:pPr>
      <w:r w:rsidRPr="003A7111">
        <w:rPr>
          <w:lang w:val="en-NZ"/>
        </w:rPr>
        <w:t xml:space="preserve">A total of </w:t>
      </w:r>
      <w:r>
        <w:rPr>
          <w:lang w:val="en-NZ"/>
        </w:rPr>
        <w:t>3,936 intention-to-charge (ITC) FGCs were held between 1 January 2011 and 31 December 2012. Of those involved:</w:t>
      </w:r>
    </w:p>
    <w:p w:rsidR="00706A3C" w:rsidRPr="008527A0" w:rsidRDefault="00706A3C" w:rsidP="00706A3C">
      <w:pPr>
        <w:pStyle w:val="Bullet1"/>
        <w:numPr>
          <w:ilvl w:val="0"/>
          <w:numId w:val="5"/>
        </w:numPr>
        <w:spacing w:after="60"/>
        <w:ind w:left="357" w:hanging="357"/>
      </w:pPr>
      <w:r w:rsidRPr="008527A0">
        <w:t>77% were male and 23% were female</w:t>
      </w:r>
    </w:p>
    <w:p w:rsidR="00706A3C" w:rsidRPr="008527A0" w:rsidRDefault="00706A3C" w:rsidP="00706A3C">
      <w:pPr>
        <w:pStyle w:val="Bullet1"/>
        <w:numPr>
          <w:ilvl w:val="0"/>
          <w:numId w:val="5"/>
        </w:numPr>
        <w:spacing w:after="60"/>
        <w:ind w:left="357" w:hanging="357"/>
      </w:pPr>
      <w:r w:rsidRPr="008527A0">
        <w:t>51% were Māori, 3</w:t>
      </w:r>
      <w:r>
        <w:t>7</w:t>
      </w:r>
      <w:r w:rsidRPr="008527A0">
        <w:t xml:space="preserve">% were European, 10% were Pacific people and 2% </w:t>
      </w:r>
      <w:r>
        <w:t>belonged to other ethnic groups</w:t>
      </w:r>
    </w:p>
    <w:p w:rsidR="00706A3C" w:rsidRPr="008527A0" w:rsidRDefault="00706A3C" w:rsidP="00706A3C">
      <w:pPr>
        <w:pStyle w:val="Bullet1"/>
        <w:numPr>
          <w:ilvl w:val="0"/>
          <w:numId w:val="5"/>
        </w:numPr>
        <w:spacing w:after="60"/>
        <w:ind w:left="357" w:hanging="357"/>
      </w:pPr>
      <w:r w:rsidRPr="008527A0">
        <w:t xml:space="preserve">7% were from Te Tai </w:t>
      </w:r>
      <w:proofErr w:type="spellStart"/>
      <w:r w:rsidRPr="008527A0">
        <w:t>Tokerau</w:t>
      </w:r>
      <w:proofErr w:type="spellEnd"/>
      <w:r w:rsidRPr="008527A0">
        <w:t>, 25% were from the Auckland region, 24% were from the Midlands region, 22% were from the Central region and 23% were from the Southern region</w:t>
      </w:r>
    </w:p>
    <w:p w:rsidR="00706A3C" w:rsidRPr="008527A0" w:rsidRDefault="00706A3C" w:rsidP="00706A3C">
      <w:pPr>
        <w:pStyle w:val="Bullet1"/>
        <w:numPr>
          <w:ilvl w:val="0"/>
          <w:numId w:val="5"/>
        </w:numPr>
        <w:spacing w:after="60"/>
        <w:ind w:left="357" w:hanging="357"/>
      </w:pPr>
      <w:r w:rsidRPr="008527A0">
        <w:t>the average age at first recorded offence was 13.3 years (</w:t>
      </w:r>
      <w:r w:rsidRPr="003E03A7">
        <w:t>ranging from 4.7</w:t>
      </w:r>
      <w:r w:rsidRPr="008527A0">
        <w:t xml:space="preserve"> to </w:t>
      </w:r>
      <w:r>
        <w:t xml:space="preserve">just under </w:t>
      </w:r>
      <w:r w:rsidRPr="008527A0">
        <w:t>17.0 years)</w:t>
      </w:r>
    </w:p>
    <w:p w:rsidR="00706A3C" w:rsidRPr="008527A0" w:rsidRDefault="00706A3C" w:rsidP="00706A3C">
      <w:pPr>
        <w:pStyle w:val="Bullet1"/>
        <w:numPr>
          <w:ilvl w:val="0"/>
          <w:numId w:val="5"/>
        </w:numPr>
        <w:spacing w:after="60"/>
        <w:ind w:left="357" w:hanging="357"/>
      </w:pPr>
      <w:r w:rsidRPr="008527A0">
        <w:t xml:space="preserve">the average number of years between the first recorded offence and the </w:t>
      </w:r>
      <w:r>
        <w:t>FGC being held</w:t>
      </w:r>
      <w:r w:rsidRPr="008527A0">
        <w:t xml:space="preserve"> was 2.6 (ranging from 0 to 11.</w:t>
      </w:r>
      <w:r>
        <w:t>5</w:t>
      </w:r>
      <w:r w:rsidRPr="008527A0">
        <w:t xml:space="preserve"> years)</w:t>
      </w:r>
    </w:p>
    <w:p w:rsidR="00706A3C" w:rsidRPr="008527A0" w:rsidRDefault="00706A3C" w:rsidP="00706A3C">
      <w:pPr>
        <w:pStyle w:val="Bullet1"/>
        <w:numPr>
          <w:ilvl w:val="0"/>
          <w:numId w:val="5"/>
        </w:numPr>
      </w:pPr>
      <w:r w:rsidRPr="008527A0">
        <w:t xml:space="preserve">the average age </w:t>
      </w:r>
      <w:r>
        <w:t xml:space="preserve">when </w:t>
      </w:r>
      <w:r w:rsidRPr="008527A0">
        <w:t>the FGC</w:t>
      </w:r>
      <w:r>
        <w:t>s were held</w:t>
      </w:r>
      <w:r w:rsidRPr="008527A0">
        <w:t xml:space="preserve"> was 15.9 years (ranging from 12.4 to 18.7 years)</w:t>
      </w:r>
      <w:r>
        <w:t>.</w:t>
      </w:r>
    </w:p>
    <w:p w:rsidR="00706A3C" w:rsidRPr="00BC7D3D" w:rsidRDefault="00706A3C" w:rsidP="00706A3C">
      <w:pPr>
        <w:pStyle w:val="Heading4"/>
      </w:pPr>
      <w:r>
        <w:t>Half of the ITC FGC participants reoffended within seven months</w:t>
      </w:r>
    </w:p>
    <w:p w:rsidR="00706A3C" w:rsidRDefault="00706A3C" w:rsidP="00706A3C">
      <w:pPr>
        <w:rPr>
          <w:rFonts w:ascii="Arial Mäori" w:hAnsi="Arial Mäori"/>
          <w:lang w:val="en-NZ"/>
        </w:rPr>
      </w:pPr>
      <w:r>
        <w:t>Overall, a quarter</w:t>
      </w:r>
      <w:r w:rsidRPr="008527A0">
        <w:t xml:space="preserve"> of </w:t>
      </w:r>
      <w:r>
        <w:t>all</w:t>
      </w:r>
      <w:r w:rsidRPr="008527A0">
        <w:t xml:space="preserve"> ITC</w:t>
      </w:r>
      <w:r>
        <w:t xml:space="preserve"> FGC participants had come to the attention of Police with a new offence within two months of the FGC, and h</w:t>
      </w:r>
      <w:r w:rsidRPr="008527A0">
        <w:t xml:space="preserve">alf </w:t>
      </w:r>
      <w:r>
        <w:t xml:space="preserve">had come to the attention of Police with a new offence within seven months (Figure 1). </w:t>
      </w:r>
      <w:r w:rsidRPr="008527A0">
        <w:t>Within 12 months</w:t>
      </w:r>
      <w:r>
        <w:t xml:space="preserve"> of the ITC FGCs</w:t>
      </w:r>
      <w:r w:rsidRPr="008527A0">
        <w:t>, 6</w:t>
      </w:r>
      <w:r>
        <w:t>4</w:t>
      </w:r>
      <w:r w:rsidRPr="008527A0">
        <w:t xml:space="preserve">% </w:t>
      </w:r>
      <w:r>
        <w:t xml:space="preserve">of young people </w:t>
      </w:r>
      <w:r w:rsidRPr="008527A0">
        <w:t xml:space="preserve">had reoffended. </w:t>
      </w:r>
      <w:r>
        <w:t xml:space="preserve">Apart from the first few months after the ITC FGCs, Europeans reoffended at a slightly slower rate than </w:t>
      </w:r>
      <w:r w:rsidRPr="008527A0">
        <w:t>Māori</w:t>
      </w:r>
      <w:r>
        <w:t xml:space="preserve"> and Pacific people</w:t>
      </w:r>
      <w:r w:rsidRPr="008527A0">
        <w:rPr>
          <w:lang w:val="en-NZ"/>
        </w:rPr>
        <w:t>.</w:t>
      </w:r>
    </w:p>
    <w:p w:rsidR="00706A3C" w:rsidRPr="008527A0" w:rsidRDefault="00706A3C" w:rsidP="00706A3C">
      <w:pPr>
        <w:pStyle w:val="Caption"/>
        <w:spacing w:before="170"/>
      </w:pPr>
      <w:r w:rsidRPr="008527A0">
        <w:t>Figure 1:</w:t>
      </w:r>
      <w:r>
        <w:tab/>
      </w:r>
      <w:r w:rsidRPr="008527A0">
        <w:t>Percentage of participants of ITC FGCs</w:t>
      </w:r>
      <w:r>
        <w:t xml:space="preserve"> held</w:t>
      </w:r>
      <w:r w:rsidRPr="008527A0">
        <w:t xml:space="preserve"> </w:t>
      </w:r>
      <w:r>
        <w:t xml:space="preserve">in 2011 and 2012 </w:t>
      </w:r>
      <w:r w:rsidRPr="008527A0">
        <w:t>who reoffended within 12 months, by ethnicity</w:t>
      </w:r>
    </w:p>
    <w:p w:rsidR="00706A3C" w:rsidRPr="00DA536E" w:rsidRDefault="00706A3C" w:rsidP="00706A3C">
      <w:pPr>
        <w:pStyle w:val="Tableheading"/>
        <w:rPr>
          <w:lang w:val="en-NZ"/>
        </w:rPr>
      </w:pPr>
      <w:r w:rsidRPr="00816835">
        <w:rPr>
          <w:noProof/>
          <w:lang w:val="en-NZ"/>
        </w:rPr>
        <w:drawing>
          <wp:inline distT="0" distB="0" distL="0" distR="0" wp14:anchorId="1AE20EA3" wp14:editId="6D584B5E">
            <wp:extent cx="5731510" cy="3015169"/>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015169"/>
                    </a:xfrm>
                    <a:prstGeom prst="rect">
                      <a:avLst/>
                    </a:prstGeom>
                    <a:noFill/>
                    <a:ln>
                      <a:noFill/>
                    </a:ln>
                  </pic:spPr>
                </pic:pic>
              </a:graphicData>
            </a:graphic>
          </wp:inline>
        </w:drawing>
      </w:r>
    </w:p>
    <w:p w:rsidR="00706A3C" w:rsidRDefault="00706A3C" w:rsidP="00706A3C">
      <w:pPr>
        <w:pStyle w:val="Heading4"/>
        <w:spacing w:before="170"/>
      </w:pPr>
      <w:r>
        <w:t>An escalation in the frequency and seriousness of offending prior to the FGCs was curtailed</w:t>
      </w:r>
    </w:p>
    <w:p w:rsidR="00706A3C" w:rsidRPr="00123030" w:rsidRDefault="00706A3C" w:rsidP="00706A3C">
      <w:pPr>
        <w:rPr>
          <w:lang w:val="en-NZ"/>
        </w:rPr>
      </w:pPr>
      <w:r>
        <w:rPr>
          <w:lang w:val="en-NZ"/>
        </w:rPr>
        <w:t>T</w:t>
      </w:r>
      <w:r w:rsidRPr="00595844">
        <w:rPr>
          <w:lang w:val="en-NZ"/>
        </w:rPr>
        <w:t xml:space="preserve">he average frequency and seriousness of offending </w:t>
      </w:r>
      <w:r>
        <w:rPr>
          <w:lang w:val="en-NZ"/>
        </w:rPr>
        <w:t xml:space="preserve">by the young people escalated prior </w:t>
      </w:r>
      <w:r w:rsidRPr="00595844">
        <w:rPr>
          <w:lang w:val="en-NZ"/>
        </w:rPr>
        <w:t xml:space="preserve">to </w:t>
      </w:r>
      <w:r>
        <w:rPr>
          <w:lang w:val="en-NZ"/>
        </w:rPr>
        <w:t xml:space="preserve">being referred to </w:t>
      </w:r>
      <w:r w:rsidRPr="00595844">
        <w:rPr>
          <w:lang w:val="en-NZ"/>
        </w:rPr>
        <w:t xml:space="preserve">the ITC FGCs, </w:t>
      </w:r>
      <w:r>
        <w:rPr>
          <w:lang w:val="en-NZ"/>
        </w:rPr>
        <w:t xml:space="preserve">but both </w:t>
      </w:r>
      <w:r w:rsidRPr="00595844">
        <w:rPr>
          <w:lang w:val="en-NZ"/>
        </w:rPr>
        <w:t xml:space="preserve">measures </w:t>
      </w:r>
      <w:r>
        <w:rPr>
          <w:lang w:val="en-NZ"/>
        </w:rPr>
        <w:t xml:space="preserve">reduced </w:t>
      </w:r>
      <w:r w:rsidRPr="00595844">
        <w:rPr>
          <w:lang w:val="en-NZ"/>
        </w:rPr>
        <w:t xml:space="preserve">after the FGCs (Figures 2 </w:t>
      </w:r>
      <w:r w:rsidRPr="00595844">
        <w:rPr>
          <w:lang w:val="en-NZ"/>
        </w:rPr>
        <w:lastRenderedPageBreak/>
        <w:t xml:space="preserve">and 3). </w:t>
      </w:r>
      <w:r w:rsidRPr="002D227C">
        <w:rPr>
          <w:lang w:val="en-NZ"/>
        </w:rPr>
        <w:t>Over the 12 months since the FGCs, the average number of offences committed by attendees was 3.</w:t>
      </w:r>
      <w:r>
        <w:rPr>
          <w:lang w:val="en-NZ"/>
        </w:rPr>
        <w:t>2</w:t>
      </w:r>
      <w:r w:rsidRPr="002D227C">
        <w:rPr>
          <w:lang w:val="en-NZ"/>
        </w:rPr>
        <w:t xml:space="preserve"> (ranging from 0 to 46)</w:t>
      </w:r>
      <w:r>
        <w:rPr>
          <w:lang w:val="en-NZ"/>
        </w:rPr>
        <w:t xml:space="preserve">, compared with an </w:t>
      </w:r>
      <w:r w:rsidRPr="002D227C">
        <w:rPr>
          <w:lang w:val="en-NZ"/>
        </w:rPr>
        <w:t>average of 5.</w:t>
      </w:r>
      <w:r>
        <w:rPr>
          <w:lang w:val="en-NZ"/>
        </w:rPr>
        <w:t>2</w:t>
      </w:r>
      <w:r w:rsidRPr="002D227C">
        <w:rPr>
          <w:lang w:val="en-NZ"/>
        </w:rPr>
        <w:t xml:space="preserve"> offences over the 12 months before the </w:t>
      </w:r>
      <w:r>
        <w:rPr>
          <w:lang w:val="en-NZ"/>
        </w:rPr>
        <w:t>FGCs</w:t>
      </w:r>
      <w:r w:rsidRPr="002D227C">
        <w:rPr>
          <w:lang w:val="en-NZ"/>
        </w:rPr>
        <w:t xml:space="preserve"> (ranging from 0 to 121</w:t>
      </w:r>
      <w:r w:rsidRPr="00123030">
        <w:rPr>
          <w:lang w:val="en-NZ"/>
        </w:rPr>
        <w:t>). The average seriousness of all the offences committed in the 12 months following the orders (434) was less than in the 12 months before the orders (74</w:t>
      </w:r>
      <w:r>
        <w:rPr>
          <w:lang w:val="en-NZ"/>
        </w:rPr>
        <w:t>7).</w:t>
      </w:r>
    </w:p>
    <w:p w:rsidR="00706A3C" w:rsidRPr="00C74150" w:rsidRDefault="00706A3C" w:rsidP="00706A3C">
      <w:pPr>
        <w:pStyle w:val="Caption"/>
        <w:spacing w:after="0"/>
      </w:pPr>
      <w:r w:rsidRPr="00C74150">
        <w:t>Figure 2:</w:t>
      </w:r>
      <w:r w:rsidRPr="00C74150">
        <w:tab/>
        <w:t xml:space="preserve">Average frequency of offences dealt with by Police before and after </w:t>
      </w:r>
      <w:r>
        <w:t>ITC FGCs were held in 2011 and 2012</w:t>
      </w:r>
    </w:p>
    <w:p w:rsidR="00706A3C" w:rsidRDefault="00706A3C" w:rsidP="00706A3C">
      <w:pPr>
        <w:pStyle w:val="Tableheading"/>
        <w:rPr>
          <w:highlight w:val="yellow"/>
        </w:rPr>
      </w:pPr>
      <w:r w:rsidRPr="00587383">
        <w:rPr>
          <w:noProof/>
          <w:lang w:val="en-NZ"/>
        </w:rPr>
        <w:drawing>
          <wp:inline distT="0" distB="0" distL="0" distR="0" wp14:anchorId="6F505247" wp14:editId="777154AB">
            <wp:extent cx="5731510" cy="2520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520409"/>
                    </a:xfrm>
                    <a:prstGeom prst="rect">
                      <a:avLst/>
                    </a:prstGeom>
                    <a:noFill/>
                    <a:ln>
                      <a:noFill/>
                    </a:ln>
                  </pic:spPr>
                </pic:pic>
              </a:graphicData>
            </a:graphic>
          </wp:inline>
        </w:drawing>
      </w:r>
    </w:p>
    <w:p w:rsidR="00706A3C" w:rsidRDefault="00706A3C" w:rsidP="00706A3C">
      <w:pPr>
        <w:pStyle w:val="Caption"/>
        <w:spacing w:after="0"/>
        <w:rPr>
          <w:highlight w:val="yellow"/>
        </w:rPr>
      </w:pPr>
    </w:p>
    <w:p w:rsidR="00706A3C" w:rsidRDefault="00706A3C" w:rsidP="00706A3C">
      <w:pPr>
        <w:pStyle w:val="Caption"/>
        <w:spacing w:after="0"/>
      </w:pPr>
      <w:r w:rsidRPr="00595844">
        <w:t>Figure 3:</w:t>
      </w:r>
      <w:r>
        <w:tab/>
      </w:r>
      <w:r w:rsidRPr="00595844">
        <w:t xml:space="preserve">Average total seriousness of offences dealt with by Police before and after </w:t>
      </w:r>
      <w:r>
        <w:t>ITC FGCs were held in 2011 and 2012</w:t>
      </w:r>
    </w:p>
    <w:p w:rsidR="00706A3C" w:rsidRPr="00595844" w:rsidRDefault="00706A3C" w:rsidP="00706A3C">
      <w:pPr>
        <w:pStyle w:val="Tableheading"/>
        <w:rPr>
          <w:lang w:val="en-NZ"/>
        </w:rPr>
      </w:pPr>
      <w:r w:rsidRPr="00587383">
        <w:rPr>
          <w:noProof/>
          <w:lang w:val="en-NZ"/>
        </w:rPr>
        <w:drawing>
          <wp:inline distT="0" distB="0" distL="0" distR="0" wp14:anchorId="51CA0D18" wp14:editId="4F653DFD">
            <wp:extent cx="5731510" cy="280692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806922"/>
                    </a:xfrm>
                    <a:prstGeom prst="rect">
                      <a:avLst/>
                    </a:prstGeom>
                    <a:noFill/>
                    <a:ln>
                      <a:noFill/>
                    </a:ln>
                  </pic:spPr>
                </pic:pic>
              </a:graphicData>
            </a:graphic>
          </wp:inline>
        </w:drawing>
      </w:r>
    </w:p>
    <w:p w:rsidR="00706A3C" w:rsidRDefault="00706A3C" w:rsidP="00706A3C">
      <w:pPr>
        <w:pStyle w:val="Heading4"/>
      </w:pPr>
      <w:r>
        <w:t>Most offence types dropped considerably in number after the FGCs</w:t>
      </w:r>
    </w:p>
    <w:p w:rsidR="00706A3C" w:rsidRDefault="00706A3C" w:rsidP="00706A3C">
      <w:pPr>
        <w:spacing w:before="170"/>
        <w:rPr>
          <w:lang w:val="en-NZ"/>
        </w:rPr>
      </w:pPr>
      <w:r w:rsidRPr="00A370E4">
        <w:rPr>
          <w:lang w:val="en-NZ"/>
        </w:rPr>
        <w:t>The total number of offences committed by ITC participants in the 12 months after the FGCs was 3</w:t>
      </w:r>
      <w:r>
        <w:rPr>
          <w:lang w:val="en-NZ"/>
        </w:rPr>
        <w:t>9</w:t>
      </w:r>
      <w:r w:rsidRPr="00A370E4">
        <w:rPr>
          <w:lang w:val="en-NZ"/>
        </w:rPr>
        <w:t xml:space="preserve">% lower than in the 12 months before the FGCs. </w:t>
      </w:r>
      <w:r w:rsidRPr="009F1BE7">
        <w:rPr>
          <w:lang w:val="en-NZ"/>
        </w:rPr>
        <w:t xml:space="preserve">There was a drop in the frequency of offending for all offence divisions, except for </w:t>
      </w:r>
      <w:r>
        <w:rPr>
          <w:lang w:val="en-NZ"/>
        </w:rPr>
        <w:t>offences against justice</w:t>
      </w:r>
      <w:r w:rsidRPr="009F1BE7">
        <w:rPr>
          <w:lang w:val="en-NZ"/>
        </w:rPr>
        <w:t xml:space="preserve"> which </w:t>
      </w:r>
      <w:r>
        <w:rPr>
          <w:lang w:val="en-NZ"/>
        </w:rPr>
        <w:t>increased by 40% (Figure 4).</w:t>
      </w:r>
      <w:r w:rsidRPr="009F1BE7">
        <w:rPr>
          <w:lang w:val="en-NZ"/>
        </w:rPr>
        <w:t xml:space="preserve"> </w:t>
      </w:r>
      <w:r>
        <w:rPr>
          <w:lang w:val="en-NZ"/>
        </w:rPr>
        <w:t>Overall, t</w:t>
      </w:r>
      <w:r w:rsidRPr="00A370E4">
        <w:rPr>
          <w:lang w:val="en-NZ"/>
        </w:rPr>
        <w:t>he majority of the decrease was due to large drops in</w:t>
      </w:r>
      <w:r>
        <w:rPr>
          <w:lang w:val="en-NZ"/>
        </w:rPr>
        <w:t xml:space="preserve"> the three most common offence divisions:</w:t>
      </w:r>
      <w:r w:rsidRPr="00A370E4">
        <w:rPr>
          <w:lang w:val="en-NZ"/>
        </w:rPr>
        <w:t xml:space="preserve"> </w:t>
      </w:r>
      <w:r>
        <w:rPr>
          <w:lang w:val="en-NZ"/>
        </w:rPr>
        <w:t>t</w:t>
      </w:r>
      <w:r w:rsidRPr="00A370E4">
        <w:rPr>
          <w:lang w:val="en-NZ"/>
        </w:rPr>
        <w:t xml:space="preserve">heft-related offences </w:t>
      </w:r>
      <w:r>
        <w:rPr>
          <w:lang w:val="en-NZ"/>
        </w:rPr>
        <w:t>(</w:t>
      </w:r>
      <w:r w:rsidRPr="00A370E4">
        <w:rPr>
          <w:lang w:val="en-NZ"/>
        </w:rPr>
        <w:t>36%</w:t>
      </w:r>
      <w:r>
        <w:rPr>
          <w:lang w:val="en-NZ"/>
        </w:rPr>
        <w:t>)</w:t>
      </w:r>
      <w:r w:rsidRPr="00A370E4">
        <w:rPr>
          <w:lang w:val="en-NZ"/>
        </w:rPr>
        <w:t xml:space="preserve">, </w:t>
      </w:r>
      <w:r w:rsidRPr="00A370E4">
        <w:rPr>
          <w:lang w:val="en-NZ"/>
        </w:rPr>
        <w:lastRenderedPageBreak/>
        <w:t xml:space="preserve">burglary offences </w:t>
      </w:r>
      <w:r>
        <w:rPr>
          <w:lang w:val="en-NZ"/>
        </w:rPr>
        <w:t>(</w:t>
      </w:r>
      <w:r w:rsidRPr="00A370E4">
        <w:rPr>
          <w:lang w:val="en-NZ"/>
        </w:rPr>
        <w:t>46%</w:t>
      </w:r>
      <w:r>
        <w:rPr>
          <w:lang w:val="en-NZ"/>
        </w:rPr>
        <w:t>)</w:t>
      </w:r>
      <w:r w:rsidRPr="00A370E4">
        <w:rPr>
          <w:lang w:val="en-NZ"/>
        </w:rPr>
        <w:t xml:space="preserve"> and property damage </w:t>
      </w:r>
      <w:r>
        <w:rPr>
          <w:lang w:val="en-NZ"/>
        </w:rPr>
        <w:t>(</w:t>
      </w:r>
      <w:r w:rsidRPr="00A370E4">
        <w:rPr>
          <w:lang w:val="en-NZ"/>
        </w:rPr>
        <w:t>4</w:t>
      </w:r>
      <w:r>
        <w:rPr>
          <w:lang w:val="en-NZ"/>
        </w:rPr>
        <w:t>9</w:t>
      </w:r>
      <w:r w:rsidRPr="00A370E4">
        <w:rPr>
          <w:lang w:val="en-NZ"/>
        </w:rPr>
        <w:t>%</w:t>
      </w:r>
      <w:r>
        <w:rPr>
          <w:lang w:val="en-NZ"/>
        </w:rPr>
        <w:t>)</w:t>
      </w:r>
      <w:r w:rsidRPr="00A370E4">
        <w:rPr>
          <w:lang w:val="en-NZ"/>
        </w:rPr>
        <w:t>. Violent offen</w:t>
      </w:r>
      <w:r>
        <w:rPr>
          <w:lang w:val="en-NZ"/>
        </w:rPr>
        <w:t>ces</w:t>
      </w:r>
      <w:r w:rsidRPr="00A370E4">
        <w:rPr>
          <w:rStyle w:val="FootnoteReference"/>
        </w:rPr>
        <w:footnoteReference w:id="4"/>
      </w:r>
      <w:r w:rsidRPr="00A370E4">
        <w:rPr>
          <w:lang w:val="en-NZ"/>
        </w:rPr>
        <w:t xml:space="preserve"> and sexual offences reduced by 38% </w:t>
      </w:r>
      <w:r>
        <w:rPr>
          <w:lang w:val="en-NZ"/>
        </w:rPr>
        <w:t>and 70</w:t>
      </w:r>
      <w:r w:rsidRPr="00A370E4">
        <w:rPr>
          <w:lang w:val="en-NZ"/>
        </w:rPr>
        <w:t>% respectively.</w:t>
      </w:r>
      <w:r>
        <w:rPr>
          <w:lang w:val="en-NZ"/>
        </w:rPr>
        <w:t xml:space="preserve"> Within the violent offences, the number of injury causing acts or homicide offences was over 1,000 lower in the 12 months after the ITC FGCs compared to the 12 months prior.</w:t>
      </w:r>
    </w:p>
    <w:p w:rsidR="00706A3C" w:rsidRPr="00123030" w:rsidRDefault="00706A3C" w:rsidP="00706A3C">
      <w:pPr>
        <w:pStyle w:val="Caption"/>
      </w:pPr>
      <w:r>
        <w:t>Figure 4</w:t>
      </w:r>
      <w:r w:rsidRPr="00315BE1">
        <w:t>:</w:t>
      </w:r>
      <w:r>
        <w:tab/>
      </w:r>
      <w:r w:rsidRPr="00315BE1">
        <w:t xml:space="preserve">Change in the total frequency of offences committed by </w:t>
      </w:r>
      <w:r>
        <w:t>participants of ITC FGCs held in 2011 and 2012</w:t>
      </w:r>
      <w:r w:rsidRPr="00315BE1">
        <w:t>, by ANZSOC offence division</w:t>
      </w:r>
    </w:p>
    <w:p w:rsidR="00706A3C" w:rsidRDefault="00706A3C" w:rsidP="00706A3C">
      <w:pPr>
        <w:pStyle w:val="Tableheading"/>
        <w:rPr>
          <w:highlight w:val="yellow"/>
        </w:rPr>
      </w:pPr>
      <w:r w:rsidRPr="003E03A7">
        <w:rPr>
          <w:noProof/>
          <w:lang w:val="en-NZ"/>
        </w:rPr>
        <w:drawing>
          <wp:inline distT="0" distB="0" distL="0" distR="0" wp14:anchorId="7A07FECE" wp14:editId="1FC71442">
            <wp:extent cx="5731510" cy="308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081040"/>
                    </a:xfrm>
                    <a:prstGeom prst="rect">
                      <a:avLst/>
                    </a:prstGeom>
                    <a:noFill/>
                    <a:ln>
                      <a:noFill/>
                    </a:ln>
                  </pic:spPr>
                </pic:pic>
              </a:graphicData>
            </a:graphic>
          </wp:inline>
        </w:drawing>
      </w:r>
    </w:p>
    <w:p w:rsidR="00706A3C" w:rsidRPr="00775D48" w:rsidRDefault="00706A3C" w:rsidP="00706A3C">
      <w:pPr>
        <w:pStyle w:val="Caption"/>
        <w:spacing w:after="0"/>
        <w:rPr>
          <w:b w:val="0"/>
        </w:rPr>
      </w:pPr>
    </w:p>
    <w:p w:rsidR="00706A3C" w:rsidRDefault="00706A3C" w:rsidP="00706A3C">
      <w:pPr>
        <w:pStyle w:val="Caption"/>
        <w:ind w:right="-46"/>
      </w:pPr>
      <w:r>
        <w:t>Figure 5:</w:t>
      </w:r>
      <w:r>
        <w:tab/>
      </w:r>
      <w:r w:rsidRPr="00B324C0">
        <w:t xml:space="preserve">Percentage of </w:t>
      </w:r>
      <w:r>
        <w:t>participants of ITC FGCs</w:t>
      </w:r>
      <w:r w:rsidRPr="00B324C0">
        <w:t xml:space="preserve"> </w:t>
      </w:r>
      <w:r>
        <w:t xml:space="preserve">held in 2011 and 2012 </w:t>
      </w:r>
      <w:r w:rsidRPr="00B324C0">
        <w:t>who committed one or more of</w:t>
      </w:r>
      <w:r>
        <w:t>fences within</w:t>
      </w:r>
      <w:r w:rsidRPr="00B324C0">
        <w:t xml:space="preserve"> the </w:t>
      </w:r>
      <w:r w:rsidRPr="00315BE1">
        <w:t xml:space="preserve">ANZSOC </w:t>
      </w:r>
      <w:r w:rsidRPr="00B324C0">
        <w:t>offence division</w:t>
      </w:r>
    </w:p>
    <w:p w:rsidR="00706A3C" w:rsidRPr="00B324C0" w:rsidRDefault="00706A3C" w:rsidP="00706A3C">
      <w:pPr>
        <w:pStyle w:val="Tableheading"/>
        <w:rPr>
          <w:lang w:val="en-NZ"/>
        </w:rPr>
      </w:pPr>
      <w:r w:rsidRPr="003E03A7">
        <w:rPr>
          <w:noProof/>
          <w:lang w:val="en-NZ"/>
        </w:rPr>
        <w:drawing>
          <wp:inline distT="0" distB="0" distL="0" distR="0" wp14:anchorId="3360DF5A" wp14:editId="26653C17">
            <wp:extent cx="5731510" cy="33304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330495"/>
                    </a:xfrm>
                    <a:prstGeom prst="rect">
                      <a:avLst/>
                    </a:prstGeom>
                    <a:noFill/>
                    <a:ln>
                      <a:noFill/>
                    </a:ln>
                  </pic:spPr>
                </pic:pic>
              </a:graphicData>
            </a:graphic>
          </wp:inline>
        </w:drawing>
      </w:r>
    </w:p>
    <w:p w:rsidR="00706A3C" w:rsidRDefault="00706A3C" w:rsidP="00706A3C">
      <w:pPr>
        <w:spacing w:after="0" w:line="240" w:lineRule="auto"/>
        <w:rPr>
          <w:lang w:val="en-NZ"/>
        </w:rPr>
      </w:pPr>
    </w:p>
    <w:p w:rsidR="00706A3C" w:rsidRDefault="00706A3C" w:rsidP="00706A3C">
      <w:pPr>
        <w:spacing w:before="170"/>
        <w:rPr>
          <w:lang w:val="en-NZ"/>
        </w:rPr>
      </w:pPr>
      <w:r>
        <w:rPr>
          <w:lang w:val="en-NZ"/>
        </w:rPr>
        <w:lastRenderedPageBreak/>
        <w:t>Just over half of the ITC FGC participants had committed a theft-related offence in the 12 months prior to the FGC, but in the 12 months after the proportion was much lower at one-third</w:t>
      </w:r>
      <w:r w:rsidRPr="009F1BE7">
        <w:rPr>
          <w:lang w:val="en-NZ"/>
        </w:rPr>
        <w:t xml:space="preserve"> (Figure </w:t>
      </w:r>
      <w:r>
        <w:rPr>
          <w:lang w:val="en-NZ"/>
        </w:rPr>
        <w:t>5</w:t>
      </w:r>
      <w:r w:rsidRPr="009F1BE7">
        <w:rPr>
          <w:lang w:val="en-NZ"/>
        </w:rPr>
        <w:t>)</w:t>
      </w:r>
      <w:r>
        <w:rPr>
          <w:lang w:val="en-NZ"/>
        </w:rPr>
        <w:t>. The proportion committing burglary also dropped by 18 percentage points from 38% to 20%.</w:t>
      </w:r>
    </w:p>
    <w:p w:rsidR="00706A3C" w:rsidRPr="009D175F" w:rsidRDefault="00706A3C" w:rsidP="00706A3C">
      <w:pPr>
        <w:spacing w:before="170"/>
        <w:rPr>
          <w:lang w:val="en-NZ"/>
        </w:rPr>
      </w:pPr>
      <w:r w:rsidRPr="009F1BE7">
        <w:rPr>
          <w:lang w:val="en-NZ"/>
        </w:rPr>
        <w:t xml:space="preserve">For many of the common offence types, the number of offences reduced substantially more than the percentage of </w:t>
      </w:r>
      <w:r>
        <w:rPr>
          <w:lang w:val="en-NZ"/>
        </w:rPr>
        <w:t>FGC participants</w:t>
      </w:r>
      <w:r w:rsidRPr="009F1BE7">
        <w:rPr>
          <w:lang w:val="en-NZ"/>
        </w:rPr>
        <w:t xml:space="preserve"> committing these offences. </w:t>
      </w:r>
      <w:r w:rsidRPr="009D175F">
        <w:rPr>
          <w:lang w:val="en-NZ"/>
        </w:rPr>
        <w:t xml:space="preserve">This suggests that </w:t>
      </w:r>
      <w:r>
        <w:rPr>
          <w:lang w:val="en-NZ"/>
        </w:rPr>
        <w:t>the</w:t>
      </w:r>
      <w:r w:rsidRPr="009D175F">
        <w:rPr>
          <w:lang w:val="en-NZ"/>
        </w:rPr>
        <w:t xml:space="preserve"> high frequency offenders are </w:t>
      </w:r>
      <w:r>
        <w:rPr>
          <w:lang w:val="en-NZ"/>
        </w:rPr>
        <w:t xml:space="preserve">more likely to </w:t>
      </w:r>
      <w:r w:rsidRPr="009D175F">
        <w:rPr>
          <w:lang w:val="en-NZ"/>
        </w:rPr>
        <w:t xml:space="preserve">commit fewer offences after the </w:t>
      </w:r>
      <w:r>
        <w:rPr>
          <w:lang w:val="en-NZ"/>
        </w:rPr>
        <w:t>ITC FGCs</w:t>
      </w:r>
      <w:r w:rsidRPr="009D175F">
        <w:rPr>
          <w:lang w:val="en-NZ"/>
        </w:rPr>
        <w:t xml:space="preserve"> </w:t>
      </w:r>
      <w:r>
        <w:rPr>
          <w:lang w:val="en-NZ"/>
        </w:rPr>
        <w:t xml:space="preserve">than </w:t>
      </w:r>
      <w:r w:rsidRPr="009D175F">
        <w:rPr>
          <w:lang w:val="en-NZ"/>
        </w:rPr>
        <w:t>stop their offending completely</w:t>
      </w:r>
      <w:r w:rsidRPr="009F1BE7">
        <w:rPr>
          <w:lang w:val="en-NZ"/>
        </w:rPr>
        <w:t>.</w:t>
      </w:r>
    </w:p>
    <w:p w:rsidR="00706A3C" w:rsidRPr="001E63E8" w:rsidRDefault="00706A3C" w:rsidP="00706A3C">
      <w:pPr>
        <w:pStyle w:val="Heading3"/>
      </w:pPr>
      <w:r w:rsidRPr="001E63E8">
        <w:t xml:space="preserve">Overall outcomes </w:t>
      </w:r>
      <w:r>
        <w:t>12 months</w:t>
      </w:r>
      <w:r w:rsidRPr="001E63E8">
        <w:t xml:space="preserve"> after </w:t>
      </w:r>
      <w:r>
        <w:t xml:space="preserve">ITC </w:t>
      </w:r>
      <w:r w:rsidRPr="001E63E8">
        <w:t>FGCs</w:t>
      </w:r>
    </w:p>
    <w:p w:rsidR="00706A3C" w:rsidRPr="0009783E" w:rsidRDefault="00706A3C" w:rsidP="00706A3C">
      <w:pPr>
        <w:rPr>
          <w:highlight w:val="yellow"/>
          <w:lang w:val="en-NZ"/>
        </w:rPr>
      </w:pPr>
      <w:r w:rsidRPr="001E63E8">
        <w:rPr>
          <w:lang w:val="en-NZ"/>
        </w:rPr>
        <w:t xml:space="preserve">Table </w:t>
      </w:r>
      <w:r>
        <w:rPr>
          <w:lang w:val="en-NZ"/>
        </w:rPr>
        <w:t>2</w:t>
      </w:r>
      <w:r w:rsidRPr="001E63E8">
        <w:rPr>
          <w:lang w:val="en-NZ"/>
        </w:rPr>
        <w:t xml:space="preserve"> provides </w:t>
      </w:r>
      <w:r>
        <w:rPr>
          <w:lang w:val="en-NZ"/>
        </w:rPr>
        <w:t>12-month</w:t>
      </w:r>
      <w:r w:rsidRPr="001E63E8">
        <w:rPr>
          <w:lang w:val="en-NZ"/>
        </w:rPr>
        <w:t xml:space="preserve"> reoffending outcomes for the participants of ITC FGCs. </w:t>
      </w:r>
    </w:p>
    <w:p w:rsidR="00706A3C" w:rsidRPr="00457B66" w:rsidRDefault="00706A3C" w:rsidP="00706A3C">
      <w:pPr>
        <w:pStyle w:val="Heading4"/>
      </w:pPr>
      <w:r>
        <w:t>Over a third of ITC FGC participants had not reoffended within 12 months</w:t>
      </w:r>
    </w:p>
    <w:p w:rsidR="00706A3C" w:rsidRPr="00457B66" w:rsidRDefault="00706A3C" w:rsidP="00706A3C">
      <w:pPr>
        <w:pStyle w:val="Bullet1"/>
        <w:numPr>
          <w:ilvl w:val="0"/>
          <w:numId w:val="5"/>
        </w:numPr>
      </w:pPr>
      <w:r w:rsidRPr="00457B66">
        <w:t xml:space="preserve">In the </w:t>
      </w:r>
      <w:r>
        <w:t>12 month</w:t>
      </w:r>
      <w:r w:rsidRPr="00457B66">
        <w:t xml:space="preserve"> period following the </w:t>
      </w:r>
      <w:r>
        <w:t xml:space="preserve">ITC </w:t>
      </w:r>
      <w:r w:rsidRPr="00457B66">
        <w:t>FGCs, 3</w:t>
      </w:r>
      <w:r>
        <w:t>6</w:t>
      </w:r>
      <w:r w:rsidRPr="00457B66">
        <w:t>% of participants did not re</w:t>
      </w:r>
      <w:r>
        <w:t>offend</w:t>
      </w:r>
      <w:r w:rsidRPr="00457B66">
        <w:t>.</w:t>
      </w:r>
    </w:p>
    <w:p w:rsidR="00706A3C" w:rsidRPr="00457B66" w:rsidRDefault="00706A3C" w:rsidP="00706A3C">
      <w:pPr>
        <w:pStyle w:val="Bullet1"/>
        <w:numPr>
          <w:ilvl w:val="0"/>
          <w:numId w:val="5"/>
        </w:numPr>
      </w:pPr>
      <w:r w:rsidRPr="00457B66">
        <w:t xml:space="preserve">Females </w:t>
      </w:r>
      <w:r>
        <w:t xml:space="preserve">(46%) </w:t>
      </w:r>
      <w:r w:rsidRPr="00457B66">
        <w:t xml:space="preserve">were </w:t>
      </w:r>
      <w:r>
        <w:t xml:space="preserve">much </w:t>
      </w:r>
      <w:r w:rsidRPr="00457B66">
        <w:t>more likely to have not reoffended than males</w:t>
      </w:r>
      <w:r>
        <w:t xml:space="preserve"> (</w:t>
      </w:r>
      <w:r w:rsidRPr="00457B66">
        <w:t>3</w:t>
      </w:r>
      <w:r>
        <w:t>3</w:t>
      </w:r>
      <w:r w:rsidRPr="00457B66">
        <w:t>%).</w:t>
      </w:r>
    </w:p>
    <w:p w:rsidR="00706A3C" w:rsidRPr="00457B66" w:rsidRDefault="00706A3C" w:rsidP="00706A3C">
      <w:pPr>
        <w:pStyle w:val="Bullet1"/>
        <w:numPr>
          <w:ilvl w:val="0"/>
          <w:numId w:val="5"/>
        </w:numPr>
      </w:pPr>
      <w:r w:rsidRPr="00457B66">
        <w:t xml:space="preserve">Europeans </w:t>
      </w:r>
      <w:r>
        <w:t xml:space="preserve">(38%) </w:t>
      </w:r>
      <w:r w:rsidRPr="00457B66">
        <w:t xml:space="preserve">were </w:t>
      </w:r>
      <w:r>
        <w:t xml:space="preserve">slightly </w:t>
      </w:r>
      <w:r w:rsidRPr="00457B66">
        <w:t>more likely to have not reoffended than Māori or</w:t>
      </w:r>
      <w:r>
        <w:t xml:space="preserve"> Pacific people (</w:t>
      </w:r>
      <w:r w:rsidRPr="00457B66">
        <w:t>33% and 34% respectively).</w:t>
      </w:r>
    </w:p>
    <w:p w:rsidR="00706A3C" w:rsidRPr="009358E5" w:rsidRDefault="00706A3C" w:rsidP="00706A3C">
      <w:pPr>
        <w:pStyle w:val="Heading4"/>
      </w:pPr>
      <w:r>
        <w:t xml:space="preserve">Seven out of every ten of the FGC participants </w:t>
      </w:r>
      <w:r w:rsidRPr="009358E5">
        <w:t xml:space="preserve">reduced the </w:t>
      </w:r>
      <w:r>
        <w:t xml:space="preserve">frequency and/or </w:t>
      </w:r>
      <w:r w:rsidRPr="009358E5">
        <w:t>seriousness of their offend</w:t>
      </w:r>
      <w:r>
        <w:t>ing</w:t>
      </w:r>
    </w:p>
    <w:p w:rsidR="00706A3C" w:rsidRPr="00BF18C6" w:rsidRDefault="00706A3C" w:rsidP="00706A3C">
      <w:pPr>
        <w:pStyle w:val="Bullet1"/>
        <w:numPr>
          <w:ilvl w:val="0"/>
          <w:numId w:val="5"/>
        </w:numPr>
      </w:pPr>
      <w:r w:rsidRPr="00BF18C6">
        <w:t>7</w:t>
      </w:r>
      <w:r>
        <w:t>1</w:t>
      </w:r>
      <w:r w:rsidRPr="00BF18C6">
        <w:t xml:space="preserve">% of </w:t>
      </w:r>
      <w:r>
        <w:t xml:space="preserve">ITC FGC </w:t>
      </w:r>
      <w:r w:rsidRPr="00BF18C6">
        <w:t>participants offended less often, including 3</w:t>
      </w:r>
      <w:r>
        <w:t>5</w:t>
      </w:r>
      <w:r w:rsidRPr="00BF18C6">
        <w:t>% who did not reoffend at all</w:t>
      </w:r>
      <w:r>
        <w:rPr>
          <w:rStyle w:val="FootnoteReference"/>
        </w:rPr>
        <w:footnoteReference w:id="5"/>
      </w:r>
      <w:r w:rsidRPr="00BF18C6">
        <w:t xml:space="preserve"> and 3</w:t>
      </w:r>
      <w:r>
        <w:t>5</w:t>
      </w:r>
      <w:r w:rsidRPr="00BF18C6">
        <w:t xml:space="preserve">% who reoffended at a lower rate than before. </w:t>
      </w:r>
      <w:r>
        <w:t>Twenty per cent</w:t>
      </w:r>
      <w:r w:rsidRPr="00BF18C6">
        <w:t xml:space="preserve"> of young people offended more often and 9% offended at the same rate as before.</w:t>
      </w:r>
    </w:p>
    <w:p w:rsidR="00706A3C" w:rsidRDefault="00706A3C" w:rsidP="00706A3C">
      <w:pPr>
        <w:pStyle w:val="Bullet1"/>
        <w:numPr>
          <w:ilvl w:val="0"/>
          <w:numId w:val="5"/>
        </w:numPr>
      </w:pPr>
      <w:r w:rsidRPr="004C1DDC">
        <w:t>7</w:t>
      </w:r>
      <w:r>
        <w:t>2</w:t>
      </w:r>
      <w:r w:rsidRPr="004C1DDC">
        <w:t>% of participants reduced the total seriousness of their offending, including 3</w:t>
      </w:r>
      <w:r>
        <w:t>5</w:t>
      </w:r>
      <w:r w:rsidRPr="004C1DDC">
        <w:t>% who achieved this by not reoffending at all and 3</w:t>
      </w:r>
      <w:r>
        <w:t>6</w:t>
      </w:r>
      <w:r w:rsidRPr="004C1DDC">
        <w:t xml:space="preserve">% who reoffended at a lower level of seriousness than before. </w:t>
      </w:r>
      <w:r>
        <w:t>A</w:t>
      </w:r>
      <w:r w:rsidRPr="004C1DDC">
        <w:t xml:space="preserve"> quarter of participants committed more serious offences and </w:t>
      </w:r>
      <w:r>
        <w:t>3</w:t>
      </w:r>
      <w:r w:rsidRPr="004C1DDC">
        <w:t>% committed offences of the same total seriousness</w:t>
      </w:r>
      <w:r>
        <w:t>.</w:t>
      </w:r>
    </w:p>
    <w:p w:rsidR="00706A3C" w:rsidRPr="004153BE" w:rsidRDefault="00706A3C" w:rsidP="00706A3C">
      <w:pPr>
        <w:pStyle w:val="Bullet1"/>
        <w:numPr>
          <w:ilvl w:val="0"/>
          <w:numId w:val="5"/>
        </w:numPr>
      </w:pPr>
      <w:r>
        <w:t>70</w:t>
      </w:r>
      <w:r w:rsidRPr="004C1DDC">
        <w:t xml:space="preserve">% of participants reduced </w:t>
      </w:r>
      <w:r>
        <w:t>the seriousness of the most serious offence</w:t>
      </w:r>
      <w:r w:rsidRPr="004C1DDC">
        <w:t>, including 3</w:t>
      </w:r>
      <w:r>
        <w:t>5</w:t>
      </w:r>
      <w:r w:rsidRPr="004C1DDC">
        <w:t>% who achieved this by not reoffending at all and 3</w:t>
      </w:r>
      <w:r>
        <w:t>4</w:t>
      </w:r>
      <w:r w:rsidRPr="004C1DDC">
        <w:t xml:space="preserve">% who reoffended at a lower level of seriousness than before. </w:t>
      </w:r>
      <w:r>
        <w:t xml:space="preserve">Twenty-four per cent </w:t>
      </w:r>
      <w:r w:rsidRPr="004C1DDC">
        <w:t>of participants</w:t>
      </w:r>
      <w:r>
        <w:t xml:space="preserve"> committed a more serious offence</w:t>
      </w:r>
      <w:r w:rsidRPr="004C1DDC">
        <w:t xml:space="preserve"> and </w:t>
      </w:r>
      <w:r>
        <w:t>6</w:t>
      </w:r>
      <w:r w:rsidRPr="004C1DDC">
        <w:t>% committed</w:t>
      </w:r>
      <w:r>
        <w:t xml:space="preserve"> an offence of the same </w:t>
      </w:r>
      <w:r w:rsidRPr="004153BE">
        <w:t>seriousness.</w:t>
      </w:r>
    </w:p>
    <w:p w:rsidR="00706A3C" w:rsidRPr="004153BE" w:rsidRDefault="00706A3C" w:rsidP="00706A3C">
      <w:pPr>
        <w:pStyle w:val="Bullet1"/>
        <w:numPr>
          <w:ilvl w:val="0"/>
          <w:numId w:val="5"/>
        </w:numPr>
      </w:pPr>
      <w:r>
        <w:t xml:space="preserve">Just over three-quarters </w:t>
      </w:r>
      <w:r w:rsidRPr="004153BE">
        <w:t>of females reduced their frequency and</w:t>
      </w:r>
      <w:r>
        <w:t>/or</w:t>
      </w:r>
      <w:r w:rsidRPr="004153BE">
        <w:t xml:space="preserve"> seriousness of offending compared with </w:t>
      </w:r>
      <w:r>
        <w:t>around</w:t>
      </w:r>
      <w:r w:rsidRPr="004153BE">
        <w:t xml:space="preserve"> 70%</w:t>
      </w:r>
      <w:r>
        <w:t xml:space="preserve"> of males.</w:t>
      </w:r>
    </w:p>
    <w:p w:rsidR="00706A3C" w:rsidRDefault="00706A3C" w:rsidP="00706A3C">
      <w:pPr>
        <w:pStyle w:val="Bullet1"/>
        <w:numPr>
          <w:ilvl w:val="0"/>
          <w:numId w:val="5"/>
        </w:numPr>
      </w:pPr>
      <w:r w:rsidRPr="004153BE">
        <w:t>The</w:t>
      </w:r>
      <w:r>
        <w:t xml:space="preserve">re was little difference in the proportion of young people in each ethnic group </w:t>
      </w:r>
      <w:r w:rsidRPr="004153BE">
        <w:t>who reduced the frequency and</w:t>
      </w:r>
      <w:r>
        <w:t>/or</w:t>
      </w:r>
      <w:r w:rsidRPr="004153BE">
        <w:t xml:space="preserve"> seriousness of their offending.</w:t>
      </w:r>
    </w:p>
    <w:p w:rsidR="00706A3C" w:rsidRPr="00E07528" w:rsidRDefault="00706A3C" w:rsidP="00706A3C">
      <w:pPr>
        <w:pStyle w:val="Bullet1"/>
        <w:numPr>
          <w:ilvl w:val="0"/>
          <w:numId w:val="5"/>
        </w:numPr>
      </w:pPr>
      <w:r>
        <w:t>12-month reoffending outcomes were similar for ITC FGCs held in 2011 compared with those held in 2012 (not shown in the report).</w:t>
      </w:r>
    </w:p>
    <w:p w:rsidR="00706A3C" w:rsidRDefault="00706A3C" w:rsidP="00706A3C">
      <w:pPr>
        <w:spacing w:after="0" w:line="240" w:lineRule="auto"/>
        <w:rPr>
          <w:b/>
          <w:bCs/>
          <w:color w:val="000000" w:themeColor="text1"/>
          <w:lang w:val="en-NZ"/>
        </w:rPr>
      </w:pPr>
      <w:r>
        <w:br w:type="page"/>
      </w:r>
    </w:p>
    <w:p w:rsidR="00706A3C" w:rsidRPr="004B6FE8" w:rsidRDefault="00706A3C" w:rsidP="00706A3C">
      <w:pPr>
        <w:pStyle w:val="Caption"/>
      </w:pPr>
      <w:r w:rsidRPr="004B6FE8">
        <w:lastRenderedPageBreak/>
        <w:t xml:space="preserve">Table </w:t>
      </w:r>
      <w:r>
        <w:t>2</w:t>
      </w:r>
      <w:r w:rsidRPr="004B6FE8">
        <w:t>:</w:t>
      </w:r>
      <w:r w:rsidRPr="004B6FE8">
        <w:tab/>
        <w:t xml:space="preserve">Outcomes </w:t>
      </w:r>
      <w:r>
        <w:t>12 months</w:t>
      </w:r>
      <w:r w:rsidRPr="004B6FE8">
        <w:t xml:space="preserve"> after </w:t>
      </w:r>
      <w:r>
        <w:t xml:space="preserve">ITC </w:t>
      </w:r>
      <w:r w:rsidRPr="004B6FE8">
        <w:t>FGCs were held</w:t>
      </w:r>
      <w:r>
        <w:t xml:space="preserve"> in 2011 and 2012</w:t>
      </w:r>
      <w:r w:rsidRPr="004B6FE8">
        <w:t>, by ethnicity</w:t>
      </w:r>
    </w:p>
    <w:tbl>
      <w:tblPr>
        <w:tblStyle w:val="MSD1"/>
        <w:tblW w:w="9039" w:type="dxa"/>
        <w:tblLayout w:type="fixed"/>
        <w:tblLook w:val="05A0" w:firstRow="1" w:lastRow="0" w:firstColumn="1" w:lastColumn="1" w:noHBand="0" w:noVBand="1"/>
      </w:tblPr>
      <w:tblGrid>
        <w:gridCol w:w="4219"/>
        <w:gridCol w:w="1205"/>
        <w:gridCol w:w="1205"/>
        <w:gridCol w:w="1205"/>
        <w:gridCol w:w="1205"/>
      </w:tblGrid>
      <w:tr w:rsidR="00706A3C" w:rsidRPr="00933AC9" w:rsidTr="00706A3C">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4219" w:type="dxa"/>
            <w:vAlign w:val="top"/>
            <w:hideMark/>
          </w:tcPr>
          <w:p w:rsidR="00706A3C" w:rsidRPr="00933AC9" w:rsidRDefault="00706A3C" w:rsidP="00706A3C">
            <w:pPr>
              <w:spacing w:before="20" w:after="20" w:line="240" w:lineRule="auto"/>
              <w:rPr>
                <w:sz w:val="20"/>
                <w:lang w:val="en-NZ"/>
              </w:rPr>
            </w:pPr>
            <w:r w:rsidRPr="00933AC9">
              <w:rPr>
                <w:sz w:val="20"/>
                <w:lang w:val="en-NZ"/>
              </w:rPr>
              <w:t>Outcome</w:t>
            </w:r>
          </w:p>
          <w:p w:rsidR="00706A3C" w:rsidRPr="00B12D49" w:rsidRDefault="00706A3C" w:rsidP="00706A3C">
            <w:pPr>
              <w:spacing w:before="20" w:after="20" w:line="240" w:lineRule="auto"/>
              <w:rPr>
                <w:b w:val="0"/>
                <w:sz w:val="16"/>
                <w:szCs w:val="16"/>
                <w:lang w:val="en-NZ"/>
              </w:rPr>
            </w:pPr>
            <w:r w:rsidRPr="00B12D49">
              <w:rPr>
                <w:b w:val="0"/>
                <w:sz w:val="16"/>
                <w:szCs w:val="16"/>
                <w:lang w:val="en-NZ"/>
              </w:rPr>
              <w:t>(reductions compare after period to same period before)</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European</w:t>
            </w:r>
            <w:r>
              <w:rPr>
                <w:b w:val="0"/>
                <w:sz w:val="20"/>
                <w:lang w:val="en-NZ"/>
              </w:rPr>
              <w:br/>
            </w:r>
            <w:r w:rsidRPr="00AE18CB">
              <w:rPr>
                <w:b w:val="0"/>
                <w:sz w:val="16"/>
                <w:szCs w:val="16"/>
                <w:lang w:val="en-NZ"/>
              </w:rPr>
              <w:t>(n=</w:t>
            </w:r>
            <w:r>
              <w:rPr>
                <w:b w:val="0"/>
                <w:sz w:val="16"/>
                <w:szCs w:val="16"/>
                <w:lang w:val="en-NZ"/>
              </w:rPr>
              <w:t>1,439</w:t>
            </w:r>
            <w:r w:rsidRPr="00AE18CB">
              <w:rPr>
                <w:b w:val="0"/>
                <w:sz w:val="16"/>
                <w:szCs w:val="16"/>
                <w:lang w:val="en-NZ"/>
              </w:rPr>
              <w:t>)</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Māori</w:t>
            </w:r>
            <w:r>
              <w:rPr>
                <w:b w:val="0"/>
                <w:sz w:val="20"/>
                <w:lang w:val="en-NZ"/>
              </w:rPr>
              <w:br/>
            </w:r>
            <w:r w:rsidRPr="00AE18CB">
              <w:rPr>
                <w:b w:val="0"/>
                <w:sz w:val="16"/>
                <w:szCs w:val="16"/>
                <w:lang w:val="en-NZ"/>
              </w:rPr>
              <w:t>(n=</w:t>
            </w:r>
            <w:r>
              <w:rPr>
                <w:b w:val="0"/>
                <w:sz w:val="16"/>
                <w:szCs w:val="16"/>
                <w:lang w:val="en-NZ"/>
              </w:rPr>
              <w:t>1,999</w:t>
            </w:r>
            <w:r w:rsidRPr="00AE18CB">
              <w:rPr>
                <w:b w:val="0"/>
                <w:sz w:val="16"/>
                <w:szCs w:val="16"/>
                <w:lang w:val="en-NZ"/>
              </w:rPr>
              <w:t>)</w:t>
            </w:r>
          </w:p>
        </w:tc>
        <w:tc>
          <w:tcPr>
            <w:tcW w:w="1205" w:type="dxa"/>
            <w:vAlign w:val="top"/>
            <w:hideMark/>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Pacific people</w:t>
            </w:r>
            <w:r>
              <w:rPr>
                <w:b w:val="0"/>
                <w:sz w:val="20"/>
                <w:lang w:val="en-NZ"/>
              </w:rPr>
              <w:br/>
            </w:r>
            <w:r w:rsidRPr="00AE18CB">
              <w:rPr>
                <w:b w:val="0"/>
                <w:sz w:val="16"/>
                <w:szCs w:val="16"/>
                <w:lang w:val="en-NZ"/>
              </w:rPr>
              <w:t>(n=</w:t>
            </w:r>
            <w:r>
              <w:rPr>
                <w:b w:val="0"/>
                <w:sz w:val="16"/>
                <w:szCs w:val="16"/>
                <w:lang w:val="en-NZ"/>
              </w:rPr>
              <w:t>405</w:t>
            </w:r>
            <w:r w:rsidRPr="00AE18CB">
              <w:rPr>
                <w:b w:val="0"/>
                <w:sz w:val="16"/>
                <w:szCs w:val="16"/>
                <w:lang w:val="en-NZ"/>
              </w:rPr>
              <w:t>)</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933AC9" w:rsidRDefault="00706A3C" w:rsidP="00706A3C">
            <w:pPr>
              <w:spacing w:before="20" w:after="20" w:line="240" w:lineRule="auto"/>
              <w:rPr>
                <w:sz w:val="20"/>
                <w:lang w:val="en-NZ"/>
              </w:rPr>
            </w:pPr>
            <w:r w:rsidRPr="00724D6D">
              <w:rPr>
                <w:sz w:val="18"/>
                <w:szCs w:val="18"/>
                <w:lang w:val="en-NZ"/>
              </w:rPr>
              <w:t>Overall</w:t>
            </w:r>
            <w:r>
              <w:rPr>
                <w:b w:val="0"/>
                <w:sz w:val="20"/>
                <w:lang w:val="en-NZ"/>
              </w:rPr>
              <w:br/>
            </w:r>
            <w:r w:rsidRPr="00AE18CB">
              <w:rPr>
                <w:b w:val="0"/>
                <w:sz w:val="16"/>
                <w:szCs w:val="16"/>
                <w:lang w:val="en-NZ"/>
              </w:rPr>
              <w:t>(n=</w:t>
            </w:r>
            <w:r>
              <w:rPr>
                <w:b w:val="0"/>
                <w:sz w:val="16"/>
                <w:szCs w:val="16"/>
                <w:lang w:val="en-NZ"/>
              </w:rPr>
              <w:t>3,936</w:t>
            </w:r>
            <w:r w:rsidRPr="00AE18CB">
              <w:rPr>
                <w:b w:val="0"/>
                <w:sz w:val="16"/>
                <w:szCs w:val="16"/>
                <w:lang w:val="en-NZ"/>
              </w:rPr>
              <w:t>)</w:t>
            </w:r>
          </w:p>
        </w:tc>
      </w:tr>
      <w:tr w:rsidR="00706A3C" w:rsidRPr="007D61DF" w:rsidTr="00706A3C">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Did not reoffend</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38%</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33%</w:t>
            </w:r>
          </w:p>
        </w:tc>
        <w:tc>
          <w:tcPr>
            <w:tcW w:w="1205" w:type="dxa"/>
            <w:hideMark/>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34%</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36%</w:t>
            </w:r>
          </w:p>
        </w:tc>
      </w:tr>
      <w:tr w:rsidR="00706A3C" w:rsidRPr="007D61DF" w:rsidTr="00706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Reduced frequency of offending</w:t>
            </w:r>
            <w:r w:rsidRPr="007D61DF">
              <w:rPr>
                <w:sz w:val="18"/>
                <w:szCs w:val="18"/>
                <w:vertAlign w:val="superscript"/>
              </w:rPr>
              <w:t>1</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72%</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70%</w:t>
            </w:r>
          </w:p>
        </w:tc>
        <w:tc>
          <w:tcPr>
            <w:tcW w:w="1205" w:type="dxa"/>
            <w:hideMark/>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70%</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71%</w:t>
            </w:r>
          </w:p>
        </w:tc>
      </w:tr>
      <w:tr w:rsidR="00706A3C" w:rsidRPr="007D61DF" w:rsidTr="00706A3C">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20" w:line="240" w:lineRule="auto"/>
              <w:rPr>
                <w:sz w:val="18"/>
                <w:szCs w:val="18"/>
              </w:rPr>
            </w:pPr>
            <w:r w:rsidRPr="007D61DF">
              <w:rPr>
                <w:sz w:val="18"/>
                <w:szCs w:val="18"/>
              </w:rPr>
              <w:t>Reduced total seriousness of offending</w:t>
            </w:r>
            <w:r w:rsidRPr="007D61DF">
              <w:rPr>
                <w:sz w:val="18"/>
                <w:szCs w:val="18"/>
                <w:vertAlign w:val="superscript"/>
              </w:rPr>
              <w:t>1</w:t>
            </w:r>
          </w:p>
        </w:tc>
        <w:tc>
          <w:tcPr>
            <w:tcW w:w="1205" w:type="dxa"/>
          </w:tcPr>
          <w:p w:rsidR="00706A3C" w:rsidRPr="007D61DF" w:rsidRDefault="00706A3C" w:rsidP="00706A3C">
            <w:pPr>
              <w:pStyle w:val="TableText"/>
              <w:spacing w:before="0" w:after="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72%</w:t>
            </w:r>
          </w:p>
        </w:tc>
        <w:tc>
          <w:tcPr>
            <w:tcW w:w="1205" w:type="dxa"/>
          </w:tcPr>
          <w:p w:rsidR="00706A3C" w:rsidRPr="007D61DF" w:rsidRDefault="00706A3C" w:rsidP="00706A3C">
            <w:pPr>
              <w:pStyle w:val="TableText"/>
              <w:spacing w:before="0" w:after="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71%</w:t>
            </w:r>
          </w:p>
        </w:tc>
        <w:tc>
          <w:tcPr>
            <w:tcW w:w="1205" w:type="dxa"/>
            <w:hideMark/>
          </w:tcPr>
          <w:p w:rsidR="00706A3C" w:rsidRPr="007D61DF" w:rsidRDefault="00706A3C" w:rsidP="00706A3C">
            <w:pPr>
              <w:pStyle w:val="TableText"/>
              <w:spacing w:before="0" w:after="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71%</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20" w:line="240" w:lineRule="auto"/>
              <w:rPr>
                <w:sz w:val="18"/>
                <w:szCs w:val="18"/>
              </w:rPr>
            </w:pPr>
            <w:r w:rsidRPr="007D61DF">
              <w:rPr>
                <w:sz w:val="18"/>
                <w:szCs w:val="18"/>
              </w:rPr>
              <w:t>72%</w:t>
            </w:r>
          </w:p>
        </w:tc>
      </w:tr>
      <w:tr w:rsidR="00706A3C" w:rsidRPr="007D61DF" w:rsidTr="00706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706A3C" w:rsidRPr="007D61DF" w:rsidRDefault="00706A3C" w:rsidP="00706A3C">
            <w:pPr>
              <w:pStyle w:val="TableText"/>
              <w:spacing w:before="0" w:after="0" w:line="240" w:lineRule="auto"/>
              <w:rPr>
                <w:sz w:val="18"/>
                <w:szCs w:val="18"/>
              </w:rPr>
            </w:pPr>
            <w:r w:rsidRPr="007D61DF">
              <w:rPr>
                <w:sz w:val="18"/>
                <w:szCs w:val="18"/>
              </w:rPr>
              <w:t>Reduced seriousness of most serious offence</w:t>
            </w:r>
            <w:r w:rsidRPr="007D61DF">
              <w:rPr>
                <w:sz w:val="18"/>
                <w:szCs w:val="18"/>
                <w:vertAlign w:val="superscript"/>
              </w:rPr>
              <w:t>1</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70%</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69%</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69%</w:t>
            </w:r>
          </w:p>
        </w:tc>
        <w:tc>
          <w:tcPr>
            <w:cnfStyle w:val="000100000000" w:firstRow="0" w:lastRow="0" w:firstColumn="0" w:lastColumn="1" w:oddVBand="0" w:evenVBand="0" w:oddHBand="0" w:evenHBand="0" w:firstRowFirstColumn="0" w:firstRowLastColumn="0" w:lastRowFirstColumn="0" w:lastRowLastColumn="0"/>
            <w:tcW w:w="1205" w:type="dxa"/>
          </w:tcPr>
          <w:p w:rsidR="00706A3C" w:rsidRPr="007D61DF" w:rsidRDefault="00706A3C" w:rsidP="00706A3C">
            <w:pPr>
              <w:pStyle w:val="TableText"/>
              <w:spacing w:before="0" w:after="0" w:line="240" w:lineRule="auto"/>
              <w:rPr>
                <w:sz w:val="18"/>
                <w:szCs w:val="18"/>
              </w:rPr>
            </w:pPr>
            <w:r w:rsidRPr="007D61DF">
              <w:rPr>
                <w:sz w:val="18"/>
                <w:szCs w:val="18"/>
              </w:rPr>
              <w:t>70%</w:t>
            </w:r>
          </w:p>
        </w:tc>
      </w:tr>
      <w:tr w:rsidR="00706A3C" w:rsidRPr="007D61DF" w:rsidTr="00706A3C">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Received a custodial sentence</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3%</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5%</w:t>
            </w:r>
          </w:p>
        </w:tc>
        <w:tc>
          <w:tcPr>
            <w:tcW w:w="1205" w:type="dxa"/>
            <w:hideMark/>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4%</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4%</w:t>
            </w:r>
          </w:p>
        </w:tc>
      </w:tr>
    </w:tbl>
    <w:p w:rsidR="00706A3C" w:rsidRPr="00B12D49" w:rsidRDefault="00706A3C" w:rsidP="00706A3C">
      <w:pPr>
        <w:pStyle w:val="BodyText"/>
        <w:spacing w:after="0" w:line="240" w:lineRule="auto"/>
        <w:rPr>
          <w:rFonts w:ascii="Verdana" w:hAnsi="Verdana"/>
          <w:sz w:val="18"/>
          <w:szCs w:val="18"/>
        </w:rPr>
      </w:pPr>
      <w:r w:rsidRPr="00B12D49">
        <w:rPr>
          <w:rFonts w:ascii="Verdana" w:hAnsi="Verdana"/>
          <w:sz w:val="18"/>
          <w:szCs w:val="18"/>
        </w:rPr>
        <w:t>Note:</w:t>
      </w:r>
    </w:p>
    <w:p w:rsidR="00706A3C" w:rsidRPr="00B12D49" w:rsidRDefault="00706A3C" w:rsidP="00706A3C">
      <w:pPr>
        <w:pStyle w:val="BodyText"/>
        <w:numPr>
          <w:ilvl w:val="0"/>
          <w:numId w:val="21"/>
        </w:numPr>
        <w:spacing w:after="0" w:line="240" w:lineRule="auto"/>
        <w:rPr>
          <w:rFonts w:ascii="Verdana" w:hAnsi="Verdana"/>
          <w:sz w:val="18"/>
          <w:szCs w:val="18"/>
        </w:rPr>
      </w:pPr>
      <w:r w:rsidRPr="00B12D49">
        <w:rPr>
          <w:rFonts w:ascii="Verdana" w:hAnsi="Verdana"/>
          <w:sz w:val="18"/>
          <w:szCs w:val="18"/>
        </w:rPr>
        <w:t>Figures include individuals who did not reoffend.</w:t>
      </w:r>
    </w:p>
    <w:p w:rsidR="00706A3C" w:rsidRDefault="00706A3C" w:rsidP="00706A3C">
      <w:pPr>
        <w:pStyle w:val="BodyText"/>
        <w:spacing w:after="0"/>
      </w:pPr>
    </w:p>
    <w:p w:rsidR="00706A3C" w:rsidRPr="002530B5" w:rsidRDefault="00706A3C" w:rsidP="00706A3C">
      <w:pPr>
        <w:pStyle w:val="Heading4"/>
      </w:pPr>
      <w:r>
        <w:t>Four per cent received a custodial sentence within 12 months of the FGCs being held</w:t>
      </w:r>
    </w:p>
    <w:p w:rsidR="00706A3C" w:rsidRPr="002530B5" w:rsidRDefault="00706A3C" w:rsidP="00706A3C">
      <w:pPr>
        <w:pStyle w:val="Bullet1"/>
        <w:numPr>
          <w:ilvl w:val="0"/>
          <w:numId w:val="5"/>
        </w:numPr>
      </w:pPr>
      <w:r>
        <w:t>Four per cent o</w:t>
      </w:r>
      <w:r w:rsidRPr="002530B5">
        <w:t>f young people received a custodial sentence (</w:t>
      </w:r>
      <w:r>
        <w:t>Supervision with Residence</w:t>
      </w:r>
      <w:r w:rsidRPr="002530B5">
        <w:t xml:space="preserve"> or </w:t>
      </w:r>
      <w:r>
        <w:t>imprisonment</w:t>
      </w:r>
      <w:r w:rsidRPr="002530B5">
        <w:t xml:space="preserve">) in the 12 months after the </w:t>
      </w:r>
      <w:r>
        <w:t xml:space="preserve">ITC </w:t>
      </w:r>
      <w:r w:rsidRPr="002530B5">
        <w:t>FGC</w:t>
      </w:r>
      <w:r>
        <w:t>s. A</w:t>
      </w:r>
      <w:r w:rsidRPr="002530B5">
        <w:t>nother 6% receiv</w:t>
      </w:r>
      <w:r>
        <w:t>ed</w:t>
      </w:r>
      <w:r w:rsidRPr="002530B5">
        <w:t xml:space="preserve"> </w:t>
      </w:r>
      <w:r>
        <w:t>Supervision with Activity</w:t>
      </w:r>
      <w:r w:rsidRPr="002530B5">
        <w:t xml:space="preserve"> or stand-alone </w:t>
      </w:r>
      <w:r>
        <w:t>S</w:t>
      </w:r>
      <w:r w:rsidRPr="002530B5">
        <w:t>upervision orders</w:t>
      </w:r>
      <w:r>
        <w:t xml:space="preserve"> (Table 3).</w:t>
      </w:r>
    </w:p>
    <w:p w:rsidR="00706A3C" w:rsidRPr="004B6FE8" w:rsidRDefault="00706A3C" w:rsidP="00706A3C">
      <w:pPr>
        <w:pStyle w:val="BodyText"/>
        <w:spacing w:after="0"/>
      </w:pPr>
    </w:p>
    <w:p w:rsidR="00706A3C" w:rsidRDefault="00706A3C" w:rsidP="00706A3C">
      <w:pPr>
        <w:pStyle w:val="Caption"/>
        <w:rPr>
          <w:highlight w:val="yellow"/>
        </w:rPr>
      </w:pPr>
      <w:r w:rsidRPr="004B6FE8">
        <w:t xml:space="preserve">Table </w:t>
      </w:r>
      <w:r>
        <w:t>3</w:t>
      </w:r>
      <w:r w:rsidRPr="004B6FE8">
        <w:t>:</w:t>
      </w:r>
      <w:r w:rsidRPr="004B6FE8">
        <w:tab/>
      </w:r>
      <w:r>
        <w:t>Most serious sanction received within 12 months</w:t>
      </w:r>
      <w:r w:rsidRPr="004B6FE8">
        <w:t xml:space="preserve"> </w:t>
      </w:r>
      <w:r>
        <w:t>of ITC FGCs being held in 2011 and 2012, by ethnicity</w:t>
      </w:r>
    </w:p>
    <w:tbl>
      <w:tblPr>
        <w:tblStyle w:val="MSD1"/>
        <w:tblW w:w="9039" w:type="dxa"/>
        <w:tblLayout w:type="fixed"/>
        <w:tblLook w:val="05A0" w:firstRow="1" w:lastRow="0" w:firstColumn="1" w:lastColumn="1" w:noHBand="0" w:noVBand="1"/>
      </w:tblPr>
      <w:tblGrid>
        <w:gridCol w:w="4219"/>
        <w:gridCol w:w="1205"/>
        <w:gridCol w:w="1205"/>
        <w:gridCol w:w="1205"/>
        <w:gridCol w:w="1205"/>
      </w:tblGrid>
      <w:tr w:rsidR="00706A3C" w:rsidRPr="0009783E" w:rsidTr="00706A3C">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4219" w:type="dxa"/>
            <w:vAlign w:val="top"/>
            <w:hideMark/>
          </w:tcPr>
          <w:p w:rsidR="00706A3C" w:rsidRPr="007D61DF" w:rsidRDefault="00706A3C" w:rsidP="00706A3C">
            <w:pPr>
              <w:spacing w:before="20" w:after="20" w:line="240" w:lineRule="auto"/>
              <w:rPr>
                <w:sz w:val="20"/>
                <w:lang w:val="en-NZ"/>
              </w:rPr>
            </w:pPr>
            <w:r w:rsidRPr="007D61DF">
              <w:rPr>
                <w:sz w:val="20"/>
                <w:lang w:val="en-NZ"/>
              </w:rPr>
              <w:t>Sanction</w:t>
            </w:r>
          </w:p>
          <w:p w:rsidR="00706A3C" w:rsidRPr="004B6FE8" w:rsidRDefault="00706A3C" w:rsidP="00706A3C">
            <w:pPr>
              <w:spacing w:before="20" w:after="20" w:line="240" w:lineRule="auto"/>
              <w:rPr>
                <w:lang w:val="en-NZ"/>
              </w:rPr>
            </w:pPr>
            <w:r w:rsidRPr="00B12D49">
              <w:rPr>
                <w:b w:val="0"/>
                <w:sz w:val="16"/>
                <w:szCs w:val="16"/>
                <w:lang w:val="en-NZ"/>
              </w:rPr>
              <w:t>(Youth Court supervision orders or imprisonment)</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European</w:t>
            </w:r>
            <w:r>
              <w:rPr>
                <w:b w:val="0"/>
                <w:sz w:val="20"/>
                <w:lang w:val="en-NZ"/>
              </w:rPr>
              <w:br/>
            </w:r>
            <w:r w:rsidRPr="00AE18CB">
              <w:rPr>
                <w:b w:val="0"/>
                <w:sz w:val="16"/>
                <w:szCs w:val="16"/>
                <w:lang w:val="en-NZ"/>
              </w:rPr>
              <w:t>(n=</w:t>
            </w:r>
            <w:r>
              <w:rPr>
                <w:b w:val="0"/>
                <w:sz w:val="16"/>
                <w:szCs w:val="16"/>
                <w:lang w:val="en-NZ"/>
              </w:rPr>
              <w:t>1,439</w:t>
            </w:r>
            <w:r w:rsidRPr="00AE18CB">
              <w:rPr>
                <w:b w:val="0"/>
                <w:sz w:val="16"/>
                <w:szCs w:val="16"/>
                <w:lang w:val="en-NZ"/>
              </w:rPr>
              <w:t>)</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Māori</w:t>
            </w:r>
            <w:r>
              <w:rPr>
                <w:b w:val="0"/>
                <w:sz w:val="20"/>
                <w:lang w:val="en-NZ"/>
              </w:rPr>
              <w:br/>
            </w:r>
            <w:r w:rsidRPr="00AE18CB">
              <w:rPr>
                <w:b w:val="0"/>
                <w:sz w:val="16"/>
                <w:szCs w:val="16"/>
                <w:lang w:val="en-NZ"/>
              </w:rPr>
              <w:t>(n=</w:t>
            </w:r>
            <w:r>
              <w:rPr>
                <w:b w:val="0"/>
                <w:sz w:val="16"/>
                <w:szCs w:val="16"/>
                <w:lang w:val="en-NZ"/>
              </w:rPr>
              <w:t>1,999</w:t>
            </w:r>
            <w:r w:rsidRPr="00AE18CB">
              <w:rPr>
                <w:b w:val="0"/>
                <w:sz w:val="16"/>
                <w:szCs w:val="16"/>
                <w:lang w:val="en-NZ"/>
              </w:rPr>
              <w:t>)</w:t>
            </w:r>
          </w:p>
        </w:tc>
        <w:tc>
          <w:tcPr>
            <w:tcW w:w="1205" w:type="dxa"/>
            <w:vAlign w:val="top"/>
            <w:hideMark/>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Pacific people</w:t>
            </w:r>
            <w:r>
              <w:rPr>
                <w:b w:val="0"/>
                <w:sz w:val="20"/>
                <w:lang w:val="en-NZ"/>
              </w:rPr>
              <w:br/>
            </w:r>
            <w:r w:rsidRPr="00AE18CB">
              <w:rPr>
                <w:b w:val="0"/>
                <w:sz w:val="16"/>
                <w:szCs w:val="16"/>
                <w:lang w:val="en-NZ"/>
              </w:rPr>
              <w:t>(n=</w:t>
            </w:r>
            <w:r>
              <w:rPr>
                <w:b w:val="0"/>
                <w:sz w:val="16"/>
                <w:szCs w:val="16"/>
                <w:lang w:val="en-NZ"/>
              </w:rPr>
              <w:t>405</w:t>
            </w:r>
            <w:r w:rsidRPr="00AE18CB">
              <w:rPr>
                <w:b w:val="0"/>
                <w:sz w:val="16"/>
                <w:szCs w:val="16"/>
                <w:lang w:val="en-NZ"/>
              </w:rPr>
              <w:t>)</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933AC9" w:rsidRDefault="00706A3C" w:rsidP="00706A3C">
            <w:pPr>
              <w:spacing w:before="20" w:after="20" w:line="240" w:lineRule="auto"/>
              <w:rPr>
                <w:sz w:val="20"/>
                <w:lang w:val="en-NZ"/>
              </w:rPr>
            </w:pPr>
            <w:r w:rsidRPr="007D61DF">
              <w:rPr>
                <w:sz w:val="18"/>
                <w:szCs w:val="18"/>
                <w:lang w:val="en-NZ"/>
              </w:rPr>
              <w:t>Overall</w:t>
            </w:r>
            <w:r>
              <w:rPr>
                <w:b w:val="0"/>
                <w:sz w:val="20"/>
                <w:lang w:val="en-NZ"/>
              </w:rPr>
              <w:br/>
            </w:r>
            <w:r w:rsidRPr="00AE18CB">
              <w:rPr>
                <w:b w:val="0"/>
                <w:sz w:val="16"/>
                <w:szCs w:val="16"/>
                <w:lang w:val="en-NZ"/>
              </w:rPr>
              <w:t>(n=</w:t>
            </w:r>
            <w:r>
              <w:rPr>
                <w:b w:val="0"/>
                <w:sz w:val="16"/>
                <w:szCs w:val="16"/>
                <w:lang w:val="en-NZ"/>
              </w:rPr>
              <w:t>3,936</w:t>
            </w:r>
            <w:r w:rsidRPr="00AE18CB">
              <w:rPr>
                <w:b w:val="0"/>
                <w:sz w:val="16"/>
                <w:szCs w:val="16"/>
                <w:lang w:val="en-NZ"/>
              </w:rPr>
              <w:t>)</w:t>
            </w:r>
          </w:p>
        </w:tc>
      </w:tr>
      <w:tr w:rsidR="00706A3C" w:rsidRPr="007D61DF"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No imprisonment or supervision orders</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92%</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88%</w:t>
            </w:r>
          </w:p>
        </w:tc>
        <w:tc>
          <w:tcPr>
            <w:tcW w:w="1205" w:type="dxa"/>
            <w:hideMark/>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90%</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90%</w:t>
            </w:r>
          </w:p>
        </w:tc>
      </w:tr>
      <w:tr w:rsidR="00706A3C" w:rsidRPr="007D61DF" w:rsidTr="00706A3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Stand-alone Supervision order</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3%</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4%</w:t>
            </w:r>
          </w:p>
        </w:tc>
        <w:tc>
          <w:tcPr>
            <w:tcW w:w="1205" w:type="dxa"/>
            <w:hideMark/>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4%</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4%</w:t>
            </w:r>
          </w:p>
        </w:tc>
      </w:tr>
      <w:tr w:rsidR="00706A3C" w:rsidRPr="007D61DF"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Supervision with Activity order</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1%</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2%</w:t>
            </w:r>
          </w:p>
        </w:tc>
        <w:tc>
          <w:tcPr>
            <w:tcW w:w="1205" w:type="dxa"/>
            <w:hideMark/>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2%</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2%</w:t>
            </w:r>
          </w:p>
        </w:tc>
      </w:tr>
      <w:tr w:rsidR="00706A3C" w:rsidRPr="007D61DF" w:rsidTr="00706A3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19" w:type="dxa"/>
          </w:tcPr>
          <w:p w:rsidR="00706A3C" w:rsidRPr="007D61DF" w:rsidRDefault="00706A3C" w:rsidP="00706A3C">
            <w:pPr>
              <w:pStyle w:val="TableText"/>
              <w:spacing w:before="0" w:after="0" w:line="240" w:lineRule="auto"/>
              <w:rPr>
                <w:sz w:val="18"/>
                <w:szCs w:val="18"/>
              </w:rPr>
            </w:pPr>
            <w:r w:rsidRPr="007D61DF">
              <w:rPr>
                <w:sz w:val="18"/>
                <w:szCs w:val="18"/>
              </w:rPr>
              <w:t>Supervision with Residence order</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2%</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3%</w:t>
            </w:r>
          </w:p>
        </w:tc>
        <w:tc>
          <w:tcPr>
            <w:tcW w:w="1205" w:type="dxa"/>
          </w:tcPr>
          <w:p w:rsidR="00706A3C" w:rsidRPr="007D61DF" w:rsidRDefault="00706A3C" w:rsidP="00706A3C">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7D61DF">
              <w:rPr>
                <w:sz w:val="18"/>
                <w:szCs w:val="18"/>
              </w:rPr>
              <w:t>2%</w:t>
            </w:r>
          </w:p>
        </w:tc>
        <w:tc>
          <w:tcPr>
            <w:cnfStyle w:val="000100000000" w:firstRow="0" w:lastRow="0" w:firstColumn="0" w:lastColumn="1" w:oddVBand="0" w:evenVBand="0" w:oddHBand="0" w:evenHBand="0" w:firstRowFirstColumn="0" w:firstRowLastColumn="0" w:lastRowFirstColumn="0" w:lastRowLastColumn="0"/>
            <w:tcW w:w="1205" w:type="dxa"/>
          </w:tcPr>
          <w:p w:rsidR="00706A3C" w:rsidRPr="007D61DF" w:rsidRDefault="00706A3C" w:rsidP="00706A3C">
            <w:pPr>
              <w:pStyle w:val="TableText"/>
              <w:spacing w:before="0" w:after="0" w:line="240" w:lineRule="auto"/>
              <w:rPr>
                <w:sz w:val="18"/>
                <w:szCs w:val="18"/>
              </w:rPr>
            </w:pPr>
            <w:r w:rsidRPr="007D61DF">
              <w:rPr>
                <w:sz w:val="18"/>
                <w:szCs w:val="18"/>
              </w:rPr>
              <w:t>2%</w:t>
            </w:r>
          </w:p>
        </w:tc>
      </w:tr>
      <w:tr w:rsidR="00706A3C" w:rsidRPr="007D61DF"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D61DF" w:rsidRDefault="00706A3C" w:rsidP="00706A3C">
            <w:pPr>
              <w:pStyle w:val="TableText"/>
              <w:spacing w:before="0" w:after="0" w:line="240" w:lineRule="auto"/>
              <w:rPr>
                <w:sz w:val="18"/>
                <w:szCs w:val="18"/>
              </w:rPr>
            </w:pPr>
            <w:r w:rsidRPr="007D61DF">
              <w:rPr>
                <w:sz w:val="18"/>
                <w:szCs w:val="18"/>
              </w:rPr>
              <w:t>Imprisonment</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1%</w:t>
            </w:r>
          </w:p>
        </w:tc>
        <w:tc>
          <w:tcPr>
            <w:tcW w:w="1205" w:type="dxa"/>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2%</w:t>
            </w:r>
          </w:p>
        </w:tc>
        <w:tc>
          <w:tcPr>
            <w:tcW w:w="1205" w:type="dxa"/>
            <w:hideMark/>
          </w:tcPr>
          <w:p w:rsidR="00706A3C" w:rsidRPr="007D61DF" w:rsidRDefault="00706A3C" w:rsidP="00706A3C">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D61DF">
              <w:rPr>
                <w:sz w:val="18"/>
                <w:szCs w:val="18"/>
              </w:rPr>
              <w:t>2%</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D61DF" w:rsidRDefault="00706A3C" w:rsidP="00706A3C">
            <w:pPr>
              <w:pStyle w:val="TableText"/>
              <w:spacing w:before="0" w:after="0" w:line="240" w:lineRule="auto"/>
              <w:rPr>
                <w:sz w:val="18"/>
                <w:szCs w:val="18"/>
              </w:rPr>
            </w:pPr>
            <w:r w:rsidRPr="007D61DF">
              <w:rPr>
                <w:sz w:val="18"/>
                <w:szCs w:val="18"/>
              </w:rPr>
              <w:t>2%</w:t>
            </w:r>
          </w:p>
        </w:tc>
      </w:tr>
    </w:tbl>
    <w:p w:rsidR="00706A3C" w:rsidRPr="00B12D49" w:rsidRDefault="00706A3C" w:rsidP="00706A3C">
      <w:pPr>
        <w:pStyle w:val="BodyText"/>
        <w:spacing w:after="0" w:line="240" w:lineRule="auto"/>
        <w:rPr>
          <w:rFonts w:ascii="Verdana" w:hAnsi="Verdana"/>
          <w:sz w:val="18"/>
          <w:szCs w:val="18"/>
        </w:rPr>
      </w:pPr>
      <w:r w:rsidRPr="00B12D49">
        <w:rPr>
          <w:rFonts w:ascii="Verdana" w:hAnsi="Verdana"/>
          <w:sz w:val="18"/>
          <w:szCs w:val="18"/>
        </w:rPr>
        <w:t>Note:</w:t>
      </w:r>
      <w:r>
        <w:rPr>
          <w:rFonts w:ascii="Verdana" w:hAnsi="Verdana"/>
          <w:sz w:val="18"/>
          <w:szCs w:val="18"/>
        </w:rPr>
        <w:t xml:space="preserve"> Figures may not total exactly 100% due to rounding.</w:t>
      </w:r>
    </w:p>
    <w:p w:rsidR="00706A3C" w:rsidRDefault="00706A3C" w:rsidP="00706A3C">
      <w:pPr>
        <w:spacing w:after="0" w:line="240" w:lineRule="auto"/>
        <w:rPr>
          <w:highlight w:val="yellow"/>
        </w:rPr>
      </w:pPr>
    </w:p>
    <w:p w:rsidR="00706A3C" w:rsidRPr="00BE14F0" w:rsidRDefault="00706A3C" w:rsidP="00706A3C">
      <w:pPr>
        <w:pStyle w:val="Heading3"/>
      </w:pPr>
      <w:r w:rsidRPr="00BE14F0">
        <w:t xml:space="preserve">Overall outcomes </w:t>
      </w:r>
      <w:r>
        <w:t>24 months</w:t>
      </w:r>
      <w:r w:rsidRPr="00BE14F0">
        <w:t xml:space="preserve"> after the FGCs</w:t>
      </w:r>
      <w:r>
        <w:t xml:space="preserve"> held in 2011</w:t>
      </w:r>
    </w:p>
    <w:p w:rsidR="00706A3C" w:rsidRPr="00BE14F0" w:rsidRDefault="00706A3C" w:rsidP="00706A3C">
      <w:pPr>
        <w:pStyle w:val="Bullet1"/>
        <w:numPr>
          <w:ilvl w:val="0"/>
          <w:numId w:val="0"/>
        </w:numPr>
      </w:pPr>
      <w:r>
        <w:t>The 24-month</w:t>
      </w:r>
      <w:r w:rsidRPr="00BE14F0">
        <w:t xml:space="preserve"> reoffending outcomes </w:t>
      </w:r>
      <w:r>
        <w:t xml:space="preserve">were examined in brief </w:t>
      </w:r>
      <w:r w:rsidRPr="00BE14F0">
        <w:t xml:space="preserve">for the participants of </w:t>
      </w:r>
      <w:r>
        <w:t xml:space="preserve">ITC </w:t>
      </w:r>
      <w:r w:rsidRPr="00BE14F0">
        <w:t>FGCs</w:t>
      </w:r>
      <w:r>
        <w:t xml:space="preserve"> held in 2011</w:t>
      </w:r>
      <w:r w:rsidRPr="00BE14F0">
        <w:t>.</w:t>
      </w:r>
      <w:r>
        <w:t xml:space="preserve"> Comparable figures were not yet available for FGCs held in 2012.</w:t>
      </w:r>
    </w:p>
    <w:p w:rsidR="00706A3C" w:rsidRDefault="00706A3C" w:rsidP="00706A3C">
      <w:pPr>
        <w:pStyle w:val="Bullet1"/>
        <w:numPr>
          <w:ilvl w:val="0"/>
          <w:numId w:val="5"/>
        </w:numPr>
      </w:pPr>
      <w:r w:rsidRPr="00BE14F0">
        <w:t xml:space="preserve">In the </w:t>
      </w:r>
      <w:r>
        <w:t>24 month</w:t>
      </w:r>
      <w:r w:rsidRPr="00BE14F0">
        <w:t xml:space="preserve"> period following </w:t>
      </w:r>
      <w:r>
        <w:t xml:space="preserve">the 2011 ITC </w:t>
      </w:r>
      <w:r w:rsidRPr="00BE14F0">
        <w:t>FGCs</w:t>
      </w:r>
      <w:r>
        <w:t>,</w:t>
      </w:r>
      <w:r w:rsidRPr="00BE14F0">
        <w:t xml:space="preserve"> </w:t>
      </w:r>
      <w:r>
        <w:t>77</w:t>
      </w:r>
      <w:r w:rsidRPr="00BE14F0">
        <w:t xml:space="preserve">% of participants </w:t>
      </w:r>
      <w:r>
        <w:t>had</w:t>
      </w:r>
      <w:r w:rsidRPr="00BE14F0">
        <w:t xml:space="preserve"> reoffend</w:t>
      </w:r>
      <w:r>
        <w:t>ed and 23% had not reoffended</w:t>
      </w:r>
      <w:r w:rsidRPr="00BE14F0">
        <w:t>.</w:t>
      </w:r>
    </w:p>
    <w:p w:rsidR="00706A3C" w:rsidRPr="00BE14F0" w:rsidRDefault="00706A3C" w:rsidP="00706A3C">
      <w:pPr>
        <w:pStyle w:val="Bullet1"/>
        <w:numPr>
          <w:ilvl w:val="0"/>
          <w:numId w:val="5"/>
        </w:numPr>
      </w:pPr>
      <w:r>
        <w:t xml:space="preserve">Comparing the 24-month period after the ITC FGCs held in 2011 to the same period prior, 62% of </w:t>
      </w:r>
      <w:r w:rsidRPr="00383B2A">
        <w:t>participants offended less often</w:t>
      </w:r>
      <w:r>
        <w:t xml:space="preserve"> and 65% offended less seriously.</w:t>
      </w:r>
    </w:p>
    <w:p w:rsidR="00706A3C" w:rsidRDefault="00706A3C" w:rsidP="00706A3C">
      <w:pPr>
        <w:pStyle w:val="Bullet1"/>
        <w:numPr>
          <w:ilvl w:val="0"/>
          <w:numId w:val="5"/>
        </w:numPr>
      </w:pPr>
      <w:r>
        <w:t>Eight per cent</w:t>
      </w:r>
      <w:r w:rsidRPr="007B2A8D">
        <w:t xml:space="preserve"> of young people received a custodial sentence in the </w:t>
      </w:r>
      <w:r>
        <w:t>24 months after the 2011 ITC FGCs.</w:t>
      </w:r>
    </w:p>
    <w:p w:rsidR="00706A3C" w:rsidRDefault="00706A3C" w:rsidP="00706A3C">
      <w:pPr>
        <w:spacing w:after="0" w:line="240" w:lineRule="auto"/>
        <w:rPr>
          <w:highlight w:val="yellow"/>
        </w:rPr>
      </w:pPr>
      <w:r>
        <w:rPr>
          <w:highlight w:val="yellow"/>
        </w:rPr>
        <w:br w:type="page"/>
      </w:r>
    </w:p>
    <w:p w:rsidR="00706A3C" w:rsidRPr="003A7111" w:rsidRDefault="00706A3C" w:rsidP="00706A3C">
      <w:pPr>
        <w:pStyle w:val="Heading1"/>
        <w:ind w:right="-46"/>
      </w:pPr>
      <w:bookmarkStart w:id="18" w:name="_Toc403136510"/>
      <w:bookmarkStart w:id="19" w:name="_Toc450138685"/>
      <w:r>
        <w:lastRenderedPageBreak/>
        <w:t xml:space="preserve">Part 5 – </w:t>
      </w:r>
      <w:r w:rsidRPr="003A7111">
        <w:t>Court</w:t>
      </w:r>
      <w:r w:rsidR="006C16B5">
        <w:t>-ordered</w:t>
      </w:r>
      <w:r w:rsidRPr="003A7111">
        <w:t xml:space="preserve"> FGCs</w:t>
      </w:r>
      <w:bookmarkEnd w:id="18"/>
      <w:bookmarkEnd w:id="19"/>
    </w:p>
    <w:p w:rsidR="00706A3C" w:rsidRPr="00CA5F93" w:rsidRDefault="00706A3C" w:rsidP="00706A3C">
      <w:pPr>
        <w:spacing w:after="60"/>
        <w:rPr>
          <w:lang w:val="en-NZ"/>
        </w:rPr>
      </w:pPr>
      <w:bookmarkStart w:id="20" w:name="_Toc403136511"/>
      <w:r w:rsidRPr="00CA5F93">
        <w:rPr>
          <w:lang w:val="en-NZ"/>
        </w:rPr>
        <w:t>A total of 2,8</w:t>
      </w:r>
      <w:r>
        <w:rPr>
          <w:lang w:val="en-NZ"/>
        </w:rPr>
        <w:t>28</w:t>
      </w:r>
      <w:r w:rsidRPr="00CA5F93">
        <w:rPr>
          <w:lang w:val="en-NZ"/>
        </w:rPr>
        <w:t xml:space="preserve"> </w:t>
      </w:r>
      <w:r w:rsidR="006C16B5">
        <w:rPr>
          <w:lang w:val="en-NZ"/>
        </w:rPr>
        <w:t xml:space="preserve">new </w:t>
      </w:r>
      <w:r w:rsidRPr="00CA5F93">
        <w:rPr>
          <w:lang w:val="en-NZ"/>
        </w:rPr>
        <w:t xml:space="preserve">court-ordered FGCs </w:t>
      </w:r>
      <w:r w:rsidR="006C16B5">
        <w:rPr>
          <w:lang w:val="en-NZ"/>
        </w:rPr>
        <w:t xml:space="preserve">were held </w:t>
      </w:r>
      <w:r w:rsidRPr="00CA5F93">
        <w:rPr>
          <w:lang w:val="en-NZ"/>
        </w:rPr>
        <w:t>between 1</w:t>
      </w:r>
      <w:r>
        <w:rPr>
          <w:lang w:val="en-NZ"/>
        </w:rPr>
        <w:t xml:space="preserve"> </w:t>
      </w:r>
      <w:r w:rsidRPr="00CA5F93">
        <w:rPr>
          <w:lang w:val="en-NZ"/>
        </w:rPr>
        <w:t>January 2011 and 31</w:t>
      </w:r>
      <w:r w:rsidR="006C16B5">
        <w:rPr>
          <w:lang w:val="en-NZ"/>
        </w:rPr>
        <w:t> </w:t>
      </w:r>
      <w:r w:rsidRPr="00CA5F93">
        <w:rPr>
          <w:lang w:val="en-NZ"/>
        </w:rPr>
        <w:t>December 2012. Of th</w:t>
      </w:r>
      <w:r>
        <w:rPr>
          <w:lang w:val="en-NZ"/>
        </w:rPr>
        <w:t>ose</w:t>
      </w:r>
      <w:r w:rsidRPr="00CA5F93">
        <w:rPr>
          <w:lang w:val="en-NZ"/>
        </w:rPr>
        <w:t xml:space="preserve"> involved:</w:t>
      </w:r>
    </w:p>
    <w:p w:rsidR="00706A3C" w:rsidRPr="00CA5F93" w:rsidRDefault="00706A3C" w:rsidP="00706A3C">
      <w:pPr>
        <w:pStyle w:val="Bullet1"/>
        <w:numPr>
          <w:ilvl w:val="0"/>
          <w:numId w:val="5"/>
        </w:numPr>
        <w:ind w:left="357" w:hanging="357"/>
      </w:pPr>
      <w:r w:rsidRPr="00CA5F93">
        <w:t>82% were male and 18% were female</w:t>
      </w:r>
    </w:p>
    <w:p w:rsidR="00706A3C" w:rsidRPr="00CA5F93" w:rsidRDefault="00706A3C" w:rsidP="00706A3C">
      <w:pPr>
        <w:pStyle w:val="Bullet1"/>
        <w:numPr>
          <w:ilvl w:val="0"/>
          <w:numId w:val="5"/>
        </w:numPr>
        <w:ind w:left="357" w:hanging="357"/>
      </w:pPr>
      <w:r w:rsidRPr="00CA5F93">
        <w:t xml:space="preserve">54% were Māori, 31% were European, 13% were Pacific people and </w:t>
      </w:r>
      <w:r>
        <w:t>2</w:t>
      </w:r>
      <w:r w:rsidRPr="00CA5F93">
        <w:t xml:space="preserve">% </w:t>
      </w:r>
      <w:r>
        <w:t>belonged to other ethnic groups</w:t>
      </w:r>
    </w:p>
    <w:p w:rsidR="00706A3C" w:rsidRPr="00CA5F93" w:rsidRDefault="00706A3C" w:rsidP="00706A3C">
      <w:pPr>
        <w:pStyle w:val="Bullet1"/>
        <w:numPr>
          <w:ilvl w:val="0"/>
          <w:numId w:val="5"/>
        </w:numPr>
        <w:ind w:left="357" w:hanging="357"/>
      </w:pPr>
      <w:r w:rsidRPr="00CA5F93">
        <w:t xml:space="preserve">6% were from Te Tai </w:t>
      </w:r>
      <w:proofErr w:type="spellStart"/>
      <w:r w:rsidRPr="00CA5F93">
        <w:t>Tokerau</w:t>
      </w:r>
      <w:proofErr w:type="spellEnd"/>
      <w:r w:rsidRPr="00CA5F93">
        <w:t>, 27% were from the Auckland region, 18% were from the Midlands region, 26% were from the Central region and 24% were from the Southern region</w:t>
      </w:r>
    </w:p>
    <w:p w:rsidR="00706A3C" w:rsidRPr="00CA5F93" w:rsidRDefault="00706A3C" w:rsidP="00706A3C">
      <w:pPr>
        <w:pStyle w:val="Bullet1"/>
        <w:numPr>
          <w:ilvl w:val="0"/>
          <w:numId w:val="5"/>
        </w:numPr>
        <w:ind w:left="357" w:hanging="357"/>
      </w:pPr>
      <w:r w:rsidRPr="00CA5F93">
        <w:t>the average age at first recorded offence was 12.9 years (</w:t>
      </w:r>
      <w:r w:rsidRPr="00971966">
        <w:t xml:space="preserve">ranging from </w:t>
      </w:r>
      <w:r>
        <w:t>5.1</w:t>
      </w:r>
      <w:r w:rsidRPr="00CA5F93">
        <w:t xml:space="preserve"> to </w:t>
      </w:r>
      <w:r>
        <w:t xml:space="preserve">just under </w:t>
      </w:r>
      <w:r w:rsidRPr="00CA5F93">
        <w:t>17.0 years)</w:t>
      </w:r>
    </w:p>
    <w:p w:rsidR="00706A3C" w:rsidRPr="00CA5F93" w:rsidRDefault="00706A3C" w:rsidP="00706A3C">
      <w:pPr>
        <w:pStyle w:val="Bullet1"/>
        <w:numPr>
          <w:ilvl w:val="0"/>
          <w:numId w:val="5"/>
        </w:numPr>
        <w:ind w:left="357" w:hanging="357"/>
      </w:pPr>
      <w:r w:rsidRPr="00CA5F93">
        <w:t xml:space="preserve">the average number of years between the first recorded offence </w:t>
      </w:r>
      <w:r w:rsidRPr="008527A0">
        <w:t xml:space="preserve">and the </w:t>
      </w:r>
      <w:r>
        <w:t>FGC being held</w:t>
      </w:r>
      <w:r w:rsidRPr="00CA5F93">
        <w:t xml:space="preserve"> was 3.0 (ranging from 0 to </w:t>
      </w:r>
      <w:r>
        <w:t>11.9</w:t>
      </w:r>
      <w:r w:rsidRPr="00CA5F93">
        <w:t xml:space="preserve"> years)</w:t>
      </w:r>
    </w:p>
    <w:p w:rsidR="00706A3C" w:rsidRPr="00CA5F93" w:rsidRDefault="00706A3C" w:rsidP="00706A3C">
      <w:pPr>
        <w:pStyle w:val="Bullet1"/>
        <w:numPr>
          <w:ilvl w:val="0"/>
          <w:numId w:val="5"/>
        </w:numPr>
      </w:pPr>
      <w:r w:rsidRPr="008527A0">
        <w:t xml:space="preserve">the average age </w:t>
      </w:r>
      <w:r>
        <w:t xml:space="preserve">when </w:t>
      </w:r>
      <w:r w:rsidRPr="008527A0">
        <w:t>the FGC</w:t>
      </w:r>
      <w:r>
        <w:t>s were held</w:t>
      </w:r>
      <w:r w:rsidRPr="008527A0">
        <w:t xml:space="preserve"> was </w:t>
      </w:r>
      <w:r w:rsidRPr="00CA5F93">
        <w:t>15.9 years (ranging from 12.7 to 19.4 years)</w:t>
      </w:r>
      <w:r>
        <w:t>.</w:t>
      </w:r>
    </w:p>
    <w:p w:rsidR="00706A3C" w:rsidRPr="00BC7D3D" w:rsidRDefault="00706A3C" w:rsidP="00706A3C">
      <w:pPr>
        <w:pStyle w:val="Heading4"/>
      </w:pPr>
      <w:r>
        <w:t xml:space="preserve">Half of the </w:t>
      </w:r>
      <w:r w:rsidR="00157695">
        <w:t>c</w:t>
      </w:r>
      <w:r>
        <w:t>ourt</w:t>
      </w:r>
      <w:r w:rsidR="00157695">
        <w:t>-ordered</w:t>
      </w:r>
      <w:r>
        <w:t xml:space="preserve"> FGC participants reoffended within five months</w:t>
      </w:r>
    </w:p>
    <w:p w:rsidR="00706A3C" w:rsidRPr="00CA5F93" w:rsidRDefault="00706A3C" w:rsidP="00706A3C">
      <w:pPr>
        <w:rPr>
          <w:highlight w:val="yellow"/>
          <w:lang w:val="en-NZ"/>
        </w:rPr>
      </w:pPr>
      <w:r>
        <w:t>Overall, a quarter</w:t>
      </w:r>
      <w:r w:rsidRPr="008527A0">
        <w:t xml:space="preserve"> of </w:t>
      </w:r>
      <w:r>
        <w:t>all</w:t>
      </w:r>
      <w:r w:rsidRPr="008527A0">
        <w:t xml:space="preserve"> </w:t>
      </w:r>
      <w:r>
        <w:t xml:space="preserve">court-ordered </w:t>
      </w:r>
      <w:r w:rsidRPr="00CA5F93">
        <w:t xml:space="preserve">FGC participants </w:t>
      </w:r>
      <w:r>
        <w:t>had come to the attention of Police with a new offence in under two months of the FGC, and h</w:t>
      </w:r>
      <w:r w:rsidRPr="008527A0">
        <w:t xml:space="preserve">alf </w:t>
      </w:r>
      <w:r>
        <w:t>had come to the attention of Police with a new offence within five months</w:t>
      </w:r>
      <w:r w:rsidRPr="00CA5F93">
        <w:t xml:space="preserve"> (Figure 6). Within 12 months, 7</w:t>
      </w:r>
      <w:r>
        <w:t>0</w:t>
      </w:r>
      <w:r w:rsidRPr="00CA5F93">
        <w:t xml:space="preserve">% had reoffended. </w:t>
      </w:r>
      <w:r>
        <w:t xml:space="preserve">Apart from the first few months after the FGCs, Europeans reoffended at a slightly slower rate than </w:t>
      </w:r>
      <w:r w:rsidRPr="008527A0">
        <w:t>Māori</w:t>
      </w:r>
      <w:r>
        <w:t xml:space="preserve"> and Pacific people</w:t>
      </w:r>
      <w:r w:rsidRPr="008527A0">
        <w:rPr>
          <w:lang w:val="en-NZ"/>
        </w:rPr>
        <w:t>.</w:t>
      </w:r>
    </w:p>
    <w:p w:rsidR="00706A3C" w:rsidRPr="00D53161" w:rsidRDefault="00706A3C" w:rsidP="00706A3C">
      <w:pPr>
        <w:pStyle w:val="Caption"/>
        <w:ind w:left="1276" w:right="-46" w:hanging="1276"/>
      </w:pPr>
      <w:r w:rsidRPr="00D53161">
        <w:t>Figure 6:</w:t>
      </w:r>
      <w:r>
        <w:tab/>
      </w:r>
      <w:r w:rsidRPr="00D53161">
        <w:t xml:space="preserve">Percentage of </w:t>
      </w:r>
      <w:r>
        <w:t xml:space="preserve">participants of </w:t>
      </w:r>
      <w:r w:rsidR="00157695">
        <w:t>c</w:t>
      </w:r>
      <w:r w:rsidRPr="00D53161">
        <w:t>ourt</w:t>
      </w:r>
      <w:r w:rsidR="00157695">
        <w:t>-ord</w:t>
      </w:r>
      <w:r w:rsidR="00B009E0">
        <w:t>e</w:t>
      </w:r>
      <w:r w:rsidR="00157695">
        <w:t>red</w:t>
      </w:r>
      <w:r>
        <w:t xml:space="preserve"> </w:t>
      </w:r>
      <w:r w:rsidRPr="00D53161">
        <w:t>FGC</w:t>
      </w:r>
      <w:r>
        <w:t xml:space="preserve">s held in 2011 and 2012 </w:t>
      </w:r>
      <w:r w:rsidRPr="00D53161">
        <w:t>who reoffended within 12 months, by ethnicity</w:t>
      </w:r>
    </w:p>
    <w:p w:rsidR="00706A3C" w:rsidRPr="00856A1A" w:rsidRDefault="00706A3C" w:rsidP="00706A3C">
      <w:pPr>
        <w:pStyle w:val="Tableheading"/>
        <w:ind w:left="851" w:hanging="851"/>
        <w:rPr>
          <w:highlight w:val="yellow"/>
          <w:lang w:val="en-NZ"/>
        </w:rPr>
      </w:pPr>
      <w:r w:rsidRPr="009260EC">
        <w:rPr>
          <w:noProof/>
          <w:lang w:val="en-NZ"/>
        </w:rPr>
        <w:drawing>
          <wp:inline distT="0" distB="0" distL="0" distR="0" wp14:anchorId="25E6822C" wp14:editId="171C895C">
            <wp:extent cx="5731510" cy="30151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015169"/>
                    </a:xfrm>
                    <a:prstGeom prst="rect">
                      <a:avLst/>
                    </a:prstGeom>
                    <a:noFill/>
                    <a:ln>
                      <a:noFill/>
                    </a:ln>
                  </pic:spPr>
                </pic:pic>
              </a:graphicData>
            </a:graphic>
          </wp:inline>
        </w:drawing>
      </w:r>
    </w:p>
    <w:p w:rsidR="00706A3C" w:rsidRDefault="00706A3C" w:rsidP="00706A3C">
      <w:pPr>
        <w:pStyle w:val="Heading4"/>
        <w:spacing w:before="170"/>
      </w:pPr>
      <w:r>
        <w:lastRenderedPageBreak/>
        <w:t>An escalation in the frequency and seriousness of offending prior to the FGCs was curtailed</w:t>
      </w:r>
    </w:p>
    <w:p w:rsidR="00706A3C" w:rsidRPr="00856A1A" w:rsidRDefault="00706A3C" w:rsidP="00706A3C">
      <w:pPr>
        <w:rPr>
          <w:highlight w:val="yellow"/>
          <w:lang w:val="en-NZ"/>
        </w:rPr>
      </w:pPr>
      <w:r w:rsidRPr="00F85A26">
        <w:rPr>
          <w:lang w:val="en-NZ"/>
        </w:rPr>
        <w:t xml:space="preserve">There was an increase in the average frequency and seriousness of offending leading up to the </w:t>
      </w:r>
      <w:r>
        <w:rPr>
          <w:lang w:val="en-NZ"/>
        </w:rPr>
        <w:t>court-ordered</w:t>
      </w:r>
      <w:r w:rsidRPr="00F85A26">
        <w:rPr>
          <w:lang w:val="en-NZ"/>
        </w:rPr>
        <w:t xml:space="preserve"> FGCs, followed by a reduction in both measures after the FGCs (Figures 7 and 8). Over the 12 months since the FGCs, the average number of offences committed by attendees was 4.</w:t>
      </w:r>
      <w:r>
        <w:rPr>
          <w:lang w:val="en-NZ"/>
        </w:rPr>
        <w:t>4</w:t>
      </w:r>
      <w:r w:rsidRPr="00F85A26">
        <w:rPr>
          <w:lang w:val="en-NZ"/>
        </w:rPr>
        <w:t xml:space="preserve"> (ranging from 0 to 105). This is less than the average of </w:t>
      </w:r>
      <w:r>
        <w:rPr>
          <w:lang w:val="en-NZ"/>
        </w:rPr>
        <w:t>7.4</w:t>
      </w:r>
      <w:r w:rsidRPr="00F85A26">
        <w:rPr>
          <w:lang w:val="en-NZ"/>
        </w:rPr>
        <w:t xml:space="preserve"> offences over the 12 months before the FGCs (ranging from 0 to 74). The average seriousness of all the offences committed in the 12 months following the </w:t>
      </w:r>
      <w:r>
        <w:rPr>
          <w:lang w:val="en-NZ"/>
        </w:rPr>
        <w:t>Youth Court monitored FGCs</w:t>
      </w:r>
      <w:r w:rsidRPr="00F85A26">
        <w:rPr>
          <w:lang w:val="en-NZ"/>
        </w:rPr>
        <w:t xml:space="preserve"> (62</w:t>
      </w:r>
      <w:r>
        <w:rPr>
          <w:lang w:val="en-NZ"/>
        </w:rPr>
        <w:t>2</w:t>
      </w:r>
      <w:r w:rsidRPr="00F85A26">
        <w:rPr>
          <w:lang w:val="en-NZ"/>
        </w:rPr>
        <w:t xml:space="preserve">) was less than half that in the 12 months before the </w:t>
      </w:r>
      <w:r>
        <w:rPr>
          <w:lang w:val="en-NZ"/>
        </w:rPr>
        <w:t>FGCs</w:t>
      </w:r>
      <w:r w:rsidRPr="00F85A26">
        <w:rPr>
          <w:lang w:val="en-NZ"/>
        </w:rPr>
        <w:t xml:space="preserve"> (1,2</w:t>
      </w:r>
      <w:r>
        <w:rPr>
          <w:lang w:val="en-NZ"/>
        </w:rPr>
        <w:t>73</w:t>
      </w:r>
      <w:r w:rsidRPr="00F85A26">
        <w:rPr>
          <w:lang w:val="en-NZ"/>
        </w:rPr>
        <w:t>).</w:t>
      </w:r>
    </w:p>
    <w:p w:rsidR="00706A3C" w:rsidRPr="00DC52D5" w:rsidRDefault="00706A3C" w:rsidP="00706A3C">
      <w:pPr>
        <w:pStyle w:val="Caption"/>
      </w:pPr>
      <w:r w:rsidRPr="00DC52D5">
        <w:t>Figure 7:</w:t>
      </w:r>
      <w:r>
        <w:tab/>
      </w:r>
      <w:r w:rsidRPr="00DC52D5">
        <w:t xml:space="preserve">Average frequency of offences dealt with by Police before and after </w:t>
      </w:r>
      <w:r w:rsidR="00157695">
        <w:t>c</w:t>
      </w:r>
      <w:r w:rsidRPr="00DC52D5">
        <w:t>ourt</w:t>
      </w:r>
      <w:r w:rsidR="00157695">
        <w:t>-ordered</w:t>
      </w:r>
      <w:r w:rsidRPr="00DC52D5">
        <w:t xml:space="preserve"> FGC</w:t>
      </w:r>
      <w:r>
        <w:t>s were held in 2011 and 2012</w:t>
      </w:r>
    </w:p>
    <w:p w:rsidR="00706A3C" w:rsidRPr="00DC52D5" w:rsidRDefault="00BA07A5" w:rsidP="00706A3C">
      <w:pPr>
        <w:pStyle w:val="Tableheading"/>
      </w:pPr>
      <w:r w:rsidRPr="00BA07A5">
        <w:rPr>
          <w:noProof/>
          <w:lang w:val="en-NZ"/>
        </w:rPr>
        <w:drawing>
          <wp:inline distT="0" distB="0" distL="0" distR="0" wp14:anchorId="523CD57A" wp14:editId="02D68556">
            <wp:extent cx="5731510" cy="26080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608066"/>
                    </a:xfrm>
                    <a:prstGeom prst="rect">
                      <a:avLst/>
                    </a:prstGeom>
                    <a:noFill/>
                    <a:ln>
                      <a:noFill/>
                    </a:ln>
                  </pic:spPr>
                </pic:pic>
              </a:graphicData>
            </a:graphic>
          </wp:inline>
        </w:drawing>
      </w:r>
    </w:p>
    <w:p w:rsidR="00706A3C" w:rsidRPr="00DC52D5" w:rsidRDefault="00706A3C" w:rsidP="00706A3C">
      <w:pPr>
        <w:pStyle w:val="Tableheading"/>
        <w:spacing w:before="0" w:after="0"/>
      </w:pPr>
    </w:p>
    <w:p w:rsidR="00706A3C" w:rsidRPr="00DC52D5" w:rsidRDefault="00706A3C" w:rsidP="00706A3C">
      <w:pPr>
        <w:pStyle w:val="Caption"/>
      </w:pPr>
      <w:r w:rsidRPr="00DC52D5">
        <w:t>Figure 8:</w:t>
      </w:r>
      <w:r>
        <w:tab/>
      </w:r>
      <w:r w:rsidRPr="00DC52D5">
        <w:t xml:space="preserve">Average total seriousness of offences dealt with by Police before and after </w:t>
      </w:r>
      <w:r w:rsidR="00157695">
        <w:t>c</w:t>
      </w:r>
      <w:r w:rsidR="00157695" w:rsidRPr="00DC52D5">
        <w:t>ourt</w:t>
      </w:r>
      <w:r w:rsidR="00157695">
        <w:t>-ordered</w:t>
      </w:r>
      <w:r w:rsidR="00157695" w:rsidRPr="00DC52D5">
        <w:t xml:space="preserve"> </w:t>
      </w:r>
      <w:r w:rsidRPr="00DC52D5">
        <w:t>FGC</w:t>
      </w:r>
      <w:r>
        <w:t>s were held in 2011 and 2012</w:t>
      </w:r>
    </w:p>
    <w:p w:rsidR="00706A3C" w:rsidRPr="00856A1A" w:rsidRDefault="00BA07A5" w:rsidP="00706A3C">
      <w:pPr>
        <w:pStyle w:val="Tableheading"/>
        <w:ind w:left="851" w:hanging="851"/>
        <w:rPr>
          <w:highlight w:val="yellow"/>
          <w:lang w:val="en-NZ"/>
        </w:rPr>
      </w:pPr>
      <w:r w:rsidRPr="00BA07A5">
        <w:rPr>
          <w:noProof/>
          <w:lang w:val="en-NZ"/>
        </w:rPr>
        <w:drawing>
          <wp:inline distT="0" distB="0" distL="0" distR="0" wp14:anchorId="6C4B3330" wp14:editId="1BF7B7D1">
            <wp:extent cx="5731510" cy="280692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06922"/>
                    </a:xfrm>
                    <a:prstGeom prst="rect">
                      <a:avLst/>
                    </a:prstGeom>
                    <a:noFill/>
                    <a:ln>
                      <a:noFill/>
                    </a:ln>
                  </pic:spPr>
                </pic:pic>
              </a:graphicData>
            </a:graphic>
          </wp:inline>
        </w:drawing>
      </w:r>
    </w:p>
    <w:p w:rsidR="00706A3C" w:rsidRDefault="00706A3C" w:rsidP="00706A3C">
      <w:pPr>
        <w:pStyle w:val="Heading4"/>
      </w:pPr>
      <w:r>
        <w:t>Most offence types dropped considerably in number after the FGCs</w:t>
      </w:r>
    </w:p>
    <w:p w:rsidR="00706A3C" w:rsidRPr="000B6D34" w:rsidRDefault="00706A3C" w:rsidP="00706A3C">
      <w:pPr>
        <w:spacing w:before="120"/>
        <w:rPr>
          <w:highlight w:val="yellow"/>
        </w:rPr>
      </w:pPr>
      <w:r w:rsidRPr="000B6D34">
        <w:t xml:space="preserve">The total number of offences committed by FGC participants in the 12 months after the FGCs was </w:t>
      </w:r>
      <w:r>
        <w:t>40</w:t>
      </w:r>
      <w:r w:rsidRPr="000B6D34">
        <w:t xml:space="preserve">% lower than in the 12 months before the FGCs. There was a drop in the frequency of offending for </w:t>
      </w:r>
      <w:r>
        <w:t>most</w:t>
      </w:r>
      <w:r w:rsidRPr="000B6D34">
        <w:t xml:space="preserve"> offence divisions, </w:t>
      </w:r>
      <w:r>
        <w:t>with the exceptions being</w:t>
      </w:r>
      <w:r w:rsidRPr="000B6D34">
        <w:t xml:space="preserve"> </w:t>
      </w:r>
      <w:r>
        <w:t xml:space="preserve">offences </w:t>
      </w:r>
      <w:r>
        <w:lastRenderedPageBreak/>
        <w:t xml:space="preserve">against justice, </w:t>
      </w:r>
      <w:r w:rsidRPr="000B6D34">
        <w:t>traffic offences</w:t>
      </w:r>
      <w:r>
        <w:t xml:space="preserve"> and </w:t>
      </w:r>
      <w:r w:rsidRPr="000B6D34">
        <w:t>miscellaneous offences</w:t>
      </w:r>
      <w:r>
        <w:t>. Overall</w:t>
      </w:r>
      <w:r w:rsidRPr="000B6D34">
        <w:t>, the majority of the decrease was due to large drops in the three most common offence divisions: theft</w:t>
      </w:r>
      <w:r>
        <w:t>-related (36%)</w:t>
      </w:r>
      <w:r w:rsidRPr="000B6D34">
        <w:t xml:space="preserve">, burglary </w:t>
      </w:r>
      <w:r>
        <w:t xml:space="preserve">(52%) </w:t>
      </w:r>
      <w:r w:rsidRPr="000B6D34">
        <w:t xml:space="preserve">and property damage </w:t>
      </w:r>
      <w:r>
        <w:t>(45%)</w:t>
      </w:r>
      <w:r w:rsidRPr="000B6D34">
        <w:t>. Violent offen</w:t>
      </w:r>
      <w:r>
        <w:t>ces</w:t>
      </w:r>
      <w:r w:rsidRPr="000B6D34">
        <w:t xml:space="preserve"> and sexual offences reduced by 43% and 6</w:t>
      </w:r>
      <w:r>
        <w:t>8</w:t>
      </w:r>
      <w:r w:rsidRPr="000B6D34">
        <w:t>% respectively.</w:t>
      </w:r>
    </w:p>
    <w:p w:rsidR="00706A3C" w:rsidRPr="0070433E" w:rsidRDefault="00706A3C" w:rsidP="00706A3C">
      <w:pPr>
        <w:pStyle w:val="Caption"/>
        <w:tabs>
          <w:tab w:val="left" w:pos="1276"/>
        </w:tabs>
        <w:ind w:left="1276" w:hanging="1276"/>
      </w:pPr>
      <w:r>
        <w:t>Figure 9</w:t>
      </w:r>
      <w:r w:rsidRPr="0070433E">
        <w:t>:</w:t>
      </w:r>
      <w:r>
        <w:tab/>
      </w:r>
      <w:r w:rsidRPr="0070433E">
        <w:t xml:space="preserve">Change in the total frequency of offences committed by participants of </w:t>
      </w:r>
      <w:r w:rsidR="00157695">
        <w:t>c</w:t>
      </w:r>
      <w:r w:rsidR="00157695" w:rsidRPr="00DC52D5">
        <w:t>ourt</w:t>
      </w:r>
      <w:r w:rsidR="00157695">
        <w:t>-ordered</w:t>
      </w:r>
      <w:r w:rsidR="00157695" w:rsidRPr="00DC52D5">
        <w:t xml:space="preserve"> </w:t>
      </w:r>
      <w:r w:rsidRPr="0070433E">
        <w:t>FGCs</w:t>
      </w:r>
      <w:r>
        <w:t xml:space="preserve"> held in 2011 and 2012</w:t>
      </w:r>
      <w:r w:rsidRPr="0070433E">
        <w:t>, by ANZSOC offence division</w:t>
      </w:r>
    </w:p>
    <w:p w:rsidR="00706A3C" w:rsidRPr="00856A1A" w:rsidRDefault="00706A3C" w:rsidP="00706A3C">
      <w:pPr>
        <w:pStyle w:val="Tableheading"/>
        <w:rPr>
          <w:highlight w:val="yellow"/>
        </w:rPr>
      </w:pPr>
      <w:r w:rsidRPr="00675A69">
        <w:rPr>
          <w:noProof/>
          <w:lang w:val="en-NZ"/>
        </w:rPr>
        <w:drawing>
          <wp:inline distT="0" distB="0" distL="0" distR="0" wp14:anchorId="15BFC262" wp14:editId="7890F8CC">
            <wp:extent cx="5731510" cy="2985771"/>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85771"/>
                    </a:xfrm>
                    <a:prstGeom prst="rect">
                      <a:avLst/>
                    </a:prstGeom>
                    <a:noFill/>
                    <a:ln>
                      <a:noFill/>
                    </a:ln>
                  </pic:spPr>
                </pic:pic>
              </a:graphicData>
            </a:graphic>
          </wp:inline>
        </w:drawing>
      </w:r>
    </w:p>
    <w:p w:rsidR="00706A3C" w:rsidRPr="001914AE" w:rsidRDefault="00706A3C" w:rsidP="00706A3C">
      <w:pPr>
        <w:pStyle w:val="Caption"/>
        <w:spacing w:after="0"/>
        <w:rPr>
          <w:b w:val="0"/>
        </w:rPr>
      </w:pPr>
    </w:p>
    <w:p w:rsidR="00706A3C" w:rsidRPr="00A8681B" w:rsidRDefault="00706A3C" w:rsidP="00706A3C">
      <w:pPr>
        <w:pStyle w:val="Caption"/>
        <w:tabs>
          <w:tab w:val="left" w:pos="1276"/>
        </w:tabs>
        <w:ind w:left="1276" w:hanging="1276"/>
      </w:pPr>
      <w:r>
        <w:t>Figure 10</w:t>
      </w:r>
      <w:r w:rsidRPr="00A8681B">
        <w:t>:</w:t>
      </w:r>
      <w:r>
        <w:tab/>
      </w:r>
      <w:r w:rsidRPr="00A8681B">
        <w:t xml:space="preserve">Percentage of participants of </w:t>
      </w:r>
      <w:r w:rsidR="00157695">
        <w:t>c</w:t>
      </w:r>
      <w:r w:rsidR="00157695" w:rsidRPr="00DC52D5">
        <w:t>ourt</w:t>
      </w:r>
      <w:r w:rsidR="00157695">
        <w:t>-ordered</w:t>
      </w:r>
      <w:r w:rsidR="00157695" w:rsidRPr="00DC52D5">
        <w:t xml:space="preserve"> </w:t>
      </w:r>
      <w:r w:rsidRPr="00A8681B">
        <w:t>FGCs</w:t>
      </w:r>
      <w:r>
        <w:t xml:space="preserve"> held in 2011 and 2012</w:t>
      </w:r>
      <w:r w:rsidRPr="00A8681B">
        <w:t xml:space="preserve"> who committed one or more </w:t>
      </w:r>
      <w:r>
        <w:t>offences within the</w:t>
      </w:r>
      <w:r w:rsidRPr="00A8681B">
        <w:t xml:space="preserve"> </w:t>
      </w:r>
      <w:r w:rsidRPr="0070433E">
        <w:t xml:space="preserve">ANZSOC </w:t>
      </w:r>
      <w:r w:rsidRPr="00A8681B">
        <w:t>offence division</w:t>
      </w:r>
    </w:p>
    <w:p w:rsidR="00706A3C" w:rsidRPr="00856A1A" w:rsidRDefault="00706A3C" w:rsidP="00706A3C">
      <w:pPr>
        <w:pStyle w:val="Tableheading"/>
        <w:ind w:left="851" w:hanging="851"/>
        <w:rPr>
          <w:highlight w:val="yellow"/>
          <w:lang w:val="en-NZ"/>
        </w:rPr>
      </w:pPr>
      <w:r w:rsidRPr="00675A69">
        <w:rPr>
          <w:noProof/>
          <w:lang w:val="en-NZ"/>
        </w:rPr>
        <w:drawing>
          <wp:inline distT="0" distB="0" distL="0" distR="0" wp14:anchorId="6CA5AA16" wp14:editId="2A7AF120">
            <wp:extent cx="5731510" cy="30674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067435"/>
                    </a:xfrm>
                    <a:prstGeom prst="rect">
                      <a:avLst/>
                    </a:prstGeom>
                    <a:noFill/>
                    <a:ln>
                      <a:noFill/>
                    </a:ln>
                  </pic:spPr>
                </pic:pic>
              </a:graphicData>
            </a:graphic>
          </wp:inline>
        </w:drawing>
      </w:r>
    </w:p>
    <w:p w:rsidR="00706A3C" w:rsidRDefault="00706A3C" w:rsidP="00706A3C">
      <w:pPr>
        <w:spacing w:before="170"/>
        <w:rPr>
          <w:lang w:val="en-NZ"/>
        </w:rPr>
      </w:pPr>
      <w:r>
        <w:rPr>
          <w:lang w:val="en-NZ"/>
        </w:rPr>
        <w:t xml:space="preserve">The proportion of </w:t>
      </w:r>
      <w:r w:rsidR="00157695">
        <w:rPr>
          <w:lang w:val="en-NZ"/>
        </w:rPr>
        <w:t>c</w:t>
      </w:r>
      <w:r>
        <w:rPr>
          <w:lang w:val="en-NZ"/>
        </w:rPr>
        <w:t>ourt</w:t>
      </w:r>
      <w:r w:rsidR="00157695">
        <w:rPr>
          <w:lang w:val="en-NZ"/>
        </w:rPr>
        <w:t>-ordered</w:t>
      </w:r>
      <w:r>
        <w:rPr>
          <w:lang w:val="en-NZ"/>
        </w:rPr>
        <w:t xml:space="preserve"> FGC participants who committed a theft-related offence dropped from 58% in the 12 months prior to the FGCs to 38% in the 12 months after</w:t>
      </w:r>
      <w:r w:rsidRPr="009F1BE7">
        <w:rPr>
          <w:lang w:val="en-NZ"/>
        </w:rPr>
        <w:t xml:space="preserve"> (Figure </w:t>
      </w:r>
      <w:r>
        <w:rPr>
          <w:lang w:val="en-NZ"/>
        </w:rPr>
        <w:t>10</w:t>
      </w:r>
      <w:r w:rsidRPr="009F1BE7">
        <w:rPr>
          <w:lang w:val="en-NZ"/>
        </w:rPr>
        <w:t>)</w:t>
      </w:r>
      <w:r>
        <w:rPr>
          <w:lang w:val="en-NZ"/>
        </w:rPr>
        <w:t>. The proportion committing burglary dropped by a slightly greater 22 percentage points from 49% to 27%.</w:t>
      </w:r>
    </w:p>
    <w:p w:rsidR="00706A3C" w:rsidRPr="0070433E" w:rsidRDefault="00706A3C" w:rsidP="00706A3C">
      <w:pPr>
        <w:spacing w:before="120"/>
        <w:rPr>
          <w:lang w:val="en-NZ"/>
        </w:rPr>
      </w:pPr>
      <w:r w:rsidRPr="0070433E">
        <w:rPr>
          <w:lang w:val="en-NZ"/>
        </w:rPr>
        <w:lastRenderedPageBreak/>
        <w:t xml:space="preserve">For many of the common offence types, the number of offences reduced substantially more than the percentage of </w:t>
      </w:r>
      <w:r>
        <w:rPr>
          <w:lang w:val="en-NZ"/>
        </w:rPr>
        <w:t>FGC participants</w:t>
      </w:r>
      <w:r w:rsidRPr="009F1BE7">
        <w:rPr>
          <w:lang w:val="en-NZ"/>
        </w:rPr>
        <w:t xml:space="preserve"> </w:t>
      </w:r>
      <w:r w:rsidRPr="0070433E">
        <w:rPr>
          <w:lang w:val="en-NZ"/>
        </w:rPr>
        <w:t>co</w:t>
      </w:r>
      <w:r>
        <w:rPr>
          <w:lang w:val="en-NZ"/>
        </w:rPr>
        <w:t>mmitting these offences</w:t>
      </w:r>
      <w:r w:rsidRPr="0070433E">
        <w:rPr>
          <w:lang w:val="en-NZ"/>
        </w:rPr>
        <w:t xml:space="preserve">. This suggests that </w:t>
      </w:r>
      <w:r>
        <w:rPr>
          <w:lang w:val="en-NZ"/>
        </w:rPr>
        <w:t>the</w:t>
      </w:r>
      <w:r w:rsidRPr="0070433E">
        <w:rPr>
          <w:lang w:val="en-NZ"/>
        </w:rPr>
        <w:t xml:space="preserve"> high frequency offenders are </w:t>
      </w:r>
      <w:r>
        <w:rPr>
          <w:lang w:val="en-NZ"/>
        </w:rPr>
        <w:t xml:space="preserve">more likely to </w:t>
      </w:r>
      <w:r w:rsidRPr="0070433E">
        <w:rPr>
          <w:lang w:val="en-NZ"/>
        </w:rPr>
        <w:t xml:space="preserve">commit fewer offences after the </w:t>
      </w:r>
      <w:r>
        <w:rPr>
          <w:lang w:val="en-NZ"/>
        </w:rPr>
        <w:t>FGCs</w:t>
      </w:r>
      <w:r w:rsidRPr="0070433E">
        <w:rPr>
          <w:lang w:val="en-NZ"/>
        </w:rPr>
        <w:t xml:space="preserve"> </w:t>
      </w:r>
      <w:r>
        <w:rPr>
          <w:lang w:val="en-NZ"/>
        </w:rPr>
        <w:t xml:space="preserve">than </w:t>
      </w:r>
      <w:r w:rsidRPr="0070433E">
        <w:rPr>
          <w:lang w:val="en-NZ"/>
        </w:rPr>
        <w:t>stop their offending completely.</w:t>
      </w:r>
    </w:p>
    <w:p w:rsidR="00706A3C" w:rsidRPr="00865AEC" w:rsidRDefault="00706A3C" w:rsidP="00706A3C">
      <w:pPr>
        <w:pStyle w:val="Heading3"/>
      </w:pPr>
      <w:r w:rsidRPr="00865AEC">
        <w:t xml:space="preserve">Overall outcomes </w:t>
      </w:r>
      <w:r>
        <w:t>12 months</w:t>
      </w:r>
      <w:r w:rsidRPr="00865AEC">
        <w:t xml:space="preserve"> after </w:t>
      </w:r>
      <w:r>
        <w:t xml:space="preserve">Youth Court monitored </w:t>
      </w:r>
      <w:r w:rsidRPr="00865AEC">
        <w:t>FGCs</w:t>
      </w:r>
    </w:p>
    <w:p w:rsidR="00706A3C" w:rsidRPr="00865AEC" w:rsidRDefault="00706A3C" w:rsidP="00706A3C">
      <w:pPr>
        <w:rPr>
          <w:lang w:val="en-NZ"/>
        </w:rPr>
      </w:pPr>
      <w:r w:rsidRPr="00865AEC">
        <w:rPr>
          <w:lang w:val="en-NZ"/>
        </w:rPr>
        <w:t xml:space="preserve">Table </w:t>
      </w:r>
      <w:r>
        <w:rPr>
          <w:lang w:val="en-NZ"/>
        </w:rPr>
        <w:t>4</w:t>
      </w:r>
      <w:r w:rsidRPr="00865AEC">
        <w:rPr>
          <w:lang w:val="en-NZ"/>
        </w:rPr>
        <w:t xml:space="preserve"> provides </w:t>
      </w:r>
      <w:r>
        <w:rPr>
          <w:lang w:val="en-NZ"/>
        </w:rPr>
        <w:t>12-month</w:t>
      </w:r>
      <w:r w:rsidRPr="00865AEC">
        <w:rPr>
          <w:lang w:val="en-NZ"/>
        </w:rPr>
        <w:t xml:space="preserve"> reoffending outcomes for the participants of </w:t>
      </w:r>
      <w:r>
        <w:rPr>
          <w:lang w:val="en-NZ"/>
        </w:rPr>
        <w:t>court-ordered</w:t>
      </w:r>
      <w:r w:rsidRPr="00865AEC">
        <w:rPr>
          <w:lang w:val="en-NZ"/>
        </w:rPr>
        <w:t xml:space="preserve"> FGCs.</w:t>
      </w:r>
    </w:p>
    <w:p w:rsidR="00706A3C" w:rsidRPr="00457B66" w:rsidRDefault="00706A3C" w:rsidP="00706A3C">
      <w:pPr>
        <w:pStyle w:val="Heading4"/>
      </w:pPr>
      <w:r>
        <w:t xml:space="preserve">Three out of every ten </w:t>
      </w:r>
      <w:r w:rsidR="00AE2C98">
        <w:t>c</w:t>
      </w:r>
      <w:r>
        <w:t>ourt</w:t>
      </w:r>
      <w:r w:rsidR="00AE2C98">
        <w:t>-ordered</w:t>
      </w:r>
      <w:r>
        <w:t xml:space="preserve"> FGC participants had not reoffended within 12 months</w:t>
      </w:r>
    </w:p>
    <w:p w:rsidR="00706A3C" w:rsidRPr="00865AEC" w:rsidRDefault="00706A3C" w:rsidP="00706A3C">
      <w:pPr>
        <w:pStyle w:val="Bullet1"/>
        <w:numPr>
          <w:ilvl w:val="0"/>
          <w:numId w:val="5"/>
        </w:numPr>
      </w:pPr>
      <w:r w:rsidRPr="00865AEC">
        <w:t xml:space="preserve">In the </w:t>
      </w:r>
      <w:r>
        <w:t>12 month</w:t>
      </w:r>
      <w:r w:rsidRPr="00865AEC">
        <w:t xml:space="preserve"> period following the FGCs, </w:t>
      </w:r>
      <w:r>
        <w:t>30</w:t>
      </w:r>
      <w:r w:rsidRPr="00865AEC">
        <w:t>% of participants did not reoffend at all.</w:t>
      </w:r>
    </w:p>
    <w:p w:rsidR="00706A3C" w:rsidRPr="00AF07F1" w:rsidRDefault="00706A3C" w:rsidP="00706A3C">
      <w:pPr>
        <w:pStyle w:val="Bullet1"/>
        <w:numPr>
          <w:ilvl w:val="0"/>
          <w:numId w:val="5"/>
        </w:numPr>
      </w:pPr>
      <w:r w:rsidRPr="00AF07F1">
        <w:t>Females (3</w:t>
      </w:r>
      <w:r>
        <w:t>9</w:t>
      </w:r>
      <w:r w:rsidRPr="00AF07F1">
        <w:t>%</w:t>
      </w:r>
      <w:r>
        <w:t>)</w:t>
      </w:r>
      <w:r w:rsidRPr="00AF07F1">
        <w:t xml:space="preserve"> were </w:t>
      </w:r>
      <w:r>
        <w:t xml:space="preserve">much </w:t>
      </w:r>
      <w:r w:rsidRPr="00AF07F1">
        <w:t>more likely to have not reoffended than males (2</w:t>
      </w:r>
      <w:r>
        <w:t>8</w:t>
      </w:r>
      <w:r w:rsidRPr="00AF07F1">
        <w:t>%).</w:t>
      </w:r>
    </w:p>
    <w:p w:rsidR="00706A3C" w:rsidRPr="00AF07F1" w:rsidRDefault="00706A3C" w:rsidP="00706A3C">
      <w:pPr>
        <w:pStyle w:val="Bullet1"/>
        <w:numPr>
          <w:ilvl w:val="0"/>
          <w:numId w:val="5"/>
        </w:numPr>
      </w:pPr>
      <w:r w:rsidRPr="00AF07F1">
        <w:t xml:space="preserve">Europeans </w:t>
      </w:r>
      <w:r>
        <w:t xml:space="preserve">(32%) </w:t>
      </w:r>
      <w:r w:rsidRPr="00AF07F1">
        <w:t xml:space="preserve">were </w:t>
      </w:r>
      <w:r>
        <w:t xml:space="preserve">marginally </w:t>
      </w:r>
      <w:r w:rsidRPr="00AF07F1">
        <w:t xml:space="preserve">more likely to have not reoffended than Māori or Pacific people (27% and </w:t>
      </w:r>
      <w:r>
        <w:t>30</w:t>
      </w:r>
      <w:r w:rsidRPr="00AF07F1">
        <w:t>% respectively).</w:t>
      </w:r>
    </w:p>
    <w:p w:rsidR="00706A3C" w:rsidRPr="009358E5" w:rsidRDefault="00706A3C" w:rsidP="00706A3C">
      <w:pPr>
        <w:pStyle w:val="Heading4"/>
      </w:pPr>
      <w:r>
        <w:t xml:space="preserve">Seven out of every ten of the FGC participants </w:t>
      </w:r>
      <w:r w:rsidRPr="009358E5">
        <w:t xml:space="preserve">reduced the </w:t>
      </w:r>
      <w:r>
        <w:t xml:space="preserve">frequency and/or </w:t>
      </w:r>
      <w:r w:rsidRPr="009358E5">
        <w:t>seriousness of their offend</w:t>
      </w:r>
      <w:r>
        <w:t>ing</w:t>
      </w:r>
    </w:p>
    <w:p w:rsidR="00706A3C" w:rsidRPr="00431155" w:rsidRDefault="00706A3C" w:rsidP="00706A3C">
      <w:pPr>
        <w:pStyle w:val="Bullet1"/>
        <w:numPr>
          <w:ilvl w:val="0"/>
          <w:numId w:val="5"/>
        </w:numPr>
      </w:pPr>
      <w:r w:rsidRPr="00431155">
        <w:t xml:space="preserve">72% of </w:t>
      </w:r>
      <w:r>
        <w:t xml:space="preserve">court-ordered FGC </w:t>
      </w:r>
      <w:r w:rsidRPr="00431155">
        <w:t>participants offended less often, including 2</w:t>
      </w:r>
      <w:r>
        <w:t>9</w:t>
      </w:r>
      <w:r w:rsidRPr="00431155">
        <w:t>% who did not reoffend at all and 43% who reoffended at a lower rate than before. Around 22% of young people offended more often and 6% offended at the same rate as before.</w:t>
      </w:r>
    </w:p>
    <w:p w:rsidR="00706A3C" w:rsidRPr="00E07528" w:rsidRDefault="00706A3C" w:rsidP="00706A3C">
      <w:pPr>
        <w:pStyle w:val="Bullet1"/>
        <w:numPr>
          <w:ilvl w:val="0"/>
          <w:numId w:val="5"/>
        </w:numPr>
      </w:pPr>
      <w:r w:rsidRPr="00E07528">
        <w:t>74% of participants reduced the total seriousness of their offending, including 2</w:t>
      </w:r>
      <w:r>
        <w:t>9</w:t>
      </w:r>
      <w:r w:rsidRPr="00E07528">
        <w:t>% who achieved this by not reoffending at all and 4</w:t>
      </w:r>
      <w:r>
        <w:t>5</w:t>
      </w:r>
      <w:r w:rsidRPr="00E07528">
        <w:t>% who reoffended at a lower level of seriousness than before. Twenty-three per</w:t>
      </w:r>
      <w:r>
        <w:t xml:space="preserve"> </w:t>
      </w:r>
      <w:r w:rsidRPr="00E07528">
        <w:t>cent of participants committed more serious offences and 3% committed offences of the same total seriousness</w:t>
      </w:r>
      <w:r>
        <w:t>.</w:t>
      </w:r>
    </w:p>
    <w:p w:rsidR="00706A3C" w:rsidRPr="00E07528" w:rsidRDefault="00706A3C" w:rsidP="00706A3C">
      <w:pPr>
        <w:pStyle w:val="Bullet1"/>
        <w:numPr>
          <w:ilvl w:val="0"/>
          <w:numId w:val="5"/>
        </w:numPr>
      </w:pPr>
      <w:r w:rsidRPr="00E07528">
        <w:t>69% of participants reduced</w:t>
      </w:r>
      <w:r>
        <w:t xml:space="preserve"> the</w:t>
      </w:r>
      <w:r w:rsidRPr="00E07528">
        <w:t xml:space="preserve"> seriousness of the most serious offence, including 2</w:t>
      </w:r>
      <w:r>
        <w:t>9</w:t>
      </w:r>
      <w:r w:rsidRPr="00E07528">
        <w:t>% who achieved this by not reoffending at all and 4</w:t>
      </w:r>
      <w:r>
        <w:t>0</w:t>
      </w:r>
      <w:r w:rsidRPr="00E07528">
        <w:t>% who reoffended at a lower level of seriousness than before. Twenty-three per</w:t>
      </w:r>
      <w:r>
        <w:t xml:space="preserve"> </w:t>
      </w:r>
      <w:r w:rsidRPr="00E07528">
        <w:t>cent of participants committed a more serious offence and 8% committed an offence of the same seriousness.</w:t>
      </w:r>
    </w:p>
    <w:p w:rsidR="00706A3C" w:rsidRPr="00E07528" w:rsidRDefault="00706A3C" w:rsidP="00706A3C">
      <w:pPr>
        <w:pStyle w:val="Bullet1"/>
        <w:numPr>
          <w:ilvl w:val="0"/>
          <w:numId w:val="5"/>
        </w:numPr>
      </w:pPr>
      <w:r w:rsidRPr="00E07528">
        <w:t>A higher proportion of females reduced their frequency and</w:t>
      </w:r>
      <w:r>
        <w:t>/or</w:t>
      </w:r>
      <w:r w:rsidRPr="00E07528">
        <w:t xml:space="preserve"> seriousness of off</w:t>
      </w:r>
      <w:r>
        <w:t>ending compared with males</w:t>
      </w:r>
      <w:r w:rsidRPr="00054E79">
        <w:t xml:space="preserve"> </w:t>
      </w:r>
      <w:r>
        <w:t>after Youth Court monitored FGCs.</w:t>
      </w:r>
    </w:p>
    <w:p w:rsidR="00706A3C" w:rsidRDefault="00706A3C" w:rsidP="00706A3C">
      <w:pPr>
        <w:pStyle w:val="Bullet1"/>
        <w:numPr>
          <w:ilvl w:val="0"/>
          <w:numId w:val="5"/>
        </w:numPr>
      </w:pPr>
      <w:r>
        <w:t xml:space="preserve">Europeans were slightly more likely than </w:t>
      </w:r>
      <w:r w:rsidRPr="00AF07F1">
        <w:t xml:space="preserve">Māori </w:t>
      </w:r>
      <w:r>
        <w:t xml:space="preserve">and Pacific people to have </w:t>
      </w:r>
      <w:r w:rsidRPr="00E07528">
        <w:t>reduced the frequency and</w:t>
      </w:r>
      <w:r>
        <w:t>/or</w:t>
      </w:r>
      <w:r w:rsidRPr="00E07528">
        <w:t xml:space="preserve"> seriousness of thei</w:t>
      </w:r>
      <w:r>
        <w:t>r offending</w:t>
      </w:r>
      <w:r w:rsidRPr="00E07528">
        <w:t>.</w:t>
      </w:r>
    </w:p>
    <w:p w:rsidR="00706A3C" w:rsidRPr="00E07528" w:rsidRDefault="00706A3C" w:rsidP="00706A3C">
      <w:pPr>
        <w:pStyle w:val="Bullet1"/>
        <w:numPr>
          <w:ilvl w:val="0"/>
          <w:numId w:val="5"/>
        </w:numPr>
      </w:pPr>
      <w:r>
        <w:t xml:space="preserve">12-month reoffending outcomes were very similar for Youth Court monitored </w:t>
      </w:r>
      <w:r w:rsidRPr="00D61296">
        <w:t>FGC</w:t>
      </w:r>
      <w:r>
        <w:t>s held in 2011 compared with those held in 2012.</w:t>
      </w:r>
    </w:p>
    <w:p w:rsidR="00706A3C" w:rsidRPr="002530B5" w:rsidRDefault="00706A3C" w:rsidP="00706A3C">
      <w:pPr>
        <w:pStyle w:val="Heading4"/>
      </w:pPr>
      <w:r>
        <w:t>Twelve per cent received a custodial sentence within 12 months of the FGCs being held</w:t>
      </w:r>
    </w:p>
    <w:p w:rsidR="00706A3C" w:rsidRDefault="00706A3C" w:rsidP="00706A3C">
      <w:pPr>
        <w:pStyle w:val="Bullet1"/>
        <w:numPr>
          <w:ilvl w:val="0"/>
          <w:numId w:val="5"/>
        </w:numPr>
      </w:pPr>
      <w:r w:rsidRPr="00D61296">
        <w:t>12% of young people received a custodial sentence (</w:t>
      </w:r>
      <w:r>
        <w:t>Supervision with Residence</w:t>
      </w:r>
      <w:r w:rsidRPr="00D61296">
        <w:t xml:space="preserve"> or </w:t>
      </w:r>
      <w:r>
        <w:t>imprisonment</w:t>
      </w:r>
      <w:r w:rsidRPr="00D61296">
        <w:t>) in the 12 months after the FGC</w:t>
      </w:r>
      <w:r>
        <w:t xml:space="preserve"> </w:t>
      </w:r>
      <w:r w:rsidRPr="00D61296">
        <w:t xml:space="preserve">(Table </w:t>
      </w:r>
      <w:r>
        <w:t>5</w:t>
      </w:r>
      <w:r w:rsidRPr="00D61296">
        <w:t>)</w:t>
      </w:r>
      <w:r>
        <w:t>. An</w:t>
      </w:r>
      <w:r w:rsidRPr="00D61296">
        <w:t>other 13% receiv</w:t>
      </w:r>
      <w:r>
        <w:t>ed Supervision with Activity</w:t>
      </w:r>
      <w:r w:rsidRPr="002530B5">
        <w:t xml:space="preserve"> or stand-alone </w:t>
      </w:r>
      <w:r>
        <w:t>S</w:t>
      </w:r>
      <w:r w:rsidRPr="002530B5">
        <w:t>upervision orders</w:t>
      </w:r>
      <w:r w:rsidRPr="00D61296">
        <w:t>.</w:t>
      </w:r>
    </w:p>
    <w:p w:rsidR="00706A3C" w:rsidRPr="00D61296" w:rsidRDefault="00706A3C" w:rsidP="00706A3C">
      <w:pPr>
        <w:pStyle w:val="Bullet1"/>
        <w:numPr>
          <w:ilvl w:val="0"/>
          <w:numId w:val="5"/>
        </w:numPr>
      </w:pPr>
      <w:r>
        <w:t xml:space="preserve">Nine per cent of Europeans </w:t>
      </w:r>
      <w:r w:rsidRPr="00D61296">
        <w:t xml:space="preserve">received a custodial sentence in the 12 months after the </w:t>
      </w:r>
      <w:r w:rsidR="00AE2C98">
        <w:t>c</w:t>
      </w:r>
      <w:r>
        <w:t>ourt</w:t>
      </w:r>
      <w:r w:rsidR="00AE2C98">
        <w:t>-ordered</w:t>
      </w:r>
      <w:r>
        <w:t xml:space="preserve"> </w:t>
      </w:r>
      <w:r w:rsidRPr="00D61296">
        <w:t>FGC</w:t>
      </w:r>
      <w:r w:rsidR="00AE2C98">
        <w:t>s</w:t>
      </w:r>
      <w:r>
        <w:t xml:space="preserve">, while the proportions were slightly higher for Pacific people (12%) and </w:t>
      </w:r>
      <w:r w:rsidRPr="00AF07F1">
        <w:t xml:space="preserve">Māori </w:t>
      </w:r>
      <w:r>
        <w:t>(14%).</w:t>
      </w:r>
    </w:p>
    <w:p w:rsidR="00706A3C" w:rsidRPr="00D53161" w:rsidRDefault="00706A3C" w:rsidP="00AE2C98">
      <w:pPr>
        <w:pStyle w:val="Caption"/>
        <w:ind w:right="95"/>
        <w:rPr>
          <w:sz w:val="22"/>
        </w:rPr>
      </w:pPr>
      <w:r w:rsidRPr="000B6D34">
        <w:lastRenderedPageBreak/>
        <w:t xml:space="preserve">Table </w:t>
      </w:r>
      <w:r>
        <w:t>4</w:t>
      </w:r>
      <w:r w:rsidRPr="000B6D34">
        <w:t>:</w:t>
      </w:r>
      <w:r w:rsidRPr="000B6D34">
        <w:tab/>
        <w:t xml:space="preserve">Outcomes </w:t>
      </w:r>
      <w:r>
        <w:t>12 months</w:t>
      </w:r>
      <w:r w:rsidRPr="004B6FE8">
        <w:t xml:space="preserve"> </w:t>
      </w:r>
      <w:r w:rsidRPr="000B6D34">
        <w:t xml:space="preserve">after </w:t>
      </w:r>
      <w:r w:rsidR="00AE2C98">
        <w:t>c</w:t>
      </w:r>
      <w:r>
        <w:t>ourt</w:t>
      </w:r>
      <w:r w:rsidR="00AE2C98">
        <w:t>-ordered</w:t>
      </w:r>
      <w:r>
        <w:t xml:space="preserve"> </w:t>
      </w:r>
      <w:r w:rsidRPr="000B6D34">
        <w:t>FGCs were held</w:t>
      </w:r>
      <w:r>
        <w:t xml:space="preserve"> in 2011 and 2012</w:t>
      </w:r>
      <w:r w:rsidRPr="000B6D34">
        <w:t>, by ethnicity</w:t>
      </w:r>
    </w:p>
    <w:tbl>
      <w:tblPr>
        <w:tblStyle w:val="MSD1"/>
        <w:tblW w:w="9039" w:type="dxa"/>
        <w:tblLayout w:type="fixed"/>
        <w:tblLook w:val="05A0" w:firstRow="1" w:lastRow="0" w:firstColumn="1" w:lastColumn="1" w:noHBand="0" w:noVBand="1"/>
      </w:tblPr>
      <w:tblGrid>
        <w:gridCol w:w="4219"/>
        <w:gridCol w:w="1205"/>
        <w:gridCol w:w="1205"/>
        <w:gridCol w:w="1205"/>
        <w:gridCol w:w="1205"/>
      </w:tblGrid>
      <w:tr w:rsidR="00706A3C" w:rsidRPr="00CA5F93" w:rsidTr="00706A3C">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4219" w:type="dxa"/>
            <w:vAlign w:val="top"/>
            <w:hideMark/>
          </w:tcPr>
          <w:p w:rsidR="00706A3C" w:rsidRPr="0053383F" w:rsidRDefault="00706A3C" w:rsidP="00706A3C">
            <w:pPr>
              <w:spacing w:before="20" w:after="20" w:line="240" w:lineRule="auto"/>
              <w:rPr>
                <w:color w:val="FFFFFF" w:themeColor="background1"/>
                <w:sz w:val="20"/>
                <w:lang w:val="en-NZ"/>
              </w:rPr>
            </w:pPr>
            <w:r w:rsidRPr="0053383F">
              <w:rPr>
                <w:color w:val="FFFFFF" w:themeColor="background1"/>
                <w:sz w:val="20"/>
                <w:lang w:val="en-NZ"/>
              </w:rPr>
              <w:t>Outcome</w:t>
            </w:r>
          </w:p>
          <w:p w:rsidR="00706A3C" w:rsidRPr="00534B62" w:rsidRDefault="00706A3C" w:rsidP="00706A3C">
            <w:pPr>
              <w:spacing w:before="20" w:after="20" w:line="240" w:lineRule="auto"/>
              <w:rPr>
                <w:b w:val="0"/>
                <w:sz w:val="16"/>
                <w:szCs w:val="16"/>
                <w:lang w:val="en-NZ"/>
              </w:rPr>
            </w:pPr>
            <w:r w:rsidRPr="00534B62">
              <w:rPr>
                <w:b w:val="0"/>
                <w:color w:val="FFFFFF" w:themeColor="background1"/>
                <w:sz w:val="16"/>
                <w:szCs w:val="16"/>
                <w:lang w:val="en-NZ"/>
              </w:rPr>
              <w:t>(reductions compare after period to same period before)</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European</w:t>
            </w:r>
            <w:r>
              <w:rPr>
                <w:b w:val="0"/>
                <w:sz w:val="20"/>
                <w:lang w:val="en-NZ"/>
              </w:rPr>
              <w:br/>
            </w:r>
            <w:r w:rsidRPr="00AE18CB">
              <w:rPr>
                <w:b w:val="0"/>
                <w:sz w:val="16"/>
                <w:szCs w:val="16"/>
                <w:lang w:val="en-NZ"/>
              </w:rPr>
              <w:t>(n=</w:t>
            </w:r>
            <w:r>
              <w:rPr>
                <w:b w:val="0"/>
                <w:sz w:val="16"/>
                <w:szCs w:val="16"/>
                <w:lang w:val="en-NZ"/>
              </w:rPr>
              <w:t>871</w:t>
            </w:r>
            <w:r w:rsidRPr="00AE18CB">
              <w:rPr>
                <w:b w:val="0"/>
                <w:sz w:val="16"/>
                <w:szCs w:val="16"/>
                <w:lang w:val="en-NZ"/>
              </w:rPr>
              <w:t>)</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Māori</w:t>
            </w:r>
            <w:r>
              <w:rPr>
                <w:b w:val="0"/>
                <w:sz w:val="20"/>
                <w:lang w:val="en-NZ"/>
              </w:rPr>
              <w:br/>
            </w:r>
            <w:r w:rsidRPr="00AE18CB">
              <w:rPr>
                <w:b w:val="0"/>
                <w:sz w:val="16"/>
                <w:szCs w:val="16"/>
                <w:lang w:val="en-NZ"/>
              </w:rPr>
              <w:t>(n=</w:t>
            </w:r>
            <w:r>
              <w:rPr>
                <w:b w:val="0"/>
                <w:sz w:val="16"/>
                <w:szCs w:val="16"/>
                <w:lang w:val="en-NZ"/>
              </w:rPr>
              <w:t>1,526</w:t>
            </w:r>
            <w:r w:rsidRPr="00AE18CB">
              <w:rPr>
                <w:b w:val="0"/>
                <w:sz w:val="16"/>
                <w:szCs w:val="16"/>
                <w:lang w:val="en-NZ"/>
              </w:rPr>
              <w:t>)</w:t>
            </w:r>
          </w:p>
        </w:tc>
        <w:tc>
          <w:tcPr>
            <w:tcW w:w="1205" w:type="dxa"/>
            <w:vAlign w:val="top"/>
            <w:hideMark/>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Pacific people</w:t>
            </w:r>
            <w:r>
              <w:rPr>
                <w:b w:val="0"/>
                <w:sz w:val="20"/>
                <w:lang w:val="en-NZ"/>
              </w:rPr>
              <w:br/>
            </w:r>
            <w:r w:rsidRPr="00AE18CB">
              <w:rPr>
                <w:b w:val="0"/>
                <w:sz w:val="16"/>
                <w:szCs w:val="16"/>
                <w:lang w:val="en-NZ"/>
              </w:rPr>
              <w:t>(n=</w:t>
            </w:r>
            <w:r>
              <w:rPr>
                <w:b w:val="0"/>
                <w:sz w:val="16"/>
                <w:szCs w:val="16"/>
                <w:lang w:val="en-NZ"/>
              </w:rPr>
              <w:t>362</w:t>
            </w:r>
            <w:r w:rsidRPr="00AE18CB">
              <w:rPr>
                <w:b w:val="0"/>
                <w:sz w:val="16"/>
                <w:szCs w:val="16"/>
                <w:lang w:val="en-NZ"/>
              </w:rPr>
              <w:t>)</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933AC9" w:rsidRDefault="00706A3C" w:rsidP="00706A3C">
            <w:pPr>
              <w:spacing w:before="20" w:after="20" w:line="240" w:lineRule="auto"/>
              <w:rPr>
                <w:sz w:val="20"/>
                <w:lang w:val="en-NZ"/>
              </w:rPr>
            </w:pPr>
            <w:r w:rsidRPr="00724D6D">
              <w:rPr>
                <w:sz w:val="18"/>
                <w:szCs w:val="18"/>
                <w:lang w:val="en-NZ"/>
              </w:rPr>
              <w:t>Overall</w:t>
            </w:r>
            <w:r>
              <w:rPr>
                <w:b w:val="0"/>
                <w:sz w:val="20"/>
                <w:lang w:val="en-NZ"/>
              </w:rPr>
              <w:br/>
            </w:r>
            <w:r w:rsidRPr="00AE18CB">
              <w:rPr>
                <w:b w:val="0"/>
                <w:sz w:val="16"/>
                <w:szCs w:val="16"/>
                <w:lang w:val="en-NZ"/>
              </w:rPr>
              <w:t>(n=</w:t>
            </w:r>
            <w:r>
              <w:rPr>
                <w:b w:val="0"/>
                <w:sz w:val="16"/>
                <w:szCs w:val="16"/>
                <w:lang w:val="en-NZ"/>
              </w:rPr>
              <w:t>2,828</w:t>
            </w:r>
            <w:r w:rsidRPr="00AE18CB">
              <w:rPr>
                <w:b w:val="0"/>
                <w:sz w:val="16"/>
                <w:szCs w:val="16"/>
                <w:lang w:val="en-NZ"/>
              </w:rPr>
              <w:t>)</w:t>
            </w:r>
          </w:p>
        </w:tc>
      </w:tr>
      <w:tr w:rsidR="00706A3C" w:rsidRPr="00724D6D"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24D6D" w:rsidRDefault="00706A3C" w:rsidP="00706A3C">
            <w:pPr>
              <w:pStyle w:val="TableText"/>
              <w:spacing w:before="0" w:after="0"/>
              <w:rPr>
                <w:sz w:val="18"/>
                <w:szCs w:val="18"/>
              </w:rPr>
            </w:pPr>
            <w:r w:rsidRPr="00724D6D">
              <w:rPr>
                <w:sz w:val="18"/>
                <w:szCs w:val="18"/>
              </w:rPr>
              <w:t>Did not reoffend</w:t>
            </w:r>
          </w:p>
        </w:tc>
        <w:tc>
          <w:tcPr>
            <w:tcW w:w="1205" w:type="dxa"/>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32%</w:t>
            </w:r>
          </w:p>
        </w:tc>
        <w:tc>
          <w:tcPr>
            <w:tcW w:w="1205" w:type="dxa"/>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27%</w:t>
            </w:r>
          </w:p>
        </w:tc>
        <w:tc>
          <w:tcPr>
            <w:tcW w:w="1205" w:type="dxa"/>
            <w:hideMark/>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30%</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24D6D" w:rsidRDefault="00706A3C" w:rsidP="00706A3C">
            <w:pPr>
              <w:pStyle w:val="TableText"/>
              <w:spacing w:before="0" w:after="0"/>
              <w:rPr>
                <w:sz w:val="18"/>
                <w:szCs w:val="18"/>
              </w:rPr>
            </w:pPr>
            <w:r w:rsidRPr="00724D6D">
              <w:rPr>
                <w:sz w:val="18"/>
                <w:szCs w:val="18"/>
              </w:rPr>
              <w:t>30%</w:t>
            </w:r>
          </w:p>
        </w:tc>
      </w:tr>
      <w:tr w:rsidR="00706A3C" w:rsidRPr="00724D6D" w:rsidTr="00706A3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24D6D" w:rsidRDefault="00706A3C" w:rsidP="00706A3C">
            <w:pPr>
              <w:pStyle w:val="TableText"/>
              <w:spacing w:before="0" w:after="0"/>
              <w:rPr>
                <w:sz w:val="18"/>
                <w:szCs w:val="18"/>
              </w:rPr>
            </w:pPr>
            <w:r w:rsidRPr="00724D6D">
              <w:rPr>
                <w:sz w:val="18"/>
                <w:szCs w:val="18"/>
              </w:rPr>
              <w:t>Reduced frequency of offending</w:t>
            </w:r>
            <w:r w:rsidRPr="00724D6D">
              <w:rPr>
                <w:sz w:val="18"/>
                <w:szCs w:val="18"/>
                <w:vertAlign w:val="superscript"/>
              </w:rPr>
              <w:t>1</w:t>
            </w:r>
          </w:p>
        </w:tc>
        <w:tc>
          <w:tcPr>
            <w:tcW w:w="1205" w:type="dxa"/>
          </w:tcPr>
          <w:p w:rsidR="00706A3C" w:rsidRPr="00724D6D" w:rsidRDefault="00706A3C" w:rsidP="00706A3C">
            <w:pPr>
              <w:pStyle w:val="TableText"/>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724D6D">
              <w:rPr>
                <w:sz w:val="18"/>
                <w:szCs w:val="18"/>
              </w:rPr>
              <w:t>73%</w:t>
            </w:r>
          </w:p>
        </w:tc>
        <w:tc>
          <w:tcPr>
            <w:tcW w:w="1205" w:type="dxa"/>
          </w:tcPr>
          <w:p w:rsidR="00706A3C" w:rsidRPr="00724D6D" w:rsidRDefault="00706A3C" w:rsidP="00706A3C">
            <w:pPr>
              <w:pStyle w:val="TableText"/>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724D6D">
              <w:rPr>
                <w:sz w:val="18"/>
                <w:szCs w:val="18"/>
              </w:rPr>
              <w:t>72%</w:t>
            </w:r>
          </w:p>
        </w:tc>
        <w:tc>
          <w:tcPr>
            <w:tcW w:w="1205" w:type="dxa"/>
            <w:hideMark/>
          </w:tcPr>
          <w:p w:rsidR="00706A3C" w:rsidRPr="00724D6D" w:rsidRDefault="00706A3C" w:rsidP="00706A3C">
            <w:pPr>
              <w:pStyle w:val="TableText"/>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724D6D">
              <w:rPr>
                <w:sz w:val="18"/>
                <w:szCs w:val="18"/>
              </w:rPr>
              <w:t>69%</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24D6D" w:rsidRDefault="00706A3C" w:rsidP="00706A3C">
            <w:pPr>
              <w:pStyle w:val="TableText"/>
              <w:spacing w:before="0" w:after="0"/>
              <w:rPr>
                <w:sz w:val="18"/>
                <w:szCs w:val="18"/>
              </w:rPr>
            </w:pPr>
            <w:r w:rsidRPr="00724D6D">
              <w:rPr>
                <w:sz w:val="18"/>
                <w:szCs w:val="18"/>
              </w:rPr>
              <w:t>72%</w:t>
            </w:r>
          </w:p>
        </w:tc>
      </w:tr>
      <w:tr w:rsidR="00706A3C" w:rsidRPr="00724D6D"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24D6D" w:rsidRDefault="00706A3C" w:rsidP="00706A3C">
            <w:pPr>
              <w:pStyle w:val="TableText"/>
              <w:spacing w:before="0" w:after="0"/>
              <w:rPr>
                <w:sz w:val="18"/>
                <w:szCs w:val="18"/>
              </w:rPr>
            </w:pPr>
            <w:r w:rsidRPr="00724D6D">
              <w:rPr>
                <w:sz w:val="18"/>
                <w:szCs w:val="18"/>
              </w:rPr>
              <w:t>Reduced total seriousness of offending</w:t>
            </w:r>
            <w:r w:rsidRPr="00724D6D">
              <w:rPr>
                <w:sz w:val="18"/>
                <w:szCs w:val="18"/>
                <w:vertAlign w:val="superscript"/>
              </w:rPr>
              <w:t>1</w:t>
            </w:r>
          </w:p>
        </w:tc>
        <w:tc>
          <w:tcPr>
            <w:tcW w:w="1205" w:type="dxa"/>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77%</w:t>
            </w:r>
          </w:p>
        </w:tc>
        <w:tc>
          <w:tcPr>
            <w:tcW w:w="1205" w:type="dxa"/>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73%</w:t>
            </w:r>
          </w:p>
        </w:tc>
        <w:tc>
          <w:tcPr>
            <w:tcW w:w="1205" w:type="dxa"/>
            <w:hideMark/>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71%</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24D6D" w:rsidRDefault="00706A3C" w:rsidP="00706A3C">
            <w:pPr>
              <w:pStyle w:val="TableText"/>
              <w:spacing w:before="0" w:after="0"/>
              <w:rPr>
                <w:sz w:val="18"/>
                <w:szCs w:val="18"/>
              </w:rPr>
            </w:pPr>
            <w:r w:rsidRPr="00724D6D">
              <w:rPr>
                <w:sz w:val="18"/>
                <w:szCs w:val="18"/>
              </w:rPr>
              <w:t>74%</w:t>
            </w:r>
          </w:p>
        </w:tc>
      </w:tr>
      <w:tr w:rsidR="00706A3C" w:rsidRPr="00724D6D" w:rsidTr="00706A3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19" w:type="dxa"/>
          </w:tcPr>
          <w:p w:rsidR="00706A3C" w:rsidRPr="00724D6D" w:rsidRDefault="00706A3C" w:rsidP="00706A3C">
            <w:pPr>
              <w:pStyle w:val="TableText"/>
              <w:spacing w:before="0" w:after="0"/>
              <w:rPr>
                <w:sz w:val="18"/>
                <w:szCs w:val="18"/>
              </w:rPr>
            </w:pPr>
            <w:r w:rsidRPr="00724D6D">
              <w:rPr>
                <w:sz w:val="18"/>
                <w:szCs w:val="18"/>
              </w:rPr>
              <w:t>Reduced seriousness of most serious offence</w:t>
            </w:r>
            <w:r w:rsidRPr="00724D6D">
              <w:rPr>
                <w:sz w:val="18"/>
                <w:szCs w:val="18"/>
                <w:vertAlign w:val="superscript"/>
              </w:rPr>
              <w:t>1</w:t>
            </w:r>
          </w:p>
        </w:tc>
        <w:tc>
          <w:tcPr>
            <w:tcW w:w="1205" w:type="dxa"/>
          </w:tcPr>
          <w:p w:rsidR="00706A3C" w:rsidRPr="00724D6D" w:rsidRDefault="00706A3C" w:rsidP="00706A3C">
            <w:pPr>
              <w:pStyle w:val="TableText"/>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724D6D">
              <w:rPr>
                <w:sz w:val="18"/>
                <w:szCs w:val="18"/>
              </w:rPr>
              <w:t>72%</w:t>
            </w:r>
          </w:p>
        </w:tc>
        <w:tc>
          <w:tcPr>
            <w:tcW w:w="1205" w:type="dxa"/>
          </w:tcPr>
          <w:p w:rsidR="00706A3C" w:rsidRPr="00724D6D" w:rsidRDefault="00706A3C" w:rsidP="00706A3C">
            <w:pPr>
              <w:pStyle w:val="TableText"/>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724D6D">
              <w:rPr>
                <w:sz w:val="18"/>
                <w:szCs w:val="18"/>
              </w:rPr>
              <w:t>69%</w:t>
            </w:r>
          </w:p>
        </w:tc>
        <w:tc>
          <w:tcPr>
            <w:tcW w:w="1205" w:type="dxa"/>
          </w:tcPr>
          <w:p w:rsidR="00706A3C" w:rsidRPr="00724D6D" w:rsidRDefault="00706A3C" w:rsidP="00706A3C">
            <w:pPr>
              <w:pStyle w:val="TableText"/>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724D6D">
              <w:rPr>
                <w:sz w:val="18"/>
                <w:szCs w:val="18"/>
              </w:rPr>
              <w:t>64%</w:t>
            </w:r>
          </w:p>
        </w:tc>
        <w:tc>
          <w:tcPr>
            <w:cnfStyle w:val="000100000000" w:firstRow="0" w:lastRow="0" w:firstColumn="0" w:lastColumn="1" w:oddVBand="0" w:evenVBand="0" w:oddHBand="0" w:evenHBand="0" w:firstRowFirstColumn="0" w:firstRowLastColumn="0" w:lastRowFirstColumn="0" w:lastRowLastColumn="0"/>
            <w:tcW w:w="1205" w:type="dxa"/>
          </w:tcPr>
          <w:p w:rsidR="00706A3C" w:rsidRPr="00724D6D" w:rsidRDefault="00706A3C" w:rsidP="00706A3C">
            <w:pPr>
              <w:pStyle w:val="TableText"/>
              <w:spacing w:before="0" w:after="0"/>
              <w:rPr>
                <w:sz w:val="18"/>
                <w:szCs w:val="18"/>
              </w:rPr>
            </w:pPr>
            <w:r w:rsidRPr="00724D6D">
              <w:rPr>
                <w:sz w:val="18"/>
                <w:szCs w:val="18"/>
              </w:rPr>
              <w:t>69%</w:t>
            </w:r>
          </w:p>
        </w:tc>
      </w:tr>
      <w:tr w:rsidR="00706A3C" w:rsidRPr="00724D6D"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724D6D" w:rsidRDefault="00706A3C" w:rsidP="00706A3C">
            <w:pPr>
              <w:pStyle w:val="TableText"/>
              <w:spacing w:before="0" w:after="0"/>
              <w:rPr>
                <w:sz w:val="18"/>
                <w:szCs w:val="18"/>
              </w:rPr>
            </w:pPr>
            <w:r w:rsidRPr="00724D6D">
              <w:rPr>
                <w:sz w:val="18"/>
                <w:szCs w:val="18"/>
              </w:rPr>
              <w:t>Received a custodial sentence</w:t>
            </w:r>
          </w:p>
        </w:tc>
        <w:tc>
          <w:tcPr>
            <w:tcW w:w="1205" w:type="dxa"/>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9%</w:t>
            </w:r>
          </w:p>
        </w:tc>
        <w:tc>
          <w:tcPr>
            <w:tcW w:w="1205" w:type="dxa"/>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14%</w:t>
            </w:r>
          </w:p>
        </w:tc>
        <w:tc>
          <w:tcPr>
            <w:tcW w:w="1205" w:type="dxa"/>
            <w:hideMark/>
          </w:tcPr>
          <w:p w:rsidR="00706A3C" w:rsidRPr="00724D6D" w:rsidRDefault="00706A3C" w:rsidP="00706A3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724D6D">
              <w:rPr>
                <w:sz w:val="18"/>
                <w:szCs w:val="18"/>
              </w:rPr>
              <w:t>12%</w:t>
            </w:r>
          </w:p>
        </w:tc>
        <w:tc>
          <w:tcPr>
            <w:cnfStyle w:val="000100000000" w:firstRow="0" w:lastRow="0" w:firstColumn="0" w:lastColumn="1" w:oddVBand="0" w:evenVBand="0" w:oddHBand="0" w:evenHBand="0" w:firstRowFirstColumn="0" w:firstRowLastColumn="0" w:lastRowFirstColumn="0" w:lastRowLastColumn="0"/>
            <w:tcW w:w="1205" w:type="dxa"/>
            <w:hideMark/>
          </w:tcPr>
          <w:p w:rsidR="00706A3C" w:rsidRPr="00724D6D" w:rsidRDefault="00706A3C" w:rsidP="00706A3C">
            <w:pPr>
              <w:pStyle w:val="TableText"/>
              <w:spacing w:before="0" w:after="0"/>
              <w:rPr>
                <w:sz w:val="18"/>
                <w:szCs w:val="18"/>
              </w:rPr>
            </w:pPr>
            <w:r w:rsidRPr="00724D6D">
              <w:rPr>
                <w:sz w:val="18"/>
                <w:szCs w:val="18"/>
              </w:rPr>
              <w:t>12%</w:t>
            </w:r>
          </w:p>
        </w:tc>
      </w:tr>
    </w:tbl>
    <w:p w:rsidR="00706A3C" w:rsidRPr="000B6D34" w:rsidRDefault="00706A3C" w:rsidP="00706A3C">
      <w:pPr>
        <w:pStyle w:val="BodyText"/>
        <w:spacing w:before="20" w:after="0" w:line="240" w:lineRule="auto"/>
        <w:rPr>
          <w:rFonts w:ascii="Verdana" w:hAnsi="Verdana"/>
          <w:sz w:val="18"/>
          <w:szCs w:val="18"/>
        </w:rPr>
      </w:pPr>
      <w:r w:rsidRPr="000B6D34">
        <w:rPr>
          <w:rFonts w:ascii="Verdana" w:hAnsi="Verdana"/>
          <w:sz w:val="18"/>
          <w:szCs w:val="18"/>
        </w:rPr>
        <w:t>Note:</w:t>
      </w:r>
    </w:p>
    <w:p w:rsidR="00706A3C" w:rsidRPr="000B6D34" w:rsidRDefault="00706A3C" w:rsidP="00706A3C">
      <w:pPr>
        <w:pStyle w:val="BodyText"/>
        <w:numPr>
          <w:ilvl w:val="0"/>
          <w:numId w:val="24"/>
        </w:numPr>
        <w:spacing w:after="0" w:line="240" w:lineRule="auto"/>
        <w:rPr>
          <w:rFonts w:ascii="Verdana" w:hAnsi="Verdana"/>
          <w:sz w:val="18"/>
          <w:szCs w:val="18"/>
        </w:rPr>
      </w:pPr>
      <w:r w:rsidRPr="000B6D34">
        <w:rPr>
          <w:rFonts w:ascii="Verdana" w:hAnsi="Verdana"/>
          <w:sz w:val="18"/>
          <w:szCs w:val="18"/>
        </w:rPr>
        <w:t>Figures include individuals who did not reoffend.</w:t>
      </w:r>
    </w:p>
    <w:p w:rsidR="00706A3C" w:rsidRDefault="00706A3C" w:rsidP="00706A3C">
      <w:pPr>
        <w:spacing w:after="0" w:line="240" w:lineRule="auto"/>
      </w:pPr>
    </w:p>
    <w:p w:rsidR="00706A3C" w:rsidRPr="00AC4587" w:rsidRDefault="00706A3C" w:rsidP="00706A3C">
      <w:pPr>
        <w:spacing w:after="0" w:line="240" w:lineRule="auto"/>
      </w:pPr>
    </w:p>
    <w:p w:rsidR="00706A3C" w:rsidRPr="00966D98" w:rsidRDefault="00706A3C" w:rsidP="00AE2C98">
      <w:pPr>
        <w:pStyle w:val="Caption"/>
        <w:ind w:right="95"/>
        <w:rPr>
          <w:highlight w:val="yellow"/>
        </w:rPr>
      </w:pPr>
      <w:r w:rsidRPr="000B6D34">
        <w:t xml:space="preserve">Table </w:t>
      </w:r>
      <w:r>
        <w:t>5</w:t>
      </w:r>
      <w:r w:rsidRPr="000B6D34">
        <w:t>:</w:t>
      </w:r>
      <w:r w:rsidRPr="000B6D34">
        <w:tab/>
        <w:t xml:space="preserve">Most </w:t>
      </w:r>
      <w:r>
        <w:t>s</w:t>
      </w:r>
      <w:r w:rsidRPr="000B6D34">
        <w:t xml:space="preserve">erious sanction </w:t>
      </w:r>
      <w:r>
        <w:t>12 months</w:t>
      </w:r>
      <w:r w:rsidRPr="004B6FE8">
        <w:t xml:space="preserve"> </w:t>
      </w:r>
      <w:r w:rsidRPr="000B6D34">
        <w:t xml:space="preserve">after </w:t>
      </w:r>
      <w:r w:rsidR="00AE2C98">
        <w:t xml:space="preserve">court-ordered </w:t>
      </w:r>
      <w:r w:rsidRPr="000B6D34">
        <w:t>FGCs were held</w:t>
      </w:r>
      <w:r>
        <w:t xml:space="preserve"> in 2011 and 2012</w:t>
      </w:r>
      <w:r w:rsidRPr="000B6D34">
        <w:t>, by ethnicity</w:t>
      </w:r>
    </w:p>
    <w:tbl>
      <w:tblPr>
        <w:tblStyle w:val="MSD1"/>
        <w:tblW w:w="9039" w:type="dxa"/>
        <w:tblLayout w:type="fixed"/>
        <w:tblLook w:val="05A0" w:firstRow="1" w:lastRow="0" w:firstColumn="1" w:lastColumn="1" w:noHBand="0" w:noVBand="1"/>
      </w:tblPr>
      <w:tblGrid>
        <w:gridCol w:w="4219"/>
        <w:gridCol w:w="1205"/>
        <w:gridCol w:w="1205"/>
        <w:gridCol w:w="1205"/>
        <w:gridCol w:w="1205"/>
      </w:tblGrid>
      <w:tr w:rsidR="00706A3C" w:rsidRPr="00CA5F93" w:rsidTr="00706A3C">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4219" w:type="dxa"/>
            <w:vAlign w:val="top"/>
            <w:hideMark/>
          </w:tcPr>
          <w:p w:rsidR="00706A3C" w:rsidRPr="0053383F" w:rsidRDefault="00706A3C" w:rsidP="00706A3C">
            <w:pPr>
              <w:spacing w:before="20" w:after="20" w:line="240" w:lineRule="auto"/>
              <w:rPr>
                <w:color w:val="FFFFFF" w:themeColor="background1"/>
                <w:sz w:val="20"/>
                <w:lang w:val="en-NZ"/>
              </w:rPr>
            </w:pPr>
            <w:r w:rsidRPr="0053383F">
              <w:rPr>
                <w:color w:val="FFFFFF" w:themeColor="background1"/>
                <w:sz w:val="20"/>
                <w:lang w:val="en-NZ"/>
              </w:rPr>
              <w:t>Sanction</w:t>
            </w:r>
          </w:p>
          <w:p w:rsidR="00706A3C" w:rsidRPr="00CA5F93" w:rsidRDefault="00706A3C" w:rsidP="00706A3C">
            <w:pPr>
              <w:spacing w:before="20" w:after="20" w:line="240" w:lineRule="auto"/>
              <w:rPr>
                <w:sz w:val="18"/>
                <w:szCs w:val="18"/>
                <w:lang w:val="en-NZ"/>
              </w:rPr>
            </w:pPr>
            <w:r w:rsidRPr="00534B62">
              <w:rPr>
                <w:b w:val="0"/>
                <w:color w:val="FFFFFF" w:themeColor="background1"/>
                <w:sz w:val="16"/>
                <w:szCs w:val="16"/>
                <w:lang w:val="en-NZ"/>
              </w:rPr>
              <w:t>(Youth Court supervision orders or imprisonment)</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European</w:t>
            </w:r>
            <w:r>
              <w:rPr>
                <w:b w:val="0"/>
                <w:sz w:val="20"/>
                <w:lang w:val="en-NZ"/>
              </w:rPr>
              <w:br/>
            </w:r>
            <w:r w:rsidRPr="00AE18CB">
              <w:rPr>
                <w:b w:val="0"/>
                <w:sz w:val="16"/>
                <w:szCs w:val="16"/>
                <w:lang w:val="en-NZ"/>
              </w:rPr>
              <w:t>(n=</w:t>
            </w:r>
            <w:r>
              <w:rPr>
                <w:b w:val="0"/>
                <w:sz w:val="16"/>
                <w:szCs w:val="16"/>
                <w:lang w:val="en-NZ"/>
              </w:rPr>
              <w:t>871</w:t>
            </w:r>
            <w:r w:rsidRPr="00AE18CB">
              <w:rPr>
                <w:b w:val="0"/>
                <w:sz w:val="16"/>
                <w:szCs w:val="16"/>
                <w:lang w:val="en-NZ"/>
              </w:rPr>
              <w:t>)</w:t>
            </w:r>
          </w:p>
        </w:tc>
        <w:tc>
          <w:tcPr>
            <w:tcW w:w="1205" w:type="dxa"/>
            <w:vAlign w:val="top"/>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Māori</w:t>
            </w:r>
            <w:r>
              <w:rPr>
                <w:b w:val="0"/>
                <w:sz w:val="20"/>
                <w:lang w:val="en-NZ"/>
              </w:rPr>
              <w:br/>
            </w:r>
            <w:r w:rsidRPr="00AE18CB">
              <w:rPr>
                <w:b w:val="0"/>
                <w:sz w:val="16"/>
                <w:szCs w:val="16"/>
                <w:lang w:val="en-NZ"/>
              </w:rPr>
              <w:t>(n=</w:t>
            </w:r>
            <w:r>
              <w:rPr>
                <w:b w:val="0"/>
                <w:sz w:val="16"/>
                <w:szCs w:val="16"/>
                <w:lang w:val="en-NZ"/>
              </w:rPr>
              <w:t>1,526</w:t>
            </w:r>
            <w:r w:rsidRPr="00AE18CB">
              <w:rPr>
                <w:b w:val="0"/>
                <w:sz w:val="16"/>
                <w:szCs w:val="16"/>
                <w:lang w:val="en-NZ"/>
              </w:rPr>
              <w:t>)</w:t>
            </w:r>
          </w:p>
        </w:tc>
        <w:tc>
          <w:tcPr>
            <w:tcW w:w="1205" w:type="dxa"/>
            <w:vAlign w:val="top"/>
            <w:hideMark/>
          </w:tcPr>
          <w:p w:rsidR="00706A3C" w:rsidRPr="0031081F" w:rsidRDefault="00706A3C" w:rsidP="00706A3C">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lang w:val="en-NZ"/>
              </w:rPr>
            </w:pPr>
            <w:r w:rsidRPr="006024AC">
              <w:rPr>
                <w:sz w:val="18"/>
                <w:szCs w:val="18"/>
                <w:lang w:val="en-NZ"/>
              </w:rPr>
              <w:t>Pacific people</w:t>
            </w:r>
            <w:r>
              <w:rPr>
                <w:b w:val="0"/>
                <w:sz w:val="20"/>
                <w:lang w:val="en-NZ"/>
              </w:rPr>
              <w:br/>
            </w:r>
            <w:r w:rsidRPr="00AE18CB">
              <w:rPr>
                <w:b w:val="0"/>
                <w:sz w:val="16"/>
                <w:szCs w:val="16"/>
                <w:lang w:val="en-NZ"/>
              </w:rPr>
              <w:t>(n=</w:t>
            </w:r>
            <w:r>
              <w:rPr>
                <w:b w:val="0"/>
                <w:sz w:val="16"/>
                <w:szCs w:val="16"/>
                <w:lang w:val="en-NZ"/>
              </w:rPr>
              <w:t>362</w:t>
            </w:r>
            <w:r w:rsidRPr="00AE18CB">
              <w:rPr>
                <w:b w:val="0"/>
                <w:sz w:val="16"/>
                <w:szCs w:val="16"/>
                <w:lang w:val="en-NZ"/>
              </w:rPr>
              <w:t>)</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933AC9" w:rsidRDefault="00706A3C" w:rsidP="00706A3C">
            <w:pPr>
              <w:spacing w:before="20" w:after="20" w:line="240" w:lineRule="auto"/>
              <w:rPr>
                <w:sz w:val="20"/>
                <w:lang w:val="en-NZ"/>
              </w:rPr>
            </w:pPr>
            <w:r w:rsidRPr="00724D6D">
              <w:rPr>
                <w:sz w:val="18"/>
                <w:szCs w:val="18"/>
                <w:lang w:val="en-NZ"/>
              </w:rPr>
              <w:t>Overall</w:t>
            </w:r>
            <w:r>
              <w:rPr>
                <w:b w:val="0"/>
                <w:sz w:val="20"/>
                <w:lang w:val="en-NZ"/>
              </w:rPr>
              <w:br/>
            </w:r>
            <w:r w:rsidRPr="00AE18CB">
              <w:rPr>
                <w:b w:val="0"/>
                <w:sz w:val="16"/>
                <w:szCs w:val="16"/>
                <w:lang w:val="en-NZ"/>
              </w:rPr>
              <w:t>(n=</w:t>
            </w:r>
            <w:r>
              <w:rPr>
                <w:b w:val="0"/>
                <w:sz w:val="16"/>
                <w:szCs w:val="16"/>
                <w:lang w:val="en-NZ"/>
              </w:rPr>
              <w:t>2,828</w:t>
            </w:r>
            <w:r w:rsidRPr="00AE18CB">
              <w:rPr>
                <w:b w:val="0"/>
                <w:sz w:val="16"/>
                <w:szCs w:val="16"/>
                <w:lang w:val="en-NZ"/>
              </w:rPr>
              <w:t>)</w:t>
            </w:r>
          </w:p>
        </w:tc>
      </w:tr>
      <w:tr w:rsidR="00706A3C" w:rsidRPr="004E4338"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4E4338" w:rsidRDefault="00706A3C" w:rsidP="00706A3C">
            <w:pPr>
              <w:pStyle w:val="TableText"/>
              <w:spacing w:before="0" w:after="0"/>
              <w:rPr>
                <w:sz w:val="18"/>
                <w:szCs w:val="18"/>
              </w:rPr>
            </w:pPr>
            <w:r w:rsidRPr="004E4338">
              <w:rPr>
                <w:sz w:val="18"/>
                <w:szCs w:val="18"/>
              </w:rPr>
              <w:t>No imprisonment or supervision orders</w:t>
            </w:r>
          </w:p>
        </w:tc>
        <w:tc>
          <w:tcPr>
            <w:tcW w:w="1205" w:type="dxa"/>
            <w:vAlign w:val="top"/>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82%</w:t>
            </w:r>
          </w:p>
        </w:tc>
        <w:tc>
          <w:tcPr>
            <w:tcW w:w="1205" w:type="dxa"/>
            <w:vAlign w:val="top"/>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71%</w:t>
            </w:r>
          </w:p>
        </w:tc>
        <w:tc>
          <w:tcPr>
            <w:tcW w:w="1205" w:type="dxa"/>
            <w:vAlign w:val="top"/>
            <w:hideMark/>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75%</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4E4338" w:rsidRDefault="00706A3C" w:rsidP="00706A3C">
            <w:pPr>
              <w:spacing w:before="0" w:after="0"/>
              <w:rPr>
                <w:sz w:val="18"/>
                <w:szCs w:val="18"/>
              </w:rPr>
            </w:pPr>
            <w:r w:rsidRPr="004E4338">
              <w:rPr>
                <w:sz w:val="18"/>
                <w:szCs w:val="18"/>
              </w:rPr>
              <w:t>75%</w:t>
            </w:r>
          </w:p>
        </w:tc>
      </w:tr>
      <w:tr w:rsidR="00706A3C" w:rsidRPr="004E4338" w:rsidTr="00706A3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4E4338" w:rsidRDefault="00706A3C" w:rsidP="00706A3C">
            <w:pPr>
              <w:pStyle w:val="TableText"/>
              <w:spacing w:before="0" w:after="0"/>
              <w:rPr>
                <w:sz w:val="18"/>
                <w:szCs w:val="18"/>
              </w:rPr>
            </w:pPr>
            <w:r w:rsidRPr="004E4338">
              <w:rPr>
                <w:sz w:val="18"/>
                <w:szCs w:val="18"/>
              </w:rPr>
              <w:t>Stand-alone Supervision order</w:t>
            </w:r>
          </w:p>
        </w:tc>
        <w:tc>
          <w:tcPr>
            <w:tcW w:w="1205" w:type="dxa"/>
            <w:vAlign w:val="top"/>
          </w:tcPr>
          <w:p w:rsidR="00706A3C" w:rsidRPr="004E4338" w:rsidRDefault="00706A3C" w:rsidP="00706A3C">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4E4338">
              <w:rPr>
                <w:sz w:val="18"/>
                <w:szCs w:val="18"/>
              </w:rPr>
              <w:t>6%</w:t>
            </w:r>
          </w:p>
        </w:tc>
        <w:tc>
          <w:tcPr>
            <w:tcW w:w="1205" w:type="dxa"/>
            <w:vAlign w:val="top"/>
          </w:tcPr>
          <w:p w:rsidR="00706A3C" w:rsidRPr="004E4338" w:rsidRDefault="00706A3C" w:rsidP="00706A3C">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4E4338">
              <w:rPr>
                <w:sz w:val="18"/>
                <w:szCs w:val="18"/>
              </w:rPr>
              <w:t>10%</w:t>
            </w:r>
          </w:p>
        </w:tc>
        <w:tc>
          <w:tcPr>
            <w:tcW w:w="1205" w:type="dxa"/>
            <w:vAlign w:val="top"/>
            <w:hideMark/>
          </w:tcPr>
          <w:p w:rsidR="00706A3C" w:rsidRPr="004E4338" w:rsidRDefault="00706A3C" w:rsidP="00706A3C">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4E4338">
              <w:rPr>
                <w:sz w:val="18"/>
                <w:szCs w:val="18"/>
              </w:rPr>
              <w:t>7%</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4E4338" w:rsidRDefault="00706A3C" w:rsidP="00706A3C">
            <w:pPr>
              <w:spacing w:before="0" w:after="0"/>
              <w:rPr>
                <w:sz w:val="18"/>
                <w:szCs w:val="18"/>
              </w:rPr>
            </w:pPr>
            <w:r w:rsidRPr="004E4338">
              <w:rPr>
                <w:sz w:val="18"/>
                <w:szCs w:val="18"/>
              </w:rPr>
              <w:t>8%</w:t>
            </w:r>
          </w:p>
        </w:tc>
      </w:tr>
      <w:tr w:rsidR="00706A3C" w:rsidRPr="004E4338"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4E4338" w:rsidRDefault="00706A3C" w:rsidP="00706A3C">
            <w:pPr>
              <w:pStyle w:val="TableText"/>
              <w:spacing w:before="0" w:after="0"/>
              <w:rPr>
                <w:sz w:val="18"/>
                <w:szCs w:val="18"/>
              </w:rPr>
            </w:pPr>
            <w:r w:rsidRPr="004E4338">
              <w:rPr>
                <w:sz w:val="18"/>
                <w:szCs w:val="18"/>
              </w:rPr>
              <w:t>Supervision with Activity order</w:t>
            </w:r>
          </w:p>
        </w:tc>
        <w:tc>
          <w:tcPr>
            <w:tcW w:w="1205" w:type="dxa"/>
            <w:vAlign w:val="top"/>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3%</w:t>
            </w:r>
          </w:p>
        </w:tc>
        <w:tc>
          <w:tcPr>
            <w:tcW w:w="1205" w:type="dxa"/>
            <w:vAlign w:val="top"/>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6%</w:t>
            </w:r>
          </w:p>
        </w:tc>
        <w:tc>
          <w:tcPr>
            <w:tcW w:w="1205" w:type="dxa"/>
            <w:vAlign w:val="top"/>
            <w:hideMark/>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6%</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4E4338" w:rsidRDefault="00706A3C" w:rsidP="00706A3C">
            <w:pPr>
              <w:spacing w:before="0" w:after="0"/>
              <w:rPr>
                <w:sz w:val="18"/>
                <w:szCs w:val="18"/>
              </w:rPr>
            </w:pPr>
            <w:r w:rsidRPr="004E4338">
              <w:rPr>
                <w:sz w:val="18"/>
                <w:szCs w:val="18"/>
              </w:rPr>
              <w:t>5%</w:t>
            </w:r>
          </w:p>
        </w:tc>
      </w:tr>
      <w:tr w:rsidR="00706A3C" w:rsidRPr="004E4338" w:rsidTr="00706A3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19" w:type="dxa"/>
          </w:tcPr>
          <w:p w:rsidR="00706A3C" w:rsidRPr="004E4338" w:rsidRDefault="00706A3C" w:rsidP="00706A3C">
            <w:pPr>
              <w:pStyle w:val="TableText"/>
              <w:spacing w:before="0" w:after="0"/>
              <w:rPr>
                <w:sz w:val="18"/>
                <w:szCs w:val="18"/>
              </w:rPr>
            </w:pPr>
            <w:r w:rsidRPr="004E4338">
              <w:rPr>
                <w:sz w:val="18"/>
                <w:szCs w:val="18"/>
              </w:rPr>
              <w:t>Supervision with Residence order</w:t>
            </w:r>
          </w:p>
        </w:tc>
        <w:tc>
          <w:tcPr>
            <w:tcW w:w="1205" w:type="dxa"/>
            <w:vAlign w:val="top"/>
          </w:tcPr>
          <w:p w:rsidR="00706A3C" w:rsidRPr="004E4338" w:rsidRDefault="00706A3C" w:rsidP="00706A3C">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4E4338">
              <w:rPr>
                <w:sz w:val="18"/>
                <w:szCs w:val="18"/>
              </w:rPr>
              <w:t>5%</w:t>
            </w:r>
          </w:p>
        </w:tc>
        <w:tc>
          <w:tcPr>
            <w:tcW w:w="1205" w:type="dxa"/>
            <w:vAlign w:val="top"/>
          </w:tcPr>
          <w:p w:rsidR="00706A3C" w:rsidRPr="004E4338" w:rsidRDefault="00706A3C" w:rsidP="00706A3C">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4E4338">
              <w:rPr>
                <w:sz w:val="18"/>
                <w:szCs w:val="18"/>
              </w:rPr>
              <w:t>9%</w:t>
            </w:r>
          </w:p>
        </w:tc>
        <w:tc>
          <w:tcPr>
            <w:tcW w:w="1205" w:type="dxa"/>
            <w:vAlign w:val="top"/>
          </w:tcPr>
          <w:p w:rsidR="00706A3C" w:rsidRPr="004E4338" w:rsidRDefault="00706A3C" w:rsidP="00706A3C">
            <w:pPr>
              <w:spacing w:before="0" w:after="0"/>
              <w:cnfStyle w:val="000000010000" w:firstRow="0" w:lastRow="0" w:firstColumn="0" w:lastColumn="0" w:oddVBand="0" w:evenVBand="0" w:oddHBand="0" w:evenHBand="1" w:firstRowFirstColumn="0" w:firstRowLastColumn="0" w:lastRowFirstColumn="0" w:lastRowLastColumn="0"/>
              <w:rPr>
                <w:sz w:val="18"/>
                <w:szCs w:val="18"/>
              </w:rPr>
            </w:pPr>
            <w:r w:rsidRPr="004E4338">
              <w:rPr>
                <w:sz w:val="18"/>
                <w:szCs w:val="18"/>
              </w:rPr>
              <w:t>9%</w:t>
            </w:r>
          </w:p>
        </w:tc>
        <w:tc>
          <w:tcPr>
            <w:cnfStyle w:val="000100000000" w:firstRow="0" w:lastRow="0" w:firstColumn="0" w:lastColumn="1" w:oddVBand="0" w:evenVBand="0" w:oddHBand="0" w:evenHBand="0" w:firstRowFirstColumn="0" w:firstRowLastColumn="0" w:lastRowFirstColumn="0" w:lastRowLastColumn="0"/>
            <w:tcW w:w="1205" w:type="dxa"/>
            <w:vAlign w:val="top"/>
          </w:tcPr>
          <w:p w:rsidR="00706A3C" w:rsidRPr="004E4338" w:rsidRDefault="00706A3C" w:rsidP="00706A3C">
            <w:pPr>
              <w:spacing w:before="0" w:after="0"/>
              <w:rPr>
                <w:sz w:val="18"/>
                <w:szCs w:val="18"/>
              </w:rPr>
            </w:pPr>
            <w:r w:rsidRPr="004E4338">
              <w:rPr>
                <w:sz w:val="18"/>
                <w:szCs w:val="18"/>
              </w:rPr>
              <w:t>7%</w:t>
            </w:r>
          </w:p>
        </w:tc>
      </w:tr>
      <w:tr w:rsidR="00706A3C" w:rsidRPr="004E4338" w:rsidTr="00706A3C">
        <w:trPr>
          <w:trHeight w:val="292"/>
        </w:trPr>
        <w:tc>
          <w:tcPr>
            <w:cnfStyle w:val="001000000000" w:firstRow="0" w:lastRow="0" w:firstColumn="1" w:lastColumn="0" w:oddVBand="0" w:evenVBand="0" w:oddHBand="0" w:evenHBand="0" w:firstRowFirstColumn="0" w:firstRowLastColumn="0" w:lastRowFirstColumn="0" w:lastRowLastColumn="0"/>
            <w:tcW w:w="4219" w:type="dxa"/>
            <w:hideMark/>
          </w:tcPr>
          <w:p w:rsidR="00706A3C" w:rsidRPr="004E4338" w:rsidRDefault="00706A3C" w:rsidP="00706A3C">
            <w:pPr>
              <w:pStyle w:val="TableText"/>
              <w:spacing w:before="0" w:after="0"/>
              <w:rPr>
                <w:sz w:val="18"/>
                <w:szCs w:val="18"/>
              </w:rPr>
            </w:pPr>
            <w:r w:rsidRPr="004E4338">
              <w:rPr>
                <w:sz w:val="18"/>
                <w:szCs w:val="18"/>
              </w:rPr>
              <w:t>Imprisonment</w:t>
            </w:r>
          </w:p>
        </w:tc>
        <w:tc>
          <w:tcPr>
            <w:tcW w:w="1205" w:type="dxa"/>
            <w:vAlign w:val="top"/>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4%</w:t>
            </w:r>
          </w:p>
        </w:tc>
        <w:tc>
          <w:tcPr>
            <w:tcW w:w="1205" w:type="dxa"/>
            <w:vAlign w:val="top"/>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5%</w:t>
            </w:r>
          </w:p>
        </w:tc>
        <w:tc>
          <w:tcPr>
            <w:tcW w:w="1205" w:type="dxa"/>
            <w:vAlign w:val="top"/>
            <w:hideMark/>
          </w:tcPr>
          <w:p w:rsidR="00706A3C" w:rsidRPr="004E4338" w:rsidRDefault="00706A3C" w:rsidP="00706A3C">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4E4338">
              <w:rPr>
                <w:sz w:val="18"/>
                <w:szCs w:val="18"/>
              </w:rPr>
              <w:t>4%</w:t>
            </w:r>
          </w:p>
        </w:tc>
        <w:tc>
          <w:tcPr>
            <w:cnfStyle w:val="000100000000" w:firstRow="0" w:lastRow="0" w:firstColumn="0" w:lastColumn="1" w:oddVBand="0" w:evenVBand="0" w:oddHBand="0" w:evenHBand="0" w:firstRowFirstColumn="0" w:firstRowLastColumn="0" w:lastRowFirstColumn="0" w:lastRowLastColumn="0"/>
            <w:tcW w:w="1205" w:type="dxa"/>
            <w:vAlign w:val="top"/>
            <w:hideMark/>
          </w:tcPr>
          <w:p w:rsidR="00706A3C" w:rsidRPr="004E4338" w:rsidRDefault="00706A3C" w:rsidP="00706A3C">
            <w:pPr>
              <w:spacing w:before="0" w:after="0"/>
              <w:rPr>
                <w:sz w:val="18"/>
                <w:szCs w:val="18"/>
              </w:rPr>
            </w:pPr>
            <w:r w:rsidRPr="004E4338">
              <w:rPr>
                <w:sz w:val="18"/>
                <w:szCs w:val="18"/>
              </w:rPr>
              <w:t>5%</w:t>
            </w:r>
          </w:p>
        </w:tc>
      </w:tr>
    </w:tbl>
    <w:p w:rsidR="00706A3C" w:rsidRPr="00B12D49" w:rsidRDefault="00706A3C" w:rsidP="00706A3C">
      <w:pPr>
        <w:pStyle w:val="BodyText"/>
        <w:spacing w:after="0" w:line="240" w:lineRule="auto"/>
        <w:rPr>
          <w:rFonts w:ascii="Verdana" w:hAnsi="Verdana"/>
          <w:sz w:val="18"/>
          <w:szCs w:val="18"/>
        </w:rPr>
      </w:pPr>
      <w:r w:rsidRPr="00B12D49">
        <w:rPr>
          <w:rFonts w:ascii="Verdana" w:hAnsi="Verdana"/>
          <w:sz w:val="18"/>
          <w:szCs w:val="18"/>
        </w:rPr>
        <w:t>Note:</w:t>
      </w:r>
      <w:r>
        <w:rPr>
          <w:rFonts w:ascii="Verdana" w:hAnsi="Verdana"/>
          <w:sz w:val="18"/>
          <w:szCs w:val="18"/>
        </w:rPr>
        <w:t xml:space="preserve"> Figures may not total exactly 100% due to rounding.</w:t>
      </w:r>
    </w:p>
    <w:p w:rsidR="00706A3C" w:rsidRPr="00AC4587" w:rsidRDefault="00706A3C" w:rsidP="00706A3C">
      <w:pPr>
        <w:spacing w:after="0"/>
      </w:pPr>
    </w:p>
    <w:p w:rsidR="00706A3C" w:rsidRPr="00BE14F0" w:rsidRDefault="00706A3C" w:rsidP="00706A3C">
      <w:pPr>
        <w:pStyle w:val="Heading3"/>
      </w:pPr>
      <w:r w:rsidRPr="00BE14F0">
        <w:t xml:space="preserve">Overall outcomes </w:t>
      </w:r>
      <w:r>
        <w:t>24 months</w:t>
      </w:r>
      <w:r w:rsidRPr="00BE14F0">
        <w:t xml:space="preserve"> after the FGCs</w:t>
      </w:r>
      <w:r>
        <w:t xml:space="preserve"> held in 2011</w:t>
      </w:r>
    </w:p>
    <w:p w:rsidR="00706A3C" w:rsidRPr="00BE14F0" w:rsidRDefault="00706A3C" w:rsidP="00706A3C">
      <w:pPr>
        <w:pStyle w:val="Bullet1"/>
        <w:numPr>
          <w:ilvl w:val="0"/>
          <w:numId w:val="0"/>
        </w:numPr>
      </w:pPr>
      <w:r>
        <w:t>The 24-month</w:t>
      </w:r>
      <w:r w:rsidRPr="00BE14F0">
        <w:t xml:space="preserve"> reoffending outcomes </w:t>
      </w:r>
      <w:r>
        <w:t xml:space="preserve">were examined in brief </w:t>
      </w:r>
      <w:r w:rsidRPr="00BE14F0">
        <w:t xml:space="preserve">for the participants of </w:t>
      </w:r>
      <w:r w:rsidR="00AE2C98">
        <w:t>c</w:t>
      </w:r>
      <w:r>
        <w:t>ourt</w:t>
      </w:r>
      <w:r w:rsidR="00AE2C98">
        <w:t>-ordered</w:t>
      </w:r>
      <w:r>
        <w:t xml:space="preserve"> </w:t>
      </w:r>
      <w:r w:rsidRPr="00BE14F0">
        <w:t>FGCs</w:t>
      </w:r>
      <w:r>
        <w:t xml:space="preserve"> held in 2011</w:t>
      </w:r>
      <w:r w:rsidRPr="00BE14F0">
        <w:t>.</w:t>
      </w:r>
      <w:r>
        <w:t xml:space="preserve"> Comparable figures were not yet available for FGCs held in 2012.</w:t>
      </w:r>
    </w:p>
    <w:p w:rsidR="00706A3C" w:rsidRDefault="00706A3C" w:rsidP="00706A3C">
      <w:pPr>
        <w:pStyle w:val="Bullet1"/>
        <w:numPr>
          <w:ilvl w:val="0"/>
          <w:numId w:val="5"/>
        </w:numPr>
      </w:pPr>
      <w:r w:rsidRPr="00BE14F0">
        <w:t xml:space="preserve">In the </w:t>
      </w:r>
      <w:r>
        <w:t>24 month</w:t>
      </w:r>
      <w:r w:rsidRPr="00BE14F0">
        <w:t xml:space="preserve"> period following </w:t>
      </w:r>
      <w:r>
        <w:t xml:space="preserve">the </w:t>
      </w:r>
      <w:r w:rsidRPr="00BE14F0">
        <w:t>FGCs</w:t>
      </w:r>
      <w:r>
        <w:t>,</w:t>
      </w:r>
      <w:r w:rsidRPr="00BE14F0">
        <w:t xml:space="preserve"> </w:t>
      </w:r>
      <w:r>
        <w:t>82</w:t>
      </w:r>
      <w:r w:rsidRPr="00BE14F0">
        <w:t xml:space="preserve">% of participants </w:t>
      </w:r>
      <w:r>
        <w:t>had</w:t>
      </w:r>
      <w:r w:rsidRPr="00BE14F0">
        <w:t xml:space="preserve"> reoffend</w:t>
      </w:r>
      <w:r>
        <w:t>ed and 18% had not reoffended</w:t>
      </w:r>
      <w:r w:rsidRPr="00BE14F0">
        <w:t>.</w:t>
      </w:r>
    </w:p>
    <w:p w:rsidR="00706A3C" w:rsidRPr="00BE14F0" w:rsidRDefault="00706A3C" w:rsidP="00706A3C">
      <w:pPr>
        <w:pStyle w:val="Bullet1"/>
        <w:numPr>
          <w:ilvl w:val="0"/>
          <w:numId w:val="5"/>
        </w:numPr>
      </w:pPr>
      <w:r>
        <w:t xml:space="preserve">Comparing the 24-month period after the </w:t>
      </w:r>
      <w:r w:rsidR="00AE2C98">
        <w:t xml:space="preserve">court-ordered </w:t>
      </w:r>
      <w:r>
        <w:t xml:space="preserve">FGCs held in 2011 to the same period prior, 65% of </w:t>
      </w:r>
      <w:r w:rsidRPr="00383B2A">
        <w:t>participants offended less often</w:t>
      </w:r>
      <w:r>
        <w:t xml:space="preserve"> and 69% offended less seriously.</w:t>
      </w:r>
    </w:p>
    <w:p w:rsidR="00706A3C" w:rsidRDefault="00706A3C" w:rsidP="00706A3C">
      <w:pPr>
        <w:pStyle w:val="Bullet1"/>
        <w:numPr>
          <w:ilvl w:val="0"/>
          <w:numId w:val="5"/>
        </w:numPr>
      </w:pPr>
      <w:r>
        <w:t>Nineteen per cent</w:t>
      </w:r>
      <w:r w:rsidRPr="007B2A8D">
        <w:t xml:space="preserve"> of young people received a custodial sentence in the </w:t>
      </w:r>
      <w:r>
        <w:t>24 months after the FGCs.</w:t>
      </w:r>
    </w:p>
    <w:p w:rsidR="00706A3C" w:rsidRPr="004A3675" w:rsidRDefault="00706A3C" w:rsidP="00706A3C">
      <w:pPr>
        <w:pStyle w:val="Bullet1"/>
        <w:numPr>
          <w:ilvl w:val="0"/>
          <w:numId w:val="0"/>
        </w:numPr>
      </w:pPr>
      <w:r>
        <w:br w:type="page"/>
      </w:r>
    </w:p>
    <w:p w:rsidR="00706A3C" w:rsidRPr="003A7111" w:rsidRDefault="00706A3C" w:rsidP="00706A3C">
      <w:pPr>
        <w:pStyle w:val="Heading1"/>
        <w:ind w:right="-46"/>
      </w:pPr>
      <w:bookmarkStart w:id="21" w:name="_Toc450138686"/>
      <w:bookmarkStart w:id="22" w:name="_Toc403136513"/>
      <w:bookmarkEnd w:id="20"/>
      <w:r>
        <w:lastRenderedPageBreak/>
        <w:t xml:space="preserve">Part </w:t>
      </w:r>
      <w:r w:rsidR="008621FD">
        <w:t>6</w:t>
      </w:r>
      <w:r>
        <w:t xml:space="preserve"> – </w:t>
      </w:r>
      <w:r w:rsidR="0075765C">
        <w:t>Discussion</w:t>
      </w:r>
      <w:bookmarkEnd w:id="21"/>
    </w:p>
    <w:p w:rsidR="00573FC5" w:rsidRDefault="00573FC5" w:rsidP="00EE50AD">
      <w:pPr>
        <w:rPr>
          <w:lang w:val="en-NZ"/>
        </w:rPr>
      </w:pPr>
      <w:r>
        <w:t>Young people who participate in ITC FGCs generally have less serious prior offending profiles than those who participate in court-ordered FGCs. As such, it is not surprising that ITC FGC participants generally have more positive offending-related outcomes afterwards.</w:t>
      </w:r>
    </w:p>
    <w:p w:rsidR="00EE50AD" w:rsidRDefault="00EE50AD" w:rsidP="00EE50AD">
      <w:pPr>
        <w:rPr>
          <w:lang w:val="en-NZ"/>
        </w:rPr>
      </w:pPr>
      <w:r>
        <w:rPr>
          <w:lang w:val="en-NZ"/>
        </w:rPr>
        <w:t>There is interest in the relative effectiveness of the two FGC types in reducing or stopping reoffending. A key youth justice Principle in the CYP&amp;F Act is that “</w:t>
      </w:r>
      <w:r w:rsidRPr="00EC645B">
        <w:rPr>
          <w:i/>
          <w:lang w:val="en-NZ"/>
        </w:rPr>
        <w:t>unless the public interest requires otherwise, criminal proceedings should not be instituted against a child or young person if there is an alternative means of dealing with the matter</w:t>
      </w:r>
      <w:r>
        <w:rPr>
          <w:lang w:val="en-NZ"/>
        </w:rPr>
        <w:t>”. If there are groups of young people being dealt with by the Youth Court who could achieve similar or better outcomes from ITC FGCs, then the Principle would be better met by not having the young person appearing in court.</w:t>
      </w:r>
    </w:p>
    <w:p w:rsidR="00570A0B" w:rsidRDefault="00573FC5" w:rsidP="00706A3C">
      <w:r w:rsidRPr="006450D4">
        <w:t>The</w:t>
      </w:r>
      <w:r w:rsidR="006450D4" w:rsidRPr="006450D4">
        <w:t xml:space="preserve"> feasibility of conducting an analysis to compare the relative effective of the two types of FGCs could usefully be investigated</w:t>
      </w:r>
      <w:r w:rsidRPr="006450D4">
        <w:t>.</w:t>
      </w:r>
    </w:p>
    <w:p w:rsidR="00706A3C" w:rsidRDefault="00706A3C" w:rsidP="00706A3C"/>
    <w:p w:rsidR="00706A3C" w:rsidRDefault="00706A3C" w:rsidP="00706A3C">
      <w:pPr>
        <w:rPr>
          <w:lang w:val="en-NZ"/>
        </w:rPr>
      </w:pPr>
      <w:r>
        <w:br w:type="page"/>
      </w:r>
    </w:p>
    <w:p w:rsidR="00706A3C" w:rsidRPr="00C00A18" w:rsidRDefault="00706A3C" w:rsidP="00706A3C">
      <w:pPr>
        <w:pStyle w:val="Heading1"/>
        <w:ind w:right="-46"/>
      </w:pPr>
      <w:bookmarkStart w:id="23" w:name="_Toc450138687"/>
      <w:r w:rsidRPr="00C00A18">
        <w:lastRenderedPageBreak/>
        <w:t>Appendix A:</w:t>
      </w:r>
      <w:r w:rsidRPr="00C00A18">
        <w:tab/>
      </w:r>
      <w:r w:rsidR="00FB192A">
        <w:t>Measuring</w:t>
      </w:r>
      <w:r w:rsidRPr="00C00A18">
        <w:t xml:space="preserve"> </w:t>
      </w:r>
      <w:r w:rsidR="00FB192A">
        <w:t>re</w:t>
      </w:r>
      <w:r w:rsidRPr="00C00A18">
        <w:t>offending</w:t>
      </w:r>
      <w:bookmarkEnd w:id="22"/>
      <w:bookmarkEnd w:id="23"/>
    </w:p>
    <w:p w:rsidR="00706A3C" w:rsidRPr="00C00A18" w:rsidRDefault="00706A3C" w:rsidP="00706A3C">
      <w:pPr>
        <w:rPr>
          <w:lang w:val="en-NZ"/>
        </w:rPr>
      </w:pPr>
      <w:r w:rsidRPr="00C00A18">
        <w:rPr>
          <w:lang w:val="en-NZ"/>
        </w:rPr>
        <w:t xml:space="preserve">Insights MSD extracted details from CYRAS on </w:t>
      </w:r>
      <w:r w:rsidR="001A59B8">
        <w:rPr>
          <w:lang w:val="en-NZ"/>
        </w:rPr>
        <w:t xml:space="preserve">all </w:t>
      </w:r>
      <w:r w:rsidRPr="00C00A18">
        <w:rPr>
          <w:lang w:val="en-NZ"/>
        </w:rPr>
        <w:t xml:space="preserve">young people who had attended a new </w:t>
      </w:r>
      <w:r>
        <w:rPr>
          <w:lang w:val="en-NZ"/>
        </w:rPr>
        <w:t>ITC</w:t>
      </w:r>
      <w:r w:rsidRPr="00C00A18">
        <w:rPr>
          <w:lang w:val="en-NZ"/>
        </w:rPr>
        <w:t xml:space="preserve"> FGC or a new court-ordered FGC </w:t>
      </w:r>
      <w:r>
        <w:rPr>
          <w:lang w:val="en-NZ"/>
        </w:rPr>
        <w:t>between 1 January 2011 and 31 December 2012.</w:t>
      </w:r>
    </w:p>
    <w:p w:rsidR="00706A3C" w:rsidRDefault="00706A3C" w:rsidP="00706A3C">
      <w:pPr>
        <w:rPr>
          <w:lang w:val="en-NZ"/>
        </w:rPr>
      </w:pPr>
      <w:r w:rsidRPr="00C00A18">
        <w:rPr>
          <w:lang w:val="en-NZ"/>
        </w:rPr>
        <w:t xml:space="preserve">The names and birth dates </w:t>
      </w:r>
      <w:r>
        <w:rPr>
          <w:lang w:val="en-NZ"/>
        </w:rPr>
        <w:t xml:space="preserve">of the young people in the FGC cohorts </w:t>
      </w:r>
      <w:r w:rsidRPr="00C00A18">
        <w:rPr>
          <w:lang w:val="en-NZ"/>
        </w:rPr>
        <w:t xml:space="preserve">were linked to data from the Police National Intelligence Application (NIA) to identify each </w:t>
      </w:r>
      <w:r>
        <w:rPr>
          <w:lang w:val="en-NZ"/>
        </w:rPr>
        <w:t>person’s</w:t>
      </w:r>
      <w:r w:rsidRPr="00C00A18">
        <w:rPr>
          <w:lang w:val="en-NZ"/>
        </w:rPr>
        <w:t xml:space="preserve"> NIA Person ID.</w:t>
      </w:r>
    </w:p>
    <w:p w:rsidR="00706A3C" w:rsidRPr="0001429E" w:rsidRDefault="00706A3C" w:rsidP="00706A3C">
      <w:pPr>
        <w:pStyle w:val="Heading2"/>
        <w:spacing w:before="0"/>
      </w:pPr>
      <w:bookmarkStart w:id="24" w:name="_Toc383440748"/>
      <w:bookmarkStart w:id="25" w:name="_Toc437875009"/>
      <w:r w:rsidRPr="0001429E">
        <w:t>Estimating offending patterns</w:t>
      </w:r>
      <w:bookmarkEnd w:id="24"/>
      <w:bookmarkEnd w:id="25"/>
    </w:p>
    <w:p w:rsidR="00706A3C" w:rsidRDefault="00706A3C" w:rsidP="00706A3C">
      <w:pPr>
        <w:rPr>
          <w:lang w:val="en-NZ"/>
        </w:rPr>
      </w:pPr>
      <w:r w:rsidRPr="00C00A18">
        <w:rPr>
          <w:lang w:val="en-NZ"/>
        </w:rPr>
        <w:t xml:space="preserve">Police extracted occurrence data for these </w:t>
      </w:r>
      <w:r>
        <w:rPr>
          <w:lang w:val="en-NZ"/>
        </w:rPr>
        <w:t xml:space="preserve">young people </w:t>
      </w:r>
      <w:r w:rsidRPr="00C00A18">
        <w:rPr>
          <w:lang w:val="en-NZ"/>
        </w:rPr>
        <w:t>from NIA on 21 July 2014.</w:t>
      </w:r>
      <w:r w:rsidRPr="00C00A18">
        <w:rPr>
          <w:rStyle w:val="FootnoteReference"/>
          <w:rFonts w:ascii="Arial Mäori" w:hAnsi="Arial Mäori"/>
        </w:rPr>
        <w:footnoteReference w:id="6"/>
      </w:r>
      <w:r w:rsidRPr="00C00A18">
        <w:rPr>
          <w:lang w:val="en-NZ"/>
        </w:rPr>
        <w:t xml:space="preserve"> </w:t>
      </w:r>
      <w:r w:rsidRPr="00B768B5">
        <w:rPr>
          <w:lang w:val="en-NZ"/>
        </w:rPr>
        <w:t xml:space="preserve">Occurrence data represents a history of contact with Police dating back to July 2005. Before this time, the data is less reliable as it was not compulsory for such data to be entered in NIA. An occurrence can be either an </w:t>
      </w:r>
      <w:r w:rsidRPr="00B768B5">
        <w:rPr>
          <w:u w:val="single"/>
          <w:lang w:val="en-NZ"/>
        </w:rPr>
        <w:t>offence</w:t>
      </w:r>
      <w:r w:rsidRPr="00B768B5">
        <w:rPr>
          <w:lang w:val="en-NZ"/>
        </w:rPr>
        <w:t xml:space="preserve"> that is believed to have taken place or an </w:t>
      </w:r>
      <w:r w:rsidRPr="00B768B5">
        <w:rPr>
          <w:u w:val="single"/>
          <w:lang w:val="en-NZ"/>
        </w:rPr>
        <w:t>incident</w:t>
      </w:r>
      <w:r w:rsidRPr="00B768B5">
        <w:rPr>
          <w:lang w:val="en-NZ"/>
        </w:rPr>
        <w:t xml:space="preserve"> where there is police contact that is not offence-related, </w:t>
      </w:r>
      <w:proofErr w:type="spellStart"/>
      <w:r w:rsidRPr="00B768B5">
        <w:rPr>
          <w:lang w:val="en-NZ"/>
        </w:rPr>
        <w:t>eg</w:t>
      </w:r>
      <w:proofErr w:type="spellEnd"/>
      <w:r w:rsidRPr="00B768B5">
        <w:rPr>
          <w:lang w:val="en-NZ"/>
        </w:rPr>
        <w:t xml:space="preserve"> a truant episode. Incidents (including </w:t>
      </w:r>
      <w:r>
        <w:rPr>
          <w:lang w:val="en-NZ"/>
        </w:rPr>
        <w:t xml:space="preserve">those involving </w:t>
      </w:r>
      <w:r w:rsidRPr="00B768B5">
        <w:rPr>
          <w:lang w:val="en-NZ"/>
        </w:rPr>
        <w:t xml:space="preserve">breaches of </w:t>
      </w:r>
      <w:r>
        <w:rPr>
          <w:lang w:val="en-NZ"/>
        </w:rPr>
        <w:t>P</w:t>
      </w:r>
      <w:r w:rsidRPr="00B768B5">
        <w:rPr>
          <w:lang w:val="en-NZ"/>
        </w:rPr>
        <w:t xml:space="preserve">olice bail) are excluded from </w:t>
      </w:r>
      <w:r>
        <w:rPr>
          <w:lang w:val="en-NZ"/>
        </w:rPr>
        <w:t>the</w:t>
      </w:r>
      <w:r w:rsidRPr="00B768B5">
        <w:rPr>
          <w:lang w:val="en-NZ"/>
        </w:rPr>
        <w:t xml:space="preserve"> analyses in this report.</w:t>
      </w:r>
    </w:p>
    <w:p w:rsidR="00706A3C" w:rsidRPr="0001429E" w:rsidRDefault="00706A3C" w:rsidP="00706A3C">
      <w:r w:rsidRPr="00F20F79">
        <w:t xml:space="preserve">An offence occurrence does not necessarily result in a charge being laid in court, or imply that the offence has been proven in any </w:t>
      </w:r>
      <w:r>
        <w:t xml:space="preserve">formal </w:t>
      </w:r>
      <w:r w:rsidRPr="00F20F79">
        <w:t>way</w:t>
      </w:r>
      <w:r>
        <w:t>, although proceeding by diversionary approaches such as Police Alternative Action first requires an admission of guilt by the young person</w:t>
      </w:r>
      <w:r w:rsidRPr="00F20F79">
        <w:t xml:space="preserve">. </w:t>
      </w:r>
      <w:r>
        <w:t>O</w:t>
      </w:r>
      <w:r w:rsidRPr="00F20F79">
        <w:t>ffence occurrences provide a more consistent measure of offending patterns than court outcomes data for young people, given a large proportion of offences are diverted from prosecution</w:t>
      </w:r>
      <w:r w:rsidR="00CB1ACF">
        <w:t xml:space="preserve">. </w:t>
      </w:r>
      <w:r w:rsidRPr="0001429E">
        <w:t>For example, in the 201</w:t>
      </w:r>
      <w:r>
        <w:t>3</w:t>
      </w:r>
      <w:r w:rsidRPr="0001429E">
        <w:t>/1</w:t>
      </w:r>
      <w:r>
        <w:t>4</w:t>
      </w:r>
      <w:r w:rsidRPr="0001429E">
        <w:t xml:space="preserve"> fiscal year, </w:t>
      </w:r>
      <w:r>
        <w:t>69</w:t>
      </w:r>
      <w:r w:rsidRPr="0001429E">
        <w:t xml:space="preserve">% of apprehensions </w:t>
      </w:r>
      <w:r>
        <w:t>involving</w:t>
      </w:r>
      <w:r w:rsidRPr="0001429E">
        <w:t xml:space="preserve"> young people were dealt with by means other than prosecution.</w:t>
      </w:r>
      <w:r>
        <w:rPr>
          <w:rStyle w:val="FootnoteReference"/>
        </w:rPr>
        <w:footnoteReference w:id="7"/>
      </w:r>
    </w:p>
    <w:p w:rsidR="00706A3C" w:rsidRDefault="00706A3C" w:rsidP="00706A3C">
      <w:r w:rsidRPr="00E33DFA">
        <w:t xml:space="preserve">The date </w:t>
      </w:r>
      <w:r>
        <w:t xml:space="preserve">an </w:t>
      </w:r>
      <w:r w:rsidRPr="00E33DFA">
        <w:t xml:space="preserve">offence was committed was used to assign </w:t>
      </w:r>
      <w:r>
        <w:t xml:space="preserve">the </w:t>
      </w:r>
      <w:r w:rsidRPr="00E33DFA">
        <w:t xml:space="preserve">offence to </w:t>
      </w:r>
      <w:r>
        <w:t xml:space="preserve">the </w:t>
      </w:r>
      <w:r w:rsidRPr="00E33DFA">
        <w:t>period</w:t>
      </w:r>
      <w:r>
        <w:t xml:space="preserve"> before or after a FGC</w:t>
      </w:r>
      <w:r w:rsidRPr="00E33DFA">
        <w:t>.</w:t>
      </w:r>
    </w:p>
    <w:p w:rsidR="00706A3C" w:rsidRPr="000B6D34" w:rsidRDefault="00706A3C" w:rsidP="00706A3C">
      <w:pPr>
        <w:rPr>
          <w:lang w:val="en-NZ"/>
        </w:rPr>
      </w:pPr>
      <w:r w:rsidRPr="000B6D34">
        <w:rPr>
          <w:lang w:val="en-NZ"/>
        </w:rPr>
        <w:t xml:space="preserve">Police also extracted court outcomes data </w:t>
      </w:r>
      <w:r>
        <w:rPr>
          <w:lang w:val="en-NZ"/>
        </w:rPr>
        <w:t>for</w:t>
      </w:r>
      <w:r w:rsidRPr="000B6D34">
        <w:rPr>
          <w:lang w:val="en-NZ"/>
        </w:rPr>
        <w:t xml:space="preserve"> young people who had been imprisoned (including home detention) </w:t>
      </w:r>
      <w:r>
        <w:rPr>
          <w:lang w:val="en-NZ"/>
        </w:rPr>
        <w:t>by</w:t>
      </w:r>
      <w:r w:rsidRPr="000B6D34">
        <w:rPr>
          <w:lang w:val="en-NZ"/>
        </w:rPr>
        <w:t xml:space="preserve"> the District or High Court since their FGC. This, together with information from CYRAS on supervision-type orders, allows us to calculate post-FGC custodial and supervision order sentence rates</w:t>
      </w:r>
      <w:r>
        <w:rPr>
          <w:lang w:val="en-NZ"/>
        </w:rPr>
        <w:t xml:space="preserve"> as a result of reoffending</w:t>
      </w:r>
      <w:r w:rsidRPr="000B6D34">
        <w:rPr>
          <w:lang w:val="en-NZ"/>
        </w:rPr>
        <w:t>.</w:t>
      </w:r>
    </w:p>
    <w:p w:rsidR="00706A3C" w:rsidRPr="00566BA6" w:rsidRDefault="00706A3C" w:rsidP="00706A3C">
      <w:pPr>
        <w:rPr>
          <w:b/>
          <w:i/>
        </w:rPr>
      </w:pPr>
      <w:r>
        <w:rPr>
          <w:b/>
          <w:i/>
        </w:rPr>
        <w:t>Should some offences be excluded?</w:t>
      </w:r>
    </w:p>
    <w:p w:rsidR="00706A3C" w:rsidRDefault="00706A3C" w:rsidP="00706A3C">
      <w:r>
        <w:t xml:space="preserve">Recidivism analyses take many forms, and it is not uncommon for certain types of offences to be excluded from such analyses. For example, breaching the conditions of a court order may be excluded as this is not really new offending. In other cases, certain types of minor offences may be excluded from measures, particularly if the intervention is at the more serious end of the spectrum, so the person is not regarded as a reoffender if they only commit a minor offence. In New Zealand, for example, the Department of Corrections calculates </w:t>
      </w:r>
      <w:r w:rsidR="00CB1ACF">
        <w:t>‘</w:t>
      </w:r>
      <w:r>
        <w:t>reconviction</w:t>
      </w:r>
      <w:r w:rsidR="00CB1ACF">
        <w:t>’</w:t>
      </w:r>
      <w:r>
        <w:t xml:space="preserve"> rates for people who receive community-based or custodial sentences that they administer. These reconviction rates exclude any convictions that do not result in a new sentence back to the Department.</w:t>
      </w:r>
    </w:p>
    <w:p w:rsidR="00706A3C" w:rsidRPr="000B6D34" w:rsidRDefault="00706A3C" w:rsidP="00706A3C">
      <w:pPr>
        <w:rPr>
          <w:lang w:val="en-NZ"/>
        </w:rPr>
      </w:pPr>
      <w:r>
        <w:rPr>
          <w:lang w:val="en-NZ"/>
        </w:rPr>
        <w:lastRenderedPageBreak/>
        <w:t xml:space="preserve">Minor traffic offences and some minor non-traffic offences for which an infringement notice can be issued were excluded from the analyses for this report. This was to avoid categorising young people as having reoffended if these were the only offences committed. Traffic offences excluded covered the following </w:t>
      </w:r>
      <w:r w:rsidRPr="0076557D">
        <w:rPr>
          <w:lang w:val="en-NZ"/>
        </w:rPr>
        <w:t>ANZSOC</w:t>
      </w:r>
      <w:r>
        <w:rPr>
          <w:lang w:val="en-NZ"/>
        </w:rPr>
        <w:t xml:space="preserve"> offence groups</w:t>
      </w:r>
      <w:r w:rsidRPr="003D00C3">
        <w:rPr>
          <w:lang w:val="en-NZ"/>
        </w:rPr>
        <w:t xml:space="preserve">: regulatory driving offences, </w:t>
      </w:r>
      <w:r>
        <w:rPr>
          <w:lang w:val="en-NZ"/>
        </w:rPr>
        <w:t>d</w:t>
      </w:r>
      <w:r w:rsidRPr="00B863BD">
        <w:rPr>
          <w:lang w:val="en-NZ"/>
        </w:rPr>
        <w:t>riv</w:t>
      </w:r>
      <w:r>
        <w:rPr>
          <w:lang w:val="en-NZ"/>
        </w:rPr>
        <w:t>ing</w:t>
      </w:r>
      <w:r w:rsidRPr="00B863BD">
        <w:rPr>
          <w:lang w:val="en-NZ"/>
        </w:rPr>
        <w:t xml:space="preserve"> without a licence,</w:t>
      </w:r>
      <w:r>
        <w:rPr>
          <w:lang w:val="en-NZ"/>
        </w:rPr>
        <w:t xml:space="preserve"> d</w:t>
      </w:r>
      <w:r w:rsidRPr="00B863BD">
        <w:rPr>
          <w:lang w:val="en-NZ"/>
        </w:rPr>
        <w:t xml:space="preserve">river licence </w:t>
      </w:r>
      <w:r>
        <w:rPr>
          <w:lang w:val="en-NZ"/>
        </w:rPr>
        <w:t xml:space="preserve">related </w:t>
      </w:r>
      <w:r w:rsidRPr="00B863BD">
        <w:rPr>
          <w:lang w:val="en-NZ"/>
        </w:rPr>
        <w:t xml:space="preserve">offences, </w:t>
      </w:r>
      <w:r w:rsidRPr="003D00C3">
        <w:rPr>
          <w:lang w:val="en-NZ"/>
        </w:rPr>
        <w:t xml:space="preserve">registration offences, roadworthiness offences, pedestrian offences, </w:t>
      </w:r>
      <w:r>
        <w:rPr>
          <w:lang w:val="en-NZ"/>
        </w:rPr>
        <w:t>parking</w:t>
      </w:r>
      <w:r w:rsidRPr="003D00C3">
        <w:rPr>
          <w:lang w:val="en-NZ"/>
        </w:rPr>
        <w:t xml:space="preserve"> offences and exceeding the legal speed limit</w:t>
      </w:r>
      <w:r>
        <w:rPr>
          <w:lang w:val="en-NZ"/>
        </w:rPr>
        <w:t>.</w:t>
      </w:r>
      <w:r w:rsidRPr="00533524">
        <w:rPr>
          <w:vertAlign w:val="superscript"/>
          <w:lang w:val="en-NZ"/>
        </w:rPr>
        <w:footnoteReference w:id="8"/>
      </w:r>
      <w:r>
        <w:rPr>
          <w:lang w:val="en-NZ"/>
        </w:rPr>
        <w:t xml:space="preserve"> Non-traffic infringement offences excluded </w:t>
      </w:r>
      <w:r w:rsidRPr="000B6D34">
        <w:rPr>
          <w:lang w:val="en-NZ"/>
        </w:rPr>
        <w:t>were: breaching a local liquor ban, liquor-related offences involving minors, and littering.</w:t>
      </w:r>
    </w:p>
    <w:p w:rsidR="00706A3C" w:rsidRPr="00A70764" w:rsidRDefault="00706A3C" w:rsidP="00706A3C">
      <w:pPr>
        <w:pStyle w:val="Heading2"/>
      </w:pPr>
      <w:bookmarkStart w:id="26" w:name="_Toc437875010"/>
      <w:r>
        <w:t>Measuring offence seriousness</w:t>
      </w:r>
      <w:bookmarkEnd w:id="26"/>
    </w:p>
    <w:p w:rsidR="00706A3C" w:rsidRPr="00AA08B2" w:rsidRDefault="00706A3C" w:rsidP="00706A3C">
      <w:r w:rsidRPr="00AA08B2">
        <w:t xml:space="preserve">The Justice Sector Seriousness Scale was developed by the Ministry of Justice as a way of comparing the seriousness of different types of offences based on actual court sentencing data. A seriousness score of 200 for an offence implies that, on average, the courts impose sentences that are twice as severe as those imposed on an offence with a score of 100. However caution is required with this interpretation as the way in which scores are calculated means there is sizable variance in some averages, particularly for offences of </w:t>
      </w:r>
      <w:r w:rsidR="00CB1ACF">
        <w:t>‘</w:t>
      </w:r>
      <w:r w:rsidRPr="00AA08B2">
        <w:t>moderate</w:t>
      </w:r>
      <w:r w:rsidR="00CB1ACF">
        <w:t>’</w:t>
      </w:r>
      <w:r w:rsidRPr="00AA08B2">
        <w:t xml:space="preserve"> seriousness where the types and lengths of sentences imposed can vary considerably.</w:t>
      </w:r>
      <w:r w:rsidRPr="00AA08B2">
        <w:rPr>
          <w:rStyle w:val="FootnoteReference"/>
          <w:rFonts w:ascii="Verdana" w:hAnsi="Verdana"/>
          <w:sz w:val="20"/>
          <w:szCs w:val="20"/>
        </w:rPr>
        <w:footnoteReference w:id="9"/>
      </w:r>
    </w:p>
    <w:p w:rsidR="00706A3C" w:rsidRPr="00AA08B2" w:rsidRDefault="00706A3C" w:rsidP="00706A3C">
      <w:r w:rsidRPr="00AA08B2">
        <w:t xml:space="preserve">In this report, total seriousness scores are calculated for a period of interest before the </w:t>
      </w:r>
      <w:r>
        <w:t>FGCs</w:t>
      </w:r>
      <w:r w:rsidRPr="00AA08B2">
        <w:t xml:space="preserve">, and compared to total seriousness scores after the </w:t>
      </w:r>
      <w:r>
        <w:t>FGCs</w:t>
      </w:r>
      <w:r w:rsidRPr="00AA08B2">
        <w:t>. For example, if a young person committed one of each of the offences shown in Table A1 in a period of interest, their total seriousness score would be 783.8.</w:t>
      </w:r>
    </w:p>
    <w:p w:rsidR="00706A3C" w:rsidRPr="000B6D34" w:rsidRDefault="00706A3C" w:rsidP="00706A3C">
      <w:pPr>
        <w:pStyle w:val="Caption"/>
        <w:keepNext/>
      </w:pPr>
      <w:r w:rsidRPr="000B6D34">
        <w:t>Table A1: Examples of offence seriousness scores</w:t>
      </w:r>
    </w:p>
    <w:tbl>
      <w:tblPr>
        <w:tblStyle w:val="MSD1"/>
        <w:tblW w:w="0" w:type="auto"/>
        <w:tblLook w:val="05A0" w:firstRow="1" w:lastRow="0" w:firstColumn="1" w:lastColumn="1" w:noHBand="0" w:noVBand="1"/>
      </w:tblPr>
      <w:tblGrid>
        <w:gridCol w:w="5920"/>
        <w:gridCol w:w="2410"/>
      </w:tblGrid>
      <w:tr w:rsidR="00706A3C" w:rsidRPr="00DB7351" w:rsidTr="00706A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20" w:type="dxa"/>
            <w:hideMark/>
          </w:tcPr>
          <w:p w:rsidR="00706A3C" w:rsidRPr="00DB7351" w:rsidRDefault="00706A3C" w:rsidP="00706A3C">
            <w:pPr>
              <w:keepNext/>
              <w:spacing w:before="20" w:after="20" w:line="240" w:lineRule="auto"/>
              <w:textAlignment w:val="baseline"/>
              <w:rPr>
                <w:color w:val="FFFFFF" w:themeColor="background1"/>
                <w:sz w:val="18"/>
                <w:szCs w:val="18"/>
                <w:lang w:val="en-NZ"/>
              </w:rPr>
            </w:pPr>
            <w:r w:rsidRPr="00DB7351">
              <w:rPr>
                <w:rFonts w:eastAsiaTheme="minorEastAsia" w:cstheme="minorBidi"/>
                <w:bCs/>
                <w:color w:val="FFFFFF" w:themeColor="background1"/>
                <w:kern w:val="24"/>
                <w:sz w:val="18"/>
                <w:szCs w:val="18"/>
                <w:lang w:val="en-NZ"/>
              </w:rPr>
              <w:t>Offence</w:t>
            </w:r>
          </w:p>
        </w:tc>
        <w:tc>
          <w:tcPr>
            <w:cnfStyle w:val="000100000000" w:firstRow="0" w:lastRow="0" w:firstColumn="0" w:lastColumn="1" w:oddVBand="0" w:evenVBand="0" w:oddHBand="0" w:evenHBand="0" w:firstRowFirstColumn="0" w:firstRowLastColumn="0" w:lastRowFirstColumn="0" w:lastRowLastColumn="0"/>
            <w:tcW w:w="2410" w:type="dxa"/>
            <w:hideMark/>
          </w:tcPr>
          <w:p w:rsidR="00706A3C" w:rsidRPr="00DB7351" w:rsidRDefault="00706A3C" w:rsidP="00706A3C">
            <w:pPr>
              <w:keepNext/>
              <w:spacing w:before="20" w:after="20" w:line="240" w:lineRule="auto"/>
              <w:textAlignment w:val="baseline"/>
              <w:rPr>
                <w:color w:val="FFFFFF" w:themeColor="background1"/>
                <w:sz w:val="18"/>
                <w:szCs w:val="18"/>
                <w:lang w:val="en-NZ"/>
              </w:rPr>
            </w:pPr>
            <w:r w:rsidRPr="00DB7351">
              <w:rPr>
                <w:bCs/>
                <w:color w:val="FFFFFF" w:themeColor="background1"/>
                <w:kern w:val="24"/>
                <w:sz w:val="18"/>
                <w:szCs w:val="18"/>
                <w:lang w:val="en-NZ"/>
              </w:rPr>
              <w:t>Seriousness score</w:t>
            </w:r>
          </w:p>
        </w:tc>
      </w:tr>
      <w:tr w:rsidR="00706A3C" w:rsidRPr="00DB7351" w:rsidTr="00706A3C">
        <w:trPr>
          <w:cantSplit/>
        </w:trPr>
        <w:tc>
          <w:tcPr>
            <w:cnfStyle w:val="001000000000" w:firstRow="0" w:lastRow="0" w:firstColumn="1" w:lastColumn="0" w:oddVBand="0" w:evenVBand="0" w:oddHBand="0" w:evenHBand="0" w:firstRowFirstColumn="0" w:firstRowLastColumn="0" w:lastRowFirstColumn="0" w:lastRowLastColumn="0"/>
            <w:tcW w:w="5920" w:type="dxa"/>
            <w:hideMark/>
          </w:tcPr>
          <w:p w:rsidR="00706A3C" w:rsidRPr="00DB7351" w:rsidRDefault="00706A3C" w:rsidP="00706A3C">
            <w:pPr>
              <w:pStyle w:val="TableText"/>
              <w:spacing w:before="0" w:after="0"/>
              <w:rPr>
                <w:sz w:val="18"/>
                <w:szCs w:val="18"/>
              </w:rPr>
            </w:pPr>
            <w:r w:rsidRPr="00DB7351">
              <w:rPr>
                <w:sz w:val="18"/>
                <w:szCs w:val="18"/>
              </w:rPr>
              <w:t>Robbery (by assault)</w:t>
            </w:r>
          </w:p>
        </w:tc>
        <w:tc>
          <w:tcPr>
            <w:cnfStyle w:val="000100000000" w:firstRow="0" w:lastRow="0" w:firstColumn="0" w:lastColumn="1" w:oddVBand="0" w:evenVBand="0" w:oddHBand="0" w:evenHBand="0" w:firstRowFirstColumn="0" w:firstRowLastColumn="0" w:lastRowFirstColumn="0" w:lastRowLastColumn="0"/>
            <w:tcW w:w="2410" w:type="dxa"/>
            <w:hideMark/>
          </w:tcPr>
          <w:p w:rsidR="00706A3C" w:rsidRPr="00DB7351" w:rsidRDefault="00706A3C" w:rsidP="00706A3C">
            <w:pPr>
              <w:pStyle w:val="TableText"/>
              <w:spacing w:before="0" w:after="0"/>
              <w:rPr>
                <w:b w:val="0"/>
                <w:sz w:val="18"/>
                <w:szCs w:val="18"/>
              </w:rPr>
            </w:pPr>
            <w:r w:rsidRPr="00DB7351">
              <w:rPr>
                <w:b w:val="0"/>
                <w:sz w:val="18"/>
                <w:szCs w:val="18"/>
              </w:rPr>
              <w:t>379.1</w:t>
            </w:r>
          </w:p>
        </w:tc>
      </w:tr>
      <w:tr w:rsidR="00706A3C" w:rsidRPr="00DB7351" w:rsidTr="00706A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20" w:type="dxa"/>
            <w:hideMark/>
          </w:tcPr>
          <w:p w:rsidR="00706A3C" w:rsidRPr="00DB7351" w:rsidRDefault="00706A3C" w:rsidP="00706A3C">
            <w:pPr>
              <w:pStyle w:val="TableText"/>
              <w:spacing w:before="0" w:after="0"/>
              <w:rPr>
                <w:sz w:val="18"/>
                <w:szCs w:val="18"/>
              </w:rPr>
            </w:pPr>
            <w:r w:rsidRPr="00DB7351">
              <w:rPr>
                <w:sz w:val="18"/>
                <w:szCs w:val="18"/>
              </w:rPr>
              <w:t>Shoplifts (estimated value of goods &lt;$500)</w:t>
            </w:r>
          </w:p>
        </w:tc>
        <w:tc>
          <w:tcPr>
            <w:cnfStyle w:val="000100000000" w:firstRow="0" w:lastRow="0" w:firstColumn="0" w:lastColumn="1" w:oddVBand="0" w:evenVBand="0" w:oddHBand="0" w:evenHBand="0" w:firstRowFirstColumn="0" w:firstRowLastColumn="0" w:lastRowFirstColumn="0" w:lastRowLastColumn="0"/>
            <w:tcW w:w="2410" w:type="dxa"/>
            <w:hideMark/>
          </w:tcPr>
          <w:p w:rsidR="00706A3C" w:rsidRPr="00DB7351" w:rsidRDefault="00706A3C" w:rsidP="00706A3C">
            <w:pPr>
              <w:pStyle w:val="TableText"/>
              <w:spacing w:before="0" w:after="0"/>
              <w:rPr>
                <w:b w:val="0"/>
                <w:sz w:val="18"/>
                <w:szCs w:val="18"/>
              </w:rPr>
            </w:pPr>
            <w:r w:rsidRPr="00DB7351">
              <w:rPr>
                <w:b w:val="0"/>
                <w:sz w:val="18"/>
                <w:szCs w:val="18"/>
              </w:rPr>
              <w:t>15.2</w:t>
            </w:r>
          </w:p>
        </w:tc>
      </w:tr>
      <w:tr w:rsidR="00706A3C" w:rsidRPr="00DB7351" w:rsidTr="00706A3C">
        <w:trPr>
          <w:cantSplit/>
        </w:trPr>
        <w:tc>
          <w:tcPr>
            <w:cnfStyle w:val="001000000000" w:firstRow="0" w:lastRow="0" w:firstColumn="1" w:lastColumn="0" w:oddVBand="0" w:evenVBand="0" w:oddHBand="0" w:evenHBand="0" w:firstRowFirstColumn="0" w:firstRowLastColumn="0" w:lastRowFirstColumn="0" w:lastRowLastColumn="0"/>
            <w:tcW w:w="5920" w:type="dxa"/>
            <w:hideMark/>
          </w:tcPr>
          <w:p w:rsidR="00706A3C" w:rsidRPr="00DB7351" w:rsidRDefault="00706A3C" w:rsidP="00706A3C">
            <w:pPr>
              <w:pStyle w:val="TableText"/>
              <w:spacing w:before="0" w:after="0"/>
              <w:rPr>
                <w:sz w:val="18"/>
                <w:szCs w:val="18"/>
              </w:rPr>
            </w:pPr>
            <w:proofErr w:type="spellStart"/>
            <w:r w:rsidRPr="00DB7351">
              <w:rPr>
                <w:sz w:val="18"/>
                <w:szCs w:val="18"/>
              </w:rPr>
              <w:t>Wilful</w:t>
            </w:r>
            <w:proofErr w:type="spellEnd"/>
            <w:r w:rsidRPr="00DB7351">
              <w:rPr>
                <w:sz w:val="18"/>
                <w:szCs w:val="18"/>
              </w:rPr>
              <w:t xml:space="preserve"> damage</w:t>
            </w:r>
          </w:p>
        </w:tc>
        <w:tc>
          <w:tcPr>
            <w:cnfStyle w:val="000100000000" w:firstRow="0" w:lastRow="0" w:firstColumn="0" w:lastColumn="1" w:oddVBand="0" w:evenVBand="0" w:oddHBand="0" w:evenHBand="0" w:firstRowFirstColumn="0" w:firstRowLastColumn="0" w:lastRowFirstColumn="0" w:lastRowLastColumn="0"/>
            <w:tcW w:w="2410" w:type="dxa"/>
            <w:hideMark/>
          </w:tcPr>
          <w:p w:rsidR="00706A3C" w:rsidRPr="00DB7351" w:rsidRDefault="00706A3C" w:rsidP="00706A3C">
            <w:pPr>
              <w:pStyle w:val="TableText"/>
              <w:spacing w:before="0" w:after="0"/>
              <w:rPr>
                <w:b w:val="0"/>
                <w:sz w:val="18"/>
                <w:szCs w:val="18"/>
              </w:rPr>
            </w:pPr>
            <w:r w:rsidRPr="00DB7351">
              <w:rPr>
                <w:b w:val="0"/>
                <w:sz w:val="18"/>
                <w:szCs w:val="18"/>
              </w:rPr>
              <w:t>9.5</w:t>
            </w:r>
          </w:p>
        </w:tc>
      </w:tr>
      <w:tr w:rsidR="00706A3C" w:rsidRPr="00DB7351" w:rsidTr="00706A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20" w:type="dxa"/>
            <w:tcBorders>
              <w:bottom w:val="single" w:sz="4" w:space="0" w:color="auto"/>
            </w:tcBorders>
            <w:hideMark/>
          </w:tcPr>
          <w:p w:rsidR="00706A3C" w:rsidRPr="00DB7351" w:rsidRDefault="00706A3C" w:rsidP="00706A3C">
            <w:pPr>
              <w:pStyle w:val="TableText"/>
              <w:spacing w:before="0" w:after="0"/>
              <w:rPr>
                <w:sz w:val="18"/>
                <w:szCs w:val="18"/>
              </w:rPr>
            </w:pPr>
            <w:r w:rsidRPr="00DB7351">
              <w:rPr>
                <w:sz w:val="18"/>
                <w:szCs w:val="18"/>
              </w:rPr>
              <w:t>Burglary (estimated value of goods $500 to $5,000)</w:t>
            </w:r>
          </w:p>
        </w:tc>
        <w:tc>
          <w:tcPr>
            <w:cnfStyle w:val="000100000000" w:firstRow="0" w:lastRow="0" w:firstColumn="0" w:lastColumn="1" w:oddVBand="0" w:evenVBand="0" w:oddHBand="0" w:evenHBand="0" w:firstRowFirstColumn="0" w:firstRowLastColumn="0" w:lastRowFirstColumn="0" w:lastRowLastColumn="0"/>
            <w:tcW w:w="2410" w:type="dxa"/>
            <w:tcBorders>
              <w:bottom w:val="single" w:sz="4" w:space="0" w:color="auto"/>
            </w:tcBorders>
            <w:hideMark/>
          </w:tcPr>
          <w:p w:rsidR="00706A3C" w:rsidRPr="00DB7351" w:rsidRDefault="00706A3C" w:rsidP="00706A3C">
            <w:pPr>
              <w:pStyle w:val="TableText"/>
              <w:spacing w:before="0" w:after="0"/>
              <w:rPr>
                <w:b w:val="0"/>
                <w:sz w:val="18"/>
                <w:szCs w:val="18"/>
              </w:rPr>
            </w:pPr>
            <w:r w:rsidRPr="00DB7351">
              <w:rPr>
                <w:b w:val="0"/>
                <w:sz w:val="18"/>
                <w:szCs w:val="18"/>
              </w:rPr>
              <w:t>380.0</w:t>
            </w:r>
          </w:p>
        </w:tc>
      </w:tr>
      <w:tr w:rsidR="00706A3C" w:rsidRPr="00DB7351" w:rsidTr="00706A3C">
        <w:trPr>
          <w:cantSplit/>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bottom w:val="single" w:sz="4" w:space="0" w:color="121F6B"/>
            </w:tcBorders>
            <w:hideMark/>
          </w:tcPr>
          <w:p w:rsidR="00706A3C" w:rsidRPr="00DB7351" w:rsidRDefault="00706A3C" w:rsidP="00706A3C">
            <w:pPr>
              <w:pStyle w:val="TableText"/>
              <w:spacing w:before="0" w:after="0"/>
              <w:rPr>
                <w:sz w:val="18"/>
                <w:szCs w:val="18"/>
              </w:rPr>
            </w:pPr>
            <w:r w:rsidRPr="00DB7351">
              <w:rPr>
                <w:sz w:val="18"/>
                <w:szCs w:val="18"/>
              </w:rPr>
              <w:t>Total</w:t>
            </w:r>
          </w:p>
        </w:tc>
        <w:tc>
          <w:tcPr>
            <w:cnfStyle w:val="000100000000" w:firstRow="0" w:lastRow="0" w:firstColumn="0" w:lastColumn="1" w:oddVBand="0" w:evenVBand="0" w:oddHBand="0" w:evenHBand="0" w:firstRowFirstColumn="0" w:firstRowLastColumn="0" w:lastRowFirstColumn="0" w:lastRowLastColumn="0"/>
            <w:tcW w:w="2410" w:type="dxa"/>
            <w:tcBorders>
              <w:top w:val="single" w:sz="4" w:space="0" w:color="auto"/>
              <w:bottom w:val="single" w:sz="4" w:space="0" w:color="121F6B"/>
            </w:tcBorders>
            <w:hideMark/>
          </w:tcPr>
          <w:p w:rsidR="00706A3C" w:rsidRPr="00DB7351" w:rsidRDefault="00706A3C" w:rsidP="00706A3C">
            <w:pPr>
              <w:pStyle w:val="TableText"/>
              <w:spacing w:before="0" w:after="0"/>
              <w:rPr>
                <w:b w:val="0"/>
                <w:sz w:val="18"/>
                <w:szCs w:val="18"/>
              </w:rPr>
            </w:pPr>
            <w:r w:rsidRPr="00DB7351">
              <w:rPr>
                <w:sz w:val="18"/>
                <w:szCs w:val="18"/>
              </w:rPr>
              <w:fldChar w:fldCharType="begin"/>
            </w:r>
            <w:r w:rsidRPr="00DB7351">
              <w:rPr>
                <w:b w:val="0"/>
                <w:sz w:val="18"/>
                <w:szCs w:val="18"/>
              </w:rPr>
              <w:instrText xml:space="preserve"> =SUM(ABOVE) </w:instrText>
            </w:r>
            <w:r w:rsidRPr="00DB7351">
              <w:rPr>
                <w:sz w:val="18"/>
                <w:szCs w:val="18"/>
              </w:rPr>
              <w:fldChar w:fldCharType="separate"/>
            </w:r>
            <w:r w:rsidRPr="00DB7351">
              <w:rPr>
                <w:b w:val="0"/>
                <w:noProof/>
                <w:sz w:val="18"/>
                <w:szCs w:val="18"/>
              </w:rPr>
              <w:t>783.8</w:t>
            </w:r>
            <w:r w:rsidRPr="00DB7351">
              <w:rPr>
                <w:sz w:val="18"/>
                <w:szCs w:val="18"/>
              </w:rPr>
              <w:fldChar w:fldCharType="end"/>
            </w:r>
          </w:p>
        </w:tc>
      </w:tr>
    </w:tbl>
    <w:p w:rsidR="00706A3C" w:rsidRDefault="00706A3C" w:rsidP="00706A3C">
      <w:pPr>
        <w:rPr>
          <w:rFonts w:ascii="Arial Mäori" w:hAnsi="Arial Mäori"/>
          <w:highlight w:val="yellow"/>
          <w:lang w:val="en-NZ"/>
        </w:rPr>
      </w:pPr>
    </w:p>
    <w:p w:rsidR="00526DF4" w:rsidRDefault="00526DF4" w:rsidP="00526DF4">
      <w:bookmarkStart w:id="27" w:name="_Toc403136514"/>
      <w:r w:rsidRPr="00AA08B2">
        <w:t>Seriousness scores are a statistical representation of the average number of days of imprisonment imposed by the courts for each offence. Statistical equivalences are used for people who receive community-based sentences or fines. Because of the rather convoluted methodology, it is not possible to calculate error variances for the seriousness scores. However, because it needs to be acknowledged that the raw seriousness scores and therefore summary values calculated from them have error variance, it was decided to use a 5% margin of error around total seriousness scores when comparing the pre-intervention period with the post-intervention period. In effect</w:t>
      </w:r>
      <w:r>
        <w:t xml:space="preserve"> </w:t>
      </w:r>
      <w:r>
        <w:lastRenderedPageBreak/>
        <w:t>this means that total seriousness scores need to differ by more than 10% to be considered different.</w:t>
      </w:r>
    </w:p>
    <w:p w:rsidR="00706A3C" w:rsidRDefault="00706A3C" w:rsidP="00706A3C">
      <w:r>
        <w:t xml:space="preserve">The </w:t>
      </w:r>
      <w:r w:rsidRPr="00781B15">
        <w:t xml:space="preserve">Justice Sector </w:t>
      </w:r>
      <w:r>
        <w:t>Seriousness Scale is developed from District and High Court sentencing data relating to adults. While there could be debate over the applicability of the scale to offending by young people, developing a similar scale based on the diverse range of ways in which cases are dealt with in the Youth Justice system would be problematic. In any case, the interest in seriousness scores is primarily in terms of assessing relative changes rather than in the absolute value of the scores.</w:t>
      </w:r>
    </w:p>
    <w:p w:rsidR="00706A3C" w:rsidRDefault="00706A3C" w:rsidP="00706A3C"/>
    <w:p w:rsidR="00706A3C" w:rsidRDefault="00706A3C" w:rsidP="00706A3C">
      <w:pPr>
        <w:rPr>
          <w:lang w:val="en-NZ"/>
        </w:rPr>
      </w:pPr>
      <w:r>
        <w:br w:type="page"/>
      </w:r>
    </w:p>
    <w:p w:rsidR="00706A3C" w:rsidRPr="00A77A03" w:rsidRDefault="00706A3C" w:rsidP="00706A3C">
      <w:pPr>
        <w:pStyle w:val="Heading1"/>
        <w:ind w:right="-46"/>
      </w:pPr>
      <w:bookmarkStart w:id="28" w:name="_Toc450138688"/>
      <w:r w:rsidRPr="00A77A03">
        <w:lastRenderedPageBreak/>
        <w:t>Appendix B:</w:t>
      </w:r>
      <w:r w:rsidRPr="00A77A03">
        <w:tab/>
        <w:t>ANZSOC offence divisions</w:t>
      </w:r>
      <w:bookmarkEnd w:id="27"/>
      <w:bookmarkEnd w:id="28"/>
    </w:p>
    <w:p w:rsidR="00706A3C" w:rsidRDefault="00FB192A" w:rsidP="00706A3C">
      <w:pPr>
        <w:rPr>
          <w:lang w:val="en-NZ"/>
        </w:rPr>
      </w:pPr>
      <w:r>
        <w:rPr>
          <w:lang w:val="en-NZ"/>
        </w:rPr>
        <w:t xml:space="preserve">For </w:t>
      </w:r>
      <w:r w:rsidRPr="000B6D34">
        <w:rPr>
          <w:lang w:val="en-NZ"/>
        </w:rPr>
        <w:t xml:space="preserve">each ANZSOC </w:t>
      </w:r>
      <w:r>
        <w:rPr>
          <w:lang w:val="en-NZ"/>
        </w:rPr>
        <w:t xml:space="preserve">offence </w:t>
      </w:r>
      <w:r w:rsidRPr="000B6D34">
        <w:rPr>
          <w:lang w:val="en-NZ"/>
        </w:rPr>
        <w:t>division</w:t>
      </w:r>
      <w:r>
        <w:rPr>
          <w:lang w:val="en-NZ"/>
        </w:rPr>
        <w:t>, t</w:t>
      </w:r>
      <w:r w:rsidR="00706A3C" w:rsidRPr="000B6D34">
        <w:rPr>
          <w:lang w:val="en-NZ"/>
        </w:rPr>
        <w:t xml:space="preserve">he most </w:t>
      </w:r>
      <w:r>
        <w:rPr>
          <w:lang w:val="en-NZ"/>
        </w:rPr>
        <w:t>frequent ty</w:t>
      </w:r>
      <w:r w:rsidR="00706A3C" w:rsidRPr="000B6D34">
        <w:rPr>
          <w:lang w:val="en-NZ"/>
        </w:rPr>
        <w:t xml:space="preserve">pes of offences committed by FGC </w:t>
      </w:r>
      <w:r>
        <w:rPr>
          <w:lang w:val="en-NZ"/>
        </w:rPr>
        <w:t>participants</w:t>
      </w:r>
      <w:r w:rsidR="00706A3C" w:rsidRPr="000B6D34">
        <w:rPr>
          <w:lang w:val="en-NZ"/>
        </w:rPr>
        <w:t xml:space="preserve"> are shown in the table below.</w:t>
      </w:r>
      <w:r w:rsidRPr="000B6D34">
        <w:rPr>
          <w:rStyle w:val="FootnoteReference"/>
          <w:rFonts w:ascii="Verdana" w:hAnsi="Verdana"/>
        </w:rPr>
        <w:footnoteReference w:id="10"/>
      </w:r>
    </w:p>
    <w:p w:rsidR="00706A3C" w:rsidRPr="000B6D34" w:rsidRDefault="00706A3C" w:rsidP="00706A3C">
      <w:pPr>
        <w:pStyle w:val="Caption"/>
        <w:ind w:left="1276" w:hanging="1276"/>
      </w:pPr>
      <w:r w:rsidRPr="000B6D34">
        <w:t xml:space="preserve">Table B1: </w:t>
      </w:r>
      <w:r>
        <w:tab/>
      </w:r>
      <w:r w:rsidR="00FB192A">
        <w:t>Most common offences</w:t>
      </w:r>
      <w:r w:rsidRPr="000B6D34">
        <w:t xml:space="preserve"> by young people within each ANZSOC offence division</w:t>
      </w:r>
    </w:p>
    <w:tbl>
      <w:tblPr>
        <w:tblStyle w:val="MSD1"/>
        <w:tblW w:w="4966" w:type="pct"/>
        <w:tblLook w:val="04A0" w:firstRow="1" w:lastRow="0" w:firstColumn="1" w:lastColumn="0" w:noHBand="0" w:noVBand="1"/>
      </w:tblPr>
      <w:tblGrid>
        <w:gridCol w:w="3227"/>
        <w:gridCol w:w="1559"/>
        <w:gridCol w:w="4393"/>
      </w:tblGrid>
      <w:tr w:rsidR="00706A3C" w:rsidRPr="008E2BB4" w:rsidTr="00FB1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58" w:type="pct"/>
            <w:vAlign w:val="top"/>
          </w:tcPr>
          <w:p w:rsidR="00706A3C" w:rsidRPr="008E2BB4" w:rsidRDefault="00706A3C" w:rsidP="00706A3C">
            <w:pPr>
              <w:pStyle w:val="BodyText"/>
              <w:spacing w:before="0" w:after="0" w:line="240" w:lineRule="auto"/>
              <w:ind w:right="79"/>
              <w:rPr>
                <w:rFonts w:ascii="Verdana" w:eastAsiaTheme="minorEastAsia" w:hAnsi="Verdana" w:cstheme="minorBidi"/>
                <w:bCs/>
                <w:color w:val="FFFFFF" w:themeColor="background1"/>
                <w:kern w:val="24"/>
                <w:sz w:val="16"/>
                <w:szCs w:val="16"/>
                <w:lang w:val="en-NZ"/>
              </w:rPr>
            </w:pPr>
            <w:r w:rsidRPr="008E2BB4">
              <w:rPr>
                <w:rFonts w:ascii="Verdana" w:eastAsiaTheme="minorEastAsia" w:hAnsi="Verdana" w:cstheme="minorBidi"/>
                <w:bCs/>
                <w:color w:val="FFFFFF" w:themeColor="background1"/>
                <w:kern w:val="24"/>
                <w:sz w:val="16"/>
                <w:szCs w:val="16"/>
                <w:lang w:val="en-NZ"/>
              </w:rPr>
              <w:t>ANZSOC Offence Division</w:t>
            </w:r>
          </w:p>
        </w:tc>
        <w:tc>
          <w:tcPr>
            <w:tcW w:w="849" w:type="pct"/>
            <w:vAlign w:val="top"/>
          </w:tcPr>
          <w:p w:rsidR="00706A3C" w:rsidRPr="008E2BB4" w:rsidRDefault="00706A3C" w:rsidP="00706A3C">
            <w:pPr>
              <w:pStyle w:val="BodyText"/>
              <w:spacing w:before="0" w:after="0" w:line="240" w:lineRule="auto"/>
              <w:ind w:right="79"/>
              <w:jc w:val="left"/>
              <w:cnfStyle w:val="100000000000" w:firstRow="1" w:lastRow="0" w:firstColumn="0" w:lastColumn="0" w:oddVBand="0" w:evenVBand="0" w:oddHBand="0" w:evenHBand="0" w:firstRowFirstColumn="0" w:firstRowLastColumn="0" w:lastRowFirstColumn="0" w:lastRowLastColumn="0"/>
              <w:rPr>
                <w:rFonts w:ascii="Verdana" w:eastAsiaTheme="minorEastAsia" w:hAnsi="Verdana" w:cstheme="minorBidi"/>
                <w:bCs/>
                <w:color w:val="FFFFFF" w:themeColor="background1"/>
                <w:kern w:val="24"/>
                <w:sz w:val="16"/>
                <w:szCs w:val="16"/>
                <w:lang w:val="en-NZ"/>
              </w:rPr>
            </w:pPr>
            <w:r w:rsidRPr="008E2BB4">
              <w:rPr>
                <w:rFonts w:ascii="Verdana" w:eastAsiaTheme="minorEastAsia" w:hAnsi="Verdana" w:cstheme="minorBidi"/>
                <w:bCs/>
                <w:color w:val="FFFFFF" w:themeColor="background1"/>
                <w:kern w:val="24"/>
                <w:sz w:val="16"/>
                <w:szCs w:val="16"/>
                <w:lang w:val="en-NZ"/>
              </w:rPr>
              <w:t>Shortened name</w:t>
            </w:r>
          </w:p>
        </w:tc>
        <w:tc>
          <w:tcPr>
            <w:tcW w:w="2393" w:type="pct"/>
            <w:vAlign w:val="top"/>
          </w:tcPr>
          <w:p w:rsidR="00706A3C" w:rsidRPr="008E2BB4" w:rsidRDefault="00706A3C" w:rsidP="00706A3C">
            <w:pPr>
              <w:pStyle w:val="BodyText"/>
              <w:spacing w:before="0" w:after="0" w:line="240" w:lineRule="auto"/>
              <w:ind w:right="79"/>
              <w:jc w:val="left"/>
              <w:cnfStyle w:val="100000000000" w:firstRow="1" w:lastRow="0" w:firstColumn="0" w:lastColumn="0" w:oddVBand="0" w:evenVBand="0" w:oddHBand="0" w:evenHBand="0" w:firstRowFirstColumn="0" w:firstRowLastColumn="0" w:lastRowFirstColumn="0" w:lastRowLastColumn="0"/>
              <w:rPr>
                <w:rFonts w:ascii="Verdana" w:eastAsiaTheme="minorEastAsia" w:hAnsi="Verdana" w:cstheme="minorBidi"/>
                <w:bCs/>
                <w:color w:val="FFFFFF" w:themeColor="background1"/>
                <w:kern w:val="24"/>
                <w:sz w:val="16"/>
                <w:szCs w:val="16"/>
                <w:lang w:val="en-NZ"/>
              </w:rPr>
            </w:pPr>
            <w:r w:rsidRPr="008E2BB4">
              <w:rPr>
                <w:rFonts w:ascii="Verdana" w:eastAsiaTheme="minorEastAsia" w:hAnsi="Verdana" w:cstheme="minorBidi"/>
                <w:bCs/>
                <w:color w:val="FFFFFF" w:themeColor="background1"/>
                <w:kern w:val="24"/>
                <w:sz w:val="16"/>
                <w:szCs w:val="16"/>
                <w:lang w:val="en-NZ"/>
              </w:rPr>
              <w:t>Most common offences for FGC participants</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Homicide and related offences</w:t>
            </w:r>
            <w:r w:rsidRPr="008E2BB4">
              <w:rPr>
                <w:rFonts w:ascii="Verdana" w:hAnsi="Verdana"/>
                <w:sz w:val="16"/>
                <w:szCs w:val="16"/>
                <w:vertAlign w:val="superscript"/>
                <w:lang w:val="en-NZ"/>
              </w:rPr>
              <w:t>1</w:t>
            </w:r>
          </w:p>
          <w:p w:rsidR="00706A3C" w:rsidRPr="008E2BB4" w:rsidRDefault="00706A3C" w:rsidP="00706A3C">
            <w:pPr>
              <w:pStyle w:val="BodyText"/>
              <w:spacing w:before="0" w:after="0" w:line="240" w:lineRule="auto"/>
              <w:ind w:right="79"/>
              <w:jc w:val="center"/>
              <w:rPr>
                <w:rFonts w:ascii="Verdana" w:hAnsi="Verdana"/>
                <w:sz w:val="16"/>
                <w:szCs w:val="16"/>
                <w:lang w:val="en-NZ"/>
              </w:rPr>
            </w:pPr>
            <w:r w:rsidRPr="008E2BB4">
              <w:rPr>
                <w:rFonts w:ascii="Verdana" w:hAnsi="Verdana"/>
                <w:sz w:val="16"/>
                <w:szCs w:val="16"/>
                <w:lang w:val="en-NZ"/>
              </w:rPr>
              <w:t>AND</w:t>
            </w:r>
          </w:p>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Acts intended to cause injury</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 xml:space="preserve">Injury causing acts </w:t>
            </w:r>
            <w:r>
              <w:rPr>
                <w:rFonts w:ascii="Verdana" w:hAnsi="Verdana"/>
                <w:noProof/>
                <w:sz w:val="16"/>
                <w:szCs w:val="16"/>
                <w:lang w:val="en-NZ"/>
              </w:rPr>
              <w:t xml:space="preserve">or </w:t>
            </w:r>
            <w:r w:rsidRPr="008E2BB4">
              <w:rPr>
                <w:rFonts w:ascii="Verdana" w:hAnsi="Verdana"/>
                <w:noProof/>
                <w:sz w:val="16"/>
                <w:szCs w:val="16"/>
                <w:lang w:val="en-NZ"/>
              </w:rPr>
              <w:t>homicide</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All minor, serious and grievous assaults</w:t>
            </w:r>
            <w:r>
              <w:rPr>
                <w:rFonts w:ascii="Verdana" w:hAnsi="Verdana"/>
                <w:noProof/>
                <w:sz w:val="16"/>
                <w:szCs w:val="16"/>
                <w:lang w:val="en-NZ"/>
              </w:rPr>
              <w:t xml:space="preserve"> (with common assault being the most frequent)</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Sexual assault and related offences</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Sexual</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Indecent assault; unlawful sexual connection; doing an indecent act; rape</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Dangerous or negligent acts endangering persons</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Dangerous acts</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Pr>
                <w:rFonts w:ascii="Verdana" w:hAnsi="Verdana"/>
                <w:noProof/>
                <w:sz w:val="16"/>
                <w:szCs w:val="16"/>
                <w:lang w:val="en-NZ"/>
              </w:rPr>
              <w:t>Dangerous, careless or r</w:t>
            </w:r>
            <w:r w:rsidRPr="008E2BB4">
              <w:rPr>
                <w:rFonts w:ascii="Verdana" w:hAnsi="Verdana"/>
                <w:noProof/>
                <w:sz w:val="16"/>
                <w:szCs w:val="16"/>
                <w:lang w:val="en-NZ"/>
              </w:rPr>
              <w:t>eckless driving; sustained loss of traction</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Abduction, harassment and other offences against the person</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Abduction &amp; harrassment</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Pr>
                <w:rFonts w:ascii="Verdana" w:hAnsi="Verdana"/>
                <w:noProof/>
                <w:sz w:val="16"/>
                <w:szCs w:val="16"/>
                <w:lang w:val="en-NZ"/>
              </w:rPr>
              <w:t>Behave or speak t</w:t>
            </w:r>
            <w:r w:rsidRPr="008E2BB4">
              <w:rPr>
                <w:rFonts w:ascii="Verdana" w:hAnsi="Verdana"/>
                <w:noProof/>
                <w:sz w:val="16"/>
                <w:szCs w:val="16"/>
                <w:lang w:val="en-NZ"/>
              </w:rPr>
              <w:t>hreatening</w:t>
            </w:r>
            <w:r>
              <w:rPr>
                <w:rFonts w:ascii="Verdana" w:hAnsi="Verdana"/>
                <w:noProof/>
                <w:sz w:val="16"/>
                <w:szCs w:val="16"/>
                <w:lang w:val="en-NZ"/>
              </w:rPr>
              <w:t>ly; threaten to kill or do grievous bodily harm</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Robbery, extortion and related offences</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Robbery-related</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 xml:space="preserve">Aggravated robbery; robbery; assault with </w:t>
            </w:r>
            <w:r>
              <w:rPr>
                <w:rFonts w:ascii="Verdana" w:hAnsi="Verdana"/>
                <w:noProof/>
                <w:sz w:val="16"/>
                <w:szCs w:val="16"/>
                <w:lang w:val="en-NZ"/>
              </w:rPr>
              <w:t>intent to rob; demands to steal</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Unlawful entry with intent/burglary, break and enter</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Burglary</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Burglary</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Theft and related offences</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Theft-related</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 xml:space="preserve">All types of theft (with shoplifting being the most </w:t>
            </w:r>
            <w:r>
              <w:rPr>
                <w:rFonts w:ascii="Verdana" w:hAnsi="Verdana"/>
                <w:sz w:val="16"/>
                <w:szCs w:val="16"/>
                <w:lang w:val="en-NZ"/>
              </w:rPr>
              <w:t>frequent</w:t>
            </w:r>
            <w:r w:rsidRPr="008E2BB4">
              <w:rPr>
                <w:rFonts w:ascii="Verdana" w:hAnsi="Verdana"/>
                <w:sz w:val="16"/>
                <w:szCs w:val="16"/>
                <w:lang w:val="en-NZ"/>
              </w:rPr>
              <w:t>); unlawfully takes or gets into a motor vehicle; receiving stolen property</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Fraud, deception and related offences</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Fraud &amp; deception</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Take, obtain or use a document or credit card for percuniary advantage; obtain by deception</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Illicit drug offences</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Illicit drugs</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 xml:space="preserve">Possess cannabis or drug-related utensils; using cannabis </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Prohibited and regulated weapons and explosives offences</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Weapons-related</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Possess offensive weapon or knife</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Property damage and environmental pollution</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Property damage</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Wilful damage including graffiti-related offences; unlawfully interfere with motor vehicles; intentional damage</w:t>
            </w:r>
            <w:r>
              <w:rPr>
                <w:rFonts w:ascii="Verdana" w:hAnsi="Verdana"/>
                <w:noProof/>
                <w:sz w:val="16"/>
                <w:szCs w:val="16"/>
                <w:lang w:val="en-NZ"/>
              </w:rPr>
              <w:t>;</w:t>
            </w:r>
            <w:r w:rsidRPr="008E2BB4">
              <w:rPr>
                <w:rFonts w:ascii="Verdana" w:hAnsi="Verdana"/>
                <w:noProof/>
                <w:sz w:val="16"/>
                <w:szCs w:val="16"/>
                <w:lang w:val="en-NZ"/>
              </w:rPr>
              <w:t xml:space="preserve"> arson</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Public order offences</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Public order</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Wilful trespass; disorderly behaviour; unlawfully in an enclosed yard, area or building; fighting in a public place; possessing instruments for car conversion; possessing instruments for graffiti</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Traffic and vehicle regulatory offences</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Traffic</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Pr>
                <w:rFonts w:ascii="Verdana" w:hAnsi="Verdana"/>
                <w:sz w:val="16"/>
                <w:szCs w:val="16"/>
                <w:lang w:val="en-NZ"/>
              </w:rPr>
              <w:t>D</w:t>
            </w:r>
            <w:r w:rsidRPr="008E2BB4">
              <w:rPr>
                <w:rFonts w:ascii="Verdana" w:hAnsi="Verdana"/>
                <w:sz w:val="16"/>
                <w:szCs w:val="16"/>
                <w:lang w:val="en-NZ"/>
              </w:rPr>
              <w:t>riving with excess alcohol; driving while disqualified</w:t>
            </w:r>
          </w:p>
        </w:tc>
      </w:tr>
      <w:tr w:rsidR="00706A3C" w:rsidRPr="008E2BB4" w:rsidTr="00FB19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Offences against government procedures, government security and government operations</w:t>
            </w:r>
          </w:p>
        </w:tc>
        <w:tc>
          <w:tcPr>
            <w:tcW w:w="849"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Against justice</w:t>
            </w:r>
          </w:p>
        </w:tc>
        <w:tc>
          <w:tcPr>
            <w:tcW w:w="2393" w:type="pct"/>
          </w:tcPr>
          <w:p w:rsidR="00706A3C" w:rsidRPr="008E2BB4" w:rsidRDefault="00706A3C" w:rsidP="00706A3C">
            <w:pPr>
              <w:pStyle w:val="BodyText"/>
              <w:spacing w:before="0" w:after="0" w:line="240" w:lineRule="auto"/>
              <w:ind w:right="79"/>
              <w:jc w:val="left"/>
              <w:cnfStyle w:val="000000010000" w:firstRow="0" w:lastRow="0" w:firstColumn="0" w:lastColumn="0" w:oddVBand="0" w:evenVBand="0" w:oddHBand="0" w:evenHBand="1" w:firstRowFirstColumn="0" w:firstRowLastColumn="0" w:lastRowFirstColumn="0" w:lastRowLastColumn="0"/>
              <w:rPr>
                <w:rFonts w:ascii="Verdana" w:hAnsi="Verdana"/>
                <w:sz w:val="16"/>
                <w:szCs w:val="16"/>
                <w:lang w:val="en-NZ"/>
              </w:rPr>
            </w:pPr>
            <w:r w:rsidRPr="008E2BB4">
              <w:rPr>
                <w:rFonts w:ascii="Verdana" w:hAnsi="Verdana"/>
                <w:noProof/>
                <w:sz w:val="16"/>
                <w:szCs w:val="16"/>
                <w:lang w:val="en-NZ"/>
              </w:rPr>
              <w:t>Escaping lawful custody; resisting police; breach of bail; obstructing police; failing to furnish name and address</w:t>
            </w:r>
          </w:p>
        </w:tc>
      </w:tr>
      <w:tr w:rsidR="00706A3C" w:rsidRPr="008E2BB4" w:rsidTr="00FB192A">
        <w:tc>
          <w:tcPr>
            <w:cnfStyle w:val="001000000000" w:firstRow="0" w:lastRow="0" w:firstColumn="1" w:lastColumn="0" w:oddVBand="0" w:evenVBand="0" w:oddHBand="0" w:evenHBand="0" w:firstRowFirstColumn="0" w:firstRowLastColumn="0" w:lastRowFirstColumn="0" w:lastRowLastColumn="0"/>
            <w:tcW w:w="1758" w:type="pct"/>
          </w:tcPr>
          <w:p w:rsidR="00706A3C" w:rsidRPr="008E2BB4" w:rsidRDefault="00706A3C" w:rsidP="00706A3C">
            <w:pPr>
              <w:pStyle w:val="BodyText"/>
              <w:spacing w:before="0" w:after="0" w:line="240" w:lineRule="auto"/>
              <w:ind w:right="79"/>
              <w:rPr>
                <w:rFonts w:ascii="Verdana" w:hAnsi="Verdana"/>
                <w:sz w:val="16"/>
                <w:szCs w:val="16"/>
                <w:lang w:val="en-NZ"/>
              </w:rPr>
            </w:pPr>
            <w:r w:rsidRPr="008E2BB4">
              <w:rPr>
                <w:rFonts w:ascii="Verdana" w:hAnsi="Verdana"/>
                <w:sz w:val="16"/>
                <w:szCs w:val="16"/>
                <w:lang w:val="en-NZ"/>
              </w:rPr>
              <w:t>Miscellaneous offences</w:t>
            </w:r>
          </w:p>
        </w:tc>
        <w:tc>
          <w:tcPr>
            <w:tcW w:w="849"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sidRPr="008E2BB4">
              <w:rPr>
                <w:rFonts w:ascii="Verdana" w:hAnsi="Verdana"/>
                <w:sz w:val="16"/>
                <w:szCs w:val="16"/>
                <w:lang w:val="en-NZ"/>
              </w:rPr>
              <w:t>Miscellaneous</w:t>
            </w:r>
          </w:p>
        </w:tc>
        <w:tc>
          <w:tcPr>
            <w:tcW w:w="2393" w:type="pct"/>
          </w:tcPr>
          <w:p w:rsidR="00706A3C" w:rsidRPr="008E2BB4" w:rsidRDefault="00706A3C" w:rsidP="00706A3C">
            <w:pPr>
              <w:pStyle w:val="BodyText"/>
              <w:spacing w:before="0" w:after="0" w:line="240" w:lineRule="auto"/>
              <w:ind w:right="79"/>
              <w:jc w:val="left"/>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NZ"/>
              </w:rPr>
            </w:pPr>
            <w:r>
              <w:rPr>
                <w:rFonts w:ascii="Verdana" w:hAnsi="Verdana"/>
                <w:sz w:val="16"/>
                <w:szCs w:val="16"/>
                <w:lang w:val="en-NZ"/>
              </w:rPr>
              <w:t>Used a telephone for a fictitious purpose, plus v</w:t>
            </w:r>
            <w:r w:rsidRPr="008E2BB4">
              <w:rPr>
                <w:rFonts w:ascii="Verdana" w:hAnsi="Verdana"/>
                <w:sz w:val="16"/>
                <w:szCs w:val="16"/>
                <w:lang w:val="en-NZ"/>
              </w:rPr>
              <w:t>arious other offences not included in the categories above</w:t>
            </w:r>
          </w:p>
        </w:tc>
      </w:tr>
    </w:tbl>
    <w:p w:rsidR="00706A3C" w:rsidRPr="00992F44" w:rsidRDefault="00706A3C" w:rsidP="00706A3C">
      <w:pPr>
        <w:pStyle w:val="BodyText"/>
        <w:spacing w:before="60" w:after="0" w:line="240" w:lineRule="auto"/>
        <w:rPr>
          <w:rFonts w:ascii="Verdana" w:hAnsi="Verdana"/>
          <w:sz w:val="16"/>
          <w:szCs w:val="16"/>
        </w:rPr>
      </w:pPr>
      <w:r w:rsidRPr="00992F44">
        <w:rPr>
          <w:rFonts w:ascii="Verdana" w:hAnsi="Verdana"/>
          <w:sz w:val="16"/>
          <w:szCs w:val="16"/>
        </w:rPr>
        <w:t>Note:</w:t>
      </w:r>
    </w:p>
    <w:p w:rsidR="00706A3C" w:rsidRPr="00992F44" w:rsidRDefault="00706A3C" w:rsidP="00706A3C">
      <w:pPr>
        <w:pStyle w:val="BodyText"/>
        <w:numPr>
          <w:ilvl w:val="0"/>
          <w:numId w:val="25"/>
        </w:numPr>
        <w:spacing w:after="0" w:line="240" w:lineRule="auto"/>
        <w:rPr>
          <w:rFonts w:ascii="Verdana" w:hAnsi="Verdana"/>
          <w:sz w:val="16"/>
          <w:szCs w:val="16"/>
        </w:rPr>
      </w:pPr>
      <w:r w:rsidRPr="00992F44">
        <w:rPr>
          <w:rFonts w:ascii="Verdana" w:hAnsi="Verdana"/>
          <w:sz w:val="16"/>
          <w:szCs w:val="16"/>
        </w:rPr>
        <w:t>Due to the low number of homicide-related offences this division was merged with acts intended to cause injury.</w:t>
      </w:r>
    </w:p>
    <w:p w:rsidR="00706A3C" w:rsidRDefault="00706A3C" w:rsidP="00706A3C">
      <w:pPr>
        <w:spacing w:after="0" w:line="240" w:lineRule="auto"/>
        <w:rPr>
          <w:rFonts w:eastAsia="Times New Roman"/>
          <w:kern w:val="0"/>
          <w:sz w:val="18"/>
          <w:szCs w:val="18"/>
          <w:lang w:eastAsia="en-NZ"/>
        </w:rPr>
      </w:pPr>
    </w:p>
    <w:p w:rsidR="00706A3C" w:rsidRDefault="00706A3C" w:rsidP="00706A3C">
      <w:pPr>
        <w:spacing w:after="0" w:line="240" w:lineRule="auto"/>
        <w:rPr>
          <w:rFonts w:eastAsia="Times New Roman"/>
          <w:kern w:val="0"/>
          <w:sz w:val="18"/>
          <w:szCs w:val="18"/>
          <w:lang w:eastAsia="en-NZ"/>
        </w:rPr>
      </w:pPr>
    </w:p>
    <w:p w:rsidR="00706A3C" w:rsidRDefault="00706A3C" w:rsidP="00706A3C">
      <w:pPr>
        <w:spacing w:after="0" w:line="240" w:lineRule="auto"/>
        <w:rPr>
          <w:rFonts w:eastAsia="Times New Roman"/>
          <w:kern w:val="0"/>
          <w:sz w:val="18"/>
          <w:szCs w:val="18"/>
          <w:lang w:eastAsia="en-NZ"/>
        </w:rPr>
        <w:sectPr w:rsidR="00706A3C" w:rsidSect="00B05301">
          <w:footerReference w:type="even" r:id="rId23"/>
          <w:pgSz w:w="11906" w:h="16838"/>
          <w:pgMar w:top="1440" w:right="1440" w:bottom="1134" w:left="1440" w:header="708" w:footer="464" w:gutter="0"/>
          <w:cols w:space="708"/>
          <w:docGrid w:linePitch="360"/>
        </w:sectPr>
      </w:pPr>
    </w:p>
    <w:p w:rsidR="00706A3C" w:rsidRDefault="00706A3C" w:rsidP="00706A3C">
      <w:pPr>
        <w:spacing w:after="0" w:line="240" w:lineRule="auto"/>
        <w:rPr>
          <w:rFonts w:eastAsia="Times New Roman"/>
          <w:kern w:val="0"/>
          <w:sz w:val="18"/>
          <w:szCs w:val="18"/>
          <w:lang w:eastAsia="en-NZ"/>
        </w:rPr>
      </w:pPr>
    </w:p>
    <w:p w:rsidR="00706A3C" w:rsidRDefault="00706A3C" w:rsidP="00706A3C">
      <w:pPr>
        <w:spacing w:after="0" w:line="240" w:lineRule="auto"/>
        <w:rPr>
          <w:rFonts w:eastAsia="Times New Roman"/>
          <w:kern w:val="0"/>
          <w:sz w:val="18"/>
          <w:szCs w:val="18"/>
          <w:lang w:eastAsia="en-NZ"/>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Default="00706A3C" w:rsidP="00706A3C">
      <w:pPr>
        <w:pStyle w:val="BodyText"/>
        <w:spacing w:after="0" w:line="240" w:lineRule="auto"/>
        <w:rPr>
          <w:rFonts w:ascii="Verdana" w:hAnsi="Verdana"/>
          <w:sz w:val="18"/>
          <w:szCs w:val="18"/>
        </w:rPr>
      </w:pPr>
    </w:p>
    <w:p w:rsidR="00706A3C" w:rsidRPr="00112A3D" w:rsidRDefault="00706A3C" w:rsidP="00706A3C">
      <w:pPr>
        <w:jc w:val="center"/>
      </w:pPr>
      <w:r>
        <w:rPr>
          <w:noProof/>
          <w:lang w:val="en-NZ" w:eastAsia="en-NZ"/>
        </w:rPr>
        <w:drawing>
          <wp:inline distT="0" distB="0" distL="0" distR="0" wp14:anchorId="2023405E" wp14:editId="03692726">
            <wp:extent cx="1438275" cy="133350"/>
            <wp:effectExtent l="0" t="0" r="9525" b="0"/>
            <wp:docPr id="64" name="Picture 64" descr="newzealand governmen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zealand government (bla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133350"/>
                    </a:xfrm>
                    <a:prstGeom prst="rect">
                      <a:avLst/>
                    </a:prstGeom>
                    <a:noFill/>
                    <a:ln>
                      <a:noFill/>
                    </a:ln>
                  </pic:spPr>
                </pic:pic>
              </a:graphicData>
            </a:graphic>
          </wp:inline>
        </w:drawing>
      </w:r>
    </w:p>
    <w:sectPr w:rsidR="00706A3C" w:rsidRPr="00112A3D" w:rsidSect="00B05301">
      <w:footerReference w:type="even" r:id="rId25"/>
      <w:footerReference w:type="default" r:id="rId26"/>
      <w:pgSz w:w="11906" w:h="16838"/>
      <w:pgMar w:top="1440" w:right="1440" w:bottom="1134" w:left="1440" w:header="708" w:footer="4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E1" w:rsidRDefault="00E044E1" w:rsidP="008527A0">
      <w:r>
        <w:separator/>
      </w:r>
    </w:p>
    <w:p w:rsidR="00E044E1" w:rsidRDefault="00E044E1" w:rsidP="008527A0"/>
    <w:p w:rsidR="00E044E1" w:rsidRDefault="00E044E1"/>
  </w:endnote>
  <w:endnote w:type="continuationSeparator" w:id="0">
    <w:p w:rsidR="00E044E1" w:rsidRDefault="00E044E1" w:rsidP="008527A0">
      <w:r>
        <w:continuationSeparator/>
      </w:r>
    </w:p>
    <w:p w:rsidR="00E044E1" w:rsidRDefault="00E044E1" w:rsidP="008527A0"/>
    <w:p w:rsidR="00E044E1" w:rsidRDefault="00E04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53" w:rsidRPr="00920275" w:rsidRDefault="00127B53" w:rsidP="00920275">
    <w:pPr>
      <w:pStyle w:val="Footer"/>
      <w:tabs>
        <w:tab w:val="clear" w:pos="4513"/>
        <w:tab w:val="left" w:pos="0"/>
      </w:tabs>
      <w:rPr>
        <w:sz w:val="18"/>
        <w:szCs w:val="18"/>
      </w:rPr>
    </w:pPr>
    <w:r w:rsidRPr="00920275">
      <w:rPr>
        <w:sz w:val="18"/>
        <w:szCs w:val="18"/>
      </w:rPr>
      <w:t xml:space="preserve">Page </w:t>
    </w:r>
    <w:r w:rsidRPr="00920275">
      <w:rPr>
        <w:sz w:val="18"/>
        <w:szCs w:val="18"/>
      </w:rPr>
      <w:fldChar w:fldCharType="begin"/>
    </w:r>
    <w:r w:rsidRPr="00920275">
      <w:rPr>
        <w:sz w:val="18"/>
        <w:szCs w:val="18"/>
      </w:rPr>
      <w:instrText xml:space="preserve"> PAGE   \* MERGEFORMAT </w:instrText>
    </w:r>
    <w:r w:rsidRPr="00920275">
      <w:rPr>
        <w:sz w:val="18"/>
        <w:szCs w:val="18"/>
      </w:rPr>
      <w:fldChar w:fldCharType="separate"/>
    </w:r>
    <w:r w:rsidR="00905F2F">
      <w:rPr>
        <w:noProof/>
        <w:sz w:val="18"/>
        <w:szCs w:val="18"/>
      </w:rPr>
      <w:t>2</w:t>
    </w:r>
    <w:r w:rsidRPr="00920275">
      <w:rPr>
        <w:noProof/>
        <w:sz w:val="18"/>
        <w:szCs w:val="18"/>
      </w:rPr>
      <w:fldChar w:fldCharType="end"/>
    </w:r>
    <w:r w:rsidRPr="00920275">
      <w:rPr>
        <w:noProof/>
        <w:sz w:val="18"/>
        <w:szCs w:val="18"/>
      </w:rPr>
      <w:tab/>
      <w:t xml:space="preserve">Reoffending patterns for </w:t>
    </w:r>
    <w:r>
      <w:rPr>
        <w:noProof/>
        <w:sz w:val="18"/>
        <w:szCs w:val="18"/>
      </w:rPr>
      <w:t xml:space="preserve">participants of </w:t>
    </w:r>
    <w:r w:rsidRPr="00920275">
      <w:rPr>
        <w:noProof/>
        <w:sz w:val="18"/>
        <w:szCs w:val="18"/>
      </w:rPr>
      <w:t xml:space="preserve">youth justice FGCs </w:t>
    </w:r>
    <w:r>
      <w:rPr>
        <w:noProof/>
        <w:sz w:val="18"/>
        <w:szCs w:val="18"/>
      </w:rPr>
      <w:t xml:space="preserve">held </w:t>
    </w:r>
    <w:r w:rsidRPr="00920275">
      <w:rPr>
        <w:noProof/>
        <w:sz w:val="18"/>
        <w:szCs w:val="18"/>
      </w:rPr>
      <w:t>in 2011 and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53" w:rsidRPr="00920275" w:rsidRDefault="00127B53" w:rsidP="000A5950">
    <w:pPr>
      <w:pStyle w:val="Footer"/>
      <w:tabs>
        <w:tab w:val="clear" w:pos="4513"/>
        <w:tab w:val="left" w:pos="0"/>
      </w:tabs>
      <w:rPr>
        <w:sz w:val="18"/>
        <w:szCs w:val="18"/>
      </w:rPr>
    </w:pPr>
    <w:r w:rsidRPr="00920275">
      <w:rPr>
        <w:noProof/>
        <w:sz w:val="18"/>
        <w:szCs w:val="18"/>
      </w:rPr>
      <w:t xml:space="preserve">Reoffending patterns for </w:t>
    </w:r>
    <w:r>
      <w:rPr>
        <w:noProof/>
        <w:sz w:val="18"/>
        <w:szCs w:val="18"/>
      </w:rPr>
      <w:t xml:space="preserve">participants of </w:t>
    </w:r>
    <w:r w:rsidRPr="00920275">
      <w:rPr>
        <w:noProof/>
        <w:sz w:val="18"/>
        <w:szCs w:val="18"/>
      </w:rPr>
      <w:t xml:space="preserve">youth justice FGCs </w:t>
    </w:r>
    <w:r>
      <w:rPr>
        <w:noProof/>
        <w:sz w:val="18"/>
        <w:szCs w:val="18"/>
      </w:rPr>
      <w:t xml:space="preserve">held </w:t>
    </w:r>
    <w:r w:rsidRPr="00920275">
      <w:rPr>
        <w:noProof/>
        <w:sz w:val="18"/>
        <w:szCs w:val="18"/>
      </w:rPr>
      <w:t>in 2011 and 2012</w:t>
    </w:r>
    <w:r w:rsidRPr="00920275">
      <w:rPr>
        <w:noProof/>
        <w:sz w:val="18"/>
        <w:szCs w:val="18"/>
      </w:rPr>
      <w:tab/>
    </w:r>
    <w:r w:rsidRPr="00920275">
      <w:rPr>
        <w:sz w:val="18"/>
        <w:szCs w:val="18"/>
      </w:rPr>
      <w:t xml:space="preserve">Page </w:t>
    </w:r>
    <w:r w:rsidRPr="00920275">
      <w:rPr>
        <w:sz w:val="18"/>
        <w:szCs w:val="18"/>
      </w:rPr>
      <w:fldChar w:fldCharType="begin"/>
    </w:r>
    <w:r w:rsidRPr="00920275">
      <w:rPr>
        <w:sz w:val="18"/>
        <w:szCs w:val="18"/>
      </w:rPr>
      <w:instrText xml:space="preserve"> PAGE   \* MERGEFORMAT </w:instrText>
    </w:r>
    <w:r w:rsidRPr="00920275">
      <w:rPr>
        <w:sz w:val="18"/>
        <w:szCs w:val="18"/>
      </w:rPr>
      <w:fldChar w:fldCharType="separate"/>
    </w:r>
    <w:r w:rsidR="00905F2F">
      <w:rPr>
        <w:noProof/>
        <w:sz w:val="18"/>
        <w:szCs w:val="18"/>
      </w:rPr>
      <w:t>21</w:t>
    </w:r>
    <w:r w:rsidRPr="00920275">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53" w:rsidRPr="00920275" w:rsidRDefault="00127B53" w:rsidP="00920275">
    <w:pPr>
      <w:pStyle w:val="Footer"/>
      <w:tabs>
        <w:tab w:val="clear" w:pos="4513"/>
        <w:tab w:val="left" w:pos="0"/>
      </w:tabs>
      <w:rPr>
        <w:sz w:val="18"/>
        <w:szCs w:val="18"/>
      </w:rPr>
    </w:pPr>
    <w:r w:rsidRPr="00920275">
      <w:rPr>
        <w:sz w:val="18"/>
        <w:szCs w:val="18"/>
      </w:rPr>
      <w:t xml:space="preserve">Page </w:t>
    </w:r>
    <w:r w:rsidRPr="00920275">
      <w:rPr>
        <w:sz w:val="18"/>
        <w:szCs w:val="18"/>
      </w:rPr>
      <w:fldChar w:fldCharType="begin"/>
    </w:r>
    <w:r w:rsidRPr="00920275">
      <w:rPr>
        <w:sz w:val="18"/>
        <w:szCs w:val="18"/>
      </w:rPr>
      <w:instrText xml:space="preserve"> PAGE   \* MERGEFORMAT </w:instrText>
    </w:r>
    <w:r w:rsidRPr="00920275">
      <w:rPr>
        <w:sz w:val="18"/>
        <w:szCs w:val="18"/>
      </w:rPr>
      <w:fldChar w:fldCharType="separate"/>
    </w:r>
    <w:r w:rsidR="00905F2F">
      <w:rPr>
        <w:noProof/>
        <w:sz w:val="18"/>
        <w:szCs w:val="18"/>
      </w:rPr>
      <w:t>22</w:t>
    </w:r>
    <w:r w:rsidRPr="00920275">
      <w:rPr>
        <w:noProof/>
        <w:sz w:val="18"/>
        <w:szCs w:val="18"/>
      </w:rPr>
      <w:fldChar w:fldCharType="end"/>
    </w:r>
    <w:r w:rsidRPr="00920275">
      <w:rPr>
        <w:noProof/>
        <w:sz w:val="18"/>
        <w:szCs w:val="18"/>
      </w:rPr>
      <w:tab/>
      <w:t xml:space="preserve">Reoffending patterns for </w:t>
    </w:r>
    <w:r>
      <w:rPr>
        <w:noProof/>
        <w:sz w:val="18"/>
        <w:szCs w:val="18"/>
      </w:rPr>
      <w:t xml:space="preserve">participants of </w:t>
    </w:r>
    <w:r w:rsidRPr="00920275">
      <w:rPr>
        <w:noProof/>
        <w:sz w:val="18"/>
        <w:szCs w:val="18"/>
      </w:rPr>
      <w:t xml:space="preserve">youth justice FGCs </w:t>
    </w:r>
    <w:r>
      <w:rPr>
        <w:noProof/>
        <w:sz w:val="18"/>
        <w:szCs w:val="18"/>
      </w:rPr>
      <w:t xml:space="preserve">held </w:t>
    </w:r>
    <w:r w:rsidRPr="00920275">
      <w:rPr>
        <w:noProof/>
        <w:sz w:val="18"/>
        <w:szCs w:val="18"/>
      </w:rPr>
      <w:t>in 2011 and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53" w:rsidRPr="00081D24" w:rsidRDefault="00127B53" w:rsidP="00081D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53" w:rsidRPr="00920275" w:rsidRDefault="00127B53" w:rsidP="000A5950">
    <w:pPr>
      <w:pStyle w:val="Footer"/>
      <w:tabs>
        <w:tab w:val="clear" w:pos="4513"/>
        <w:tab w:val="left" w:pos="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E1" w:rsidRDefault="00E044E1" w:rsidP="00C7355B">
      <w:pPr>
        <w:spacing w:after="60"/>
      </w:pPr>
      <w:r>
        <w:separator/>
      </w:r>
    </w:p>
  </w:footnote>
  <w:footnote w:type="continuationSeparator" w:id="0">
    <w:p w:rsidR="00E044E1" w:rsidRDefault="00E044E1" w:rsidP="008527A0">
      <w:r>
        <w:continuationSeparator/>
      </w:r>
    </w:p>
    <w:p w:rsidR="00E044E1" w:rsidRDefault="00E044E1" w:rsidP="008527A0"/>
    <w:p w:rsidR="00E044E1" w:rsidRDefault="00E044E1"/>
  </w:footnote>
  <w:footnote w:id="1">
    <w:p w:rsidR="000B7449" w:rsidRPr="000B7449" w:rsidRDefault="000B7449" w:rsidP="000B7449">
      <w:pPr>
        <w:pStyle w:val="FootnoteText"/>
        <w:spacing w:after="0"/>
        <w:rPr>
          <w:rFonts w:ascii="Verdana" w:hAnsi="Verdana"/>
          <w:sz w:val="18"/>
          <w:szCs w:val="18"/>
          <w:lang w:val="en-NZ"/>
        </w:rPr>
      </w:pPr>
      <w:r w:rsidRPr="000B7449">
        <w:rPr>
          <w:rStyle w:val="FootnoteReference"/>
          <w:rFonts w:ascii="Verdana" w:hAnsi="Verdana"/>
          <w:sz w:val="18"/>
          <w:szCs w:val="18"/>
        </w:rPr>
        <w:footnoteRef/>
      </w:r>
      <w:r w:rsidRPr="000B7449">
        <w:rPr>
          <w:rFonts w:ascii="Verdana" w:hAnsi="Verdana"/>
          <w:sz w:val="18"/>
          <w:szCs w:val="18"/>
        </w:rPr>
        <w:t xml:space="preserve"> </w:t>
      </w:r>
      <w:r w:rsidRPr="000B7449">
        <w:rPr>
          <w:rFonts w:ascii="Verdana" w:hAnsi="Verdana"/>
          <w:sz w:val="18"/>
          <w:szCs w:val="18"/>
          <w:lang w:val="en-NZ"/>
        </w:rPr>
        <w:tab/>
        <w:t>ITC FGCs don’t usually have a lawyer involved in the case.</w:t>
      </w:r>
    </w:p>
  </w:footnote>
  <w:footnote w:id="2">
    <w:p w:rsidR="00127B53" w:rsidRPr="00621E01" w:rsidRDefault="00127B53" w:rsidP="00706A3C">
      <w:pPr>
        <w:pStyle w:val="FootnoteText"/>
        <w:spacing w:after="60"/>
        <w:rPr>
          <w:rFonts w:ascii="Verdana" w:hAnsi="Verdana"/>
          <w:sz w:val="18"/>
          <w:szCs w:val="18"/>
          <w:lang w:val="en-NZ"/>
        </w:rPr>
      </w:pPr>
      <w:r w:rsidRPr="00621E01">
        <w:rPr>
          <w:rStyle w:val="FootnoteReference"/>
          <w:rFonts w:ascii="Verdana" w:hAnsi="Verdana"/>
          <w:sz w:val="18"/>
          <w:szCs w:val="18"/>
        </w:rPr>
        <w:footnoteRef/>
      </w:r>
      <w:r w:rsidRPr="00621E01">
        <w:rPr>
          <w:rFonts w:ascii="Verdana" w:hAnsi="Verdana"/>
          <w:sz w:val="18"/>
          <w:szCs w:val="18"/>
        </w:rPr>
        <w:t xml:space="preserve"> </w:t>
      </w:r>
      <w:r w:rsidRPr="00621E01">
        <w:rPr>
          <w:rFonts w:ascii="Verdana" w:hAnsi="Verdana"/>
          <w:sz w:val="18"/>
          <w:szCs w:val="18"/>
        </w:rPr>
        <w:tab/>
      </w:r>
      <w:r w:rsidRPr="00621E01">
        <w:rPr>
          <w:rFonts w:ascii="Verdana" w:hAnsi="Verdana"/>
          <w:color w:val="000000"/>
          <w:sz w:val="18"/>
          <w:szCs w:val="18"/>
        </w:rPr>
        <w:t xml:space="preserve">CYRAS is the </w:t>
      </w:r>
      <w:r w:rsidRPr="00621E01">
        <w:rPr>
          <w:rFonts w:ascii="Verdana" w:hAnsi="Verdana"/>
          <w:sz w:val="18"/>
          <w:szCs w:val="18"/>
        </w:rPr>
        <w:t>Child, Youth, Residences and Adoption System database and case management recording system managed by MSD.</w:t>
      </w:r>
    </w:p>
  </w:footnote>
  <w:footnote w:id="3">
    <w:p w:rsidR="00127B53" w:rsidRPr="00D83F62" w:rsidRDefault="00127B53" w:rsidP="00706A3C">
      <w:pPr>
        <w:pStyle w:val="FootnoteText"/>
        <w:spacing w:after="0"/>
        <w:ind w:left="284" w:hanging="284"/>
        <w:rPr>
          <w:rFonts w:ascii="Verdana" w:hAnsi="Verdana"/>
          <w:sz w:val="18"/>
          <w:szCs w:val="18"/>
          <w:lang w:val="en-NZ"/>
        </w:rPr>
      </w:pPr>
      <w:r w:rsidRPr="00D83F62">
        <w:rPr>
          <w:rStyle w:val="FootnoteReference"/>
          <w:rFonts w:ascii="Verdana" w:hAnsi="Verdana"/>
          <w:sz w:val="18"/>
          <w:szCs w:val="18"/>
        </w:rPr>
        <w:footnoteRef/>
      </w:r>
      <w:r w:rsidRPr="00D83F62">
        <w:rPr>
          <w:rFonts w:ascii="Verdana" w:hAnsi="Verdana"/>
          <w:sz w:val="18"/>
          <w:szCs w:val="18"/>
        </w:rPr>
        <w:t xml:space="preserve"> </w:t>
      </w:r>
      <w:r w:rsidRPr="00D83F62">
        <w:rPr>
          <w:rFonts w:ascii="Verdana" w:hAnsi="Verdana"/>
          <w:sz w:val="18"/>
          <w:szCs w:val="18"/>
          <w:lang w:val="en-NZ"/>
        </w:rPr>
        <w:tab/>
        <w:t>In the 201</w:t>
      </w:r>
      <w:r>
        <w:rPr>
          <w:rFonts w:ascii="Verdana" w:hAnsi="Verdana"/>
          <w:sz w:val="18"/>
          <w:szCs w:val="18"/>
          <w:lang w:val="en-NZ"/>
        </w:rPr>
        <w:t>3</w:t>
      </w:r>
      <w:r w:rsidRPr="00D83F62">
        <w:rPr>
          <w:rFonts w:ascii="Verdana" w:hAnsi="Verdana"/>
          <w:sz w:val="18"/>
          <w:szCs w:val="18"/>
          <w:lang w:val="en-NZ"/>
        </w:rPr>
        <w:t>/1</w:t>
      </w:r>
      <w:r>
        <w:rPr>
          <w:rFonts w:ascii="Verdana" w:hAnsi="Verdana"/>
          <w:sz w:val="18"/>
          <w:szCs w:val="18"/>
          <w:lang w:val="en-NZ"/>
        </w:rPr>
        <w:t>4</w:t>
      </w:r>
      <w:r w:rsidRPr="00D83F62">
        <w:rPr>
          <w:rFonts w:ascii="Verdana" w:hAnsi="Verdana"/>
          <w:sz w:val="18"/>
          <w:szCs w:val="18"/>
          <w:lang w:val="en-NZ"/>
        </w:rPr>
        <w:t xml:space="preserve"> fiscal year, </w:t>
      </w:r>
      <w:r>
        <w:rPr>
          <w:rFonts w:ascii="Verdana" w:hAnsi="Verdana"/>
          <w:sz w:val="18"/>
          <w:szCs w:val="18"/>
          <w:lang w:val="en-NZ"/>
        </w:rPr>
        <w:t>69</w:t>
      </w:r>
      <w:r w:rsidRPr="00D83F62">
        <w:rPr>
          <w:rFonts w:ascii="Verdana" w:hAnsi="Verdana"/>
          <w:sz w:val="18"/>
          <w:szCs w:val="18"/>
          <w:lang w:val="en-NZ"/>
        </w:rPr>
        <w:t>% of apprehensions of 14</w:t>
      </w:r>
      <w:r w:rsidRPr="00D83F62">
        <w:rPr>
          <w:rFonts w:ascii="Verdana" w:hAnsi="Verdana" w:cs="Courier New"/>
          <w:sz w:val="18"/>
          <w:szCs w:val="18"/>
          <w:lang w:val="en-NZ"/>
        </w:rPr>
        <w:t>-</w:t>
      </w:r>
      <w:r w:rsidRPr="00D83F62">
        <w:rPr>
          <w:rFonts w:ascii="Verdana" w:hAnsi="Verdana"/>
          <w:sz w:val="18"/>
          <w:szCs w:val="18"/>
          <w:lang w:val="en-NZ"/>
        </w:rPr>
        <w:t>16 year olds by the Police were dealt with by means other than prosecution. See Appendix A for further details.</w:t>
      </w:r>
    </w:p>
  </w:footnote>
  <w:footnote w:id="4">
    <w:p w:rsidR="00127B53" w:rsidRPr="00D83F62" w:rsidRDefault="00127B53" w:rsidP="00706A3C">
      <w:pPr>
        <w:pStyle w:val="FootnoteText"/>
        <w:spacing w:after="0"/>
        <w:ind w:left="284" w:hanging="284"/>
        <w:rPr>
          <w:rFonts w:ascii="Verdana" w:hAnsi="Verdana"/>
          <w:sz w:val="18"/>
          <w:szCs w:val="18"/>
          <w:lang w:val="en-NZ"/>
        </w:rPr>
      </w:pPr>
      <w:r w:rsidRPr="00D83F62">
        <w:rPr>
          <w:rStyle w:val="FootnoteReference"/>
          <w:rFonts w:ascii="Verdana" w:hAnsi="Verdana"/>
          <w:sz w:val="18"/>
          <w:szCs w:val="18"/>
        </w:rPr>
        <w:footnoteRef/>
      </w:r>
      <w:r w:rsidRPr="00D83F62">
        <w:rPr>
          <w:rFonts w:ascii="Verdana" w:hAnsi="Verdana"/>
          <w:sz w:val="18"/>
          <w:szCs w:val="18"/>
        </w:rPr>
        <w:t xml:space="preserve"> </w:t>
      </w:r>
      <w:r>
        <w:rPr>
          <w:rFonts w:ascii="Verdana" w:hAnsi="Verdana"/>
          <w:sz w:val="18"/>
          <w:szCs w:val="18"/>
        </w:rPr>
        <w:tab/>
        <w:t xml:space="preserve">For this report, violent offences are taken to be the total of the </w:t>
      </w:r>
      <w:r w:rsidRPr="00D83F62">
        <w:rPr>
          <w:rFonts w:ascii="Verdana" w:hAnsi="Verdana"/>
          <w:sz w:val="18"/>
          <w:szCs w:val="18"/>
          <w:lang w:val="en-NZ"/>
        </w:rPr>
        <w:t xml:space="preserve">injury causing acts </w:t>
      </w:r>
      <w:r>
        <w:rPr>
          <w:rFonts w:ascii="Verdana" w:hAnsi="Verdana"/>
          <w:sz w:val="18"/>
          <w:szCs w:val="18"/>
          <w:lang w:val="en-NZ"/>
        </w:rPr>
        <w:t>or</w:t>
      </w:r>
      <w:r w:rsidRPr="00D83F62">
        <w:rPr>
          <w:rFonts w:ascii="Verdana" w:hAnsi="Verdana"/>
          <w:sz w:val="18"/>
          <w:szCs w:val="18"/>
          <w:lang w:val="en-NZ"/>
        </w:rPr>
        <w:t xml:space="preserve"> homicide, robbery-related</w:t>
      </w:r>
      <w:r>
        <w:rPr>
          <w:rFonts w:ascii="Verdana" w:hAnsi="Verdana"/>
          <w:sz w:val="18"/>
          <w:szCs w:val="18"/>
          <w:lang w:val="en-NZ"/>
        </w:rPr>
        <w:t>,</w:t>
      </w:r>
      <w:r w:rsidRPr="00D83F62">
        <w:rPr>
          <w:rFonts w:ascii="Verdana" w:hAnsi="Verdana"/>
          <w:sz w:val="18"/>
          <w:szCs w:val="18"/>
          <w:lang w:val="en-NZ"/>
        </w:rPr>
        <w:t xml:space="preserve"> and abduction and harassment offence</w:t>
      </w:r>
      <w:r>
        <w:rPr>
          <w:rFonts w:ascii="Verdana" w:hAnsi="Verdana"/>
          <w:sz w:val="18"/>
          <w:szCs w:val="18"/>
          <w:lang w:val="en-NZ"/>
        </w:rPr>
        <w:t xml:space="preserve"> division</w:t>
      </w:r>
      <w:r w:rsidRPr="00D83F62">
        <w:rPr>
          <w:rFonts w:ascii="Verdana" w:hAnsi="Verdana"/>
          <w:sz w:val="18"/>
          <w:szCs w:val="18"/>
          <w:lang w:val="en-NZ"/>
        </w:rPr>
        <w:t>s</w:t>
      </w:r>
      <w:r>
        <w:rPr>
          <w:rFonts w:ascii="Verdana" w:hAnsi="Verdana"/>
          <w:sz w:val="18"/>
          <w:szCs w:val="18"/>
          <w:lang w:val="en-NZ"/>
        </w:rPr>
        <w:t>.</w:t>
      </w:r>
    </w:p>
  </w:footnote>
  <w:footnote w:id="5">
    <w:p w:rsidR="00127B53" w:rsidRPr="00FF396A" w:rsidRDefault="00127B53" w:rsidP="00706A3C">
      <w:pPr>
        <w:pStyle w:val="FootnoteText"/>
        <w:spacing w:after="60"/>
        <w:ind w:left="284" w:hanging="284"/>
        <w:rPr>
          <w:rFonts w:ascii="Verdana" w:hAnsi="Verdana"/>
          <w:sz w:val="18"/>
          <w:szCs w:val="18"/>
          <w:lang w:val="en-NZ"/>
        </w:rPr>
      </w:pPr>
      <w:r w:rsidRPr="00FF396A">
        <w:rPr>
          <w:rStyle w:val="FootnoteReference"/>
          <w:rFonts w:ascii="Verdana" w:hAnsi="Verdana"/>
          <w:sz w:val="18"/>
          <w:szCs w:val="18"/>
        </w:rPr>
        <w:footnoteRef/>
      </w:r>
      <w:r w:rsidRPr="00FF396A">
        <w:rPr>
          <w:rFonts w:ascii="Verdana" w:hAnsi="Verdana"/>
          <w:sz w:val="18"/>
          <w:szCs w:val="18"/>
        </w:rPr>
        <w:t xml:space="preserve"> </w:t>
      </w:r>
      <w:r w:rsidRPr="00FF396A">
        <w:rPr>
          <w:rFonts w:ascii="Verdana" w:hAnsi="Verdana"/>
          <w:sz w:val="18"/>
          <w:szCs w:val="18"/>
          <w:lang w:val="en-NZ"/>
        </w:rPr>
        <w:tab/>
        <w:t xml:space="preserve">This figure is slightly lower than the overall proportion who did not reoffend as a small number of the non-reoffenders committed no offences in the 12 months before and after the FGC, hence their offending rate was categorised as the same as before. For these people, their prior offending occurred more than 12 months, but less than 24 months before the FGC, </w:t>
      </w:r>
      <w:r>
        <w:rPr>
          <w:rFonts w:ascii="Verdana" w:hAnsi="Verdana"/>
          <w:sz w:val="18"/>
          <w:szCs w:val="18"/>
          <w:lang w:val="en-NZ"/>
        </w:rPr>
        <w:t>and</w:t>
      </w:r>
      <w:r w:rsidRPr="00FF396A">
        <w:rPr>
          <w:rFonts w:ascii="Verdana" w:hAnsi="Verdana"/>
          <w:sz w:val="18"/>
          <w:szCs w:val="18"/>
          <w:lang w:val="en-NZ"/>
        </w:rPr>
        <w:t xml:space="preserve"> it took some time to be repo</w:t>
      </w:r>
      <w:r>
        <w:rPr>
          <w:rFonts w:ascii="Verdana" w:hAnsi="Verdana"/>
          <w:sz w:val="18"/>
          <w:szCs w:val="18"/>
          <w:lang w:val="en-NZ"/>
        </w:rPr>
        <w:t>rted or for a person to be apprehended.</w:t>
      </w:r>
    </w:p>
  </w:footnote>
  <w:footnote w:id="6">
    <w:p w:rsidR="00127B53" w:rsidRPr="00D83F62" w:rsidRDefault="00127B53" w:rsidP="00706A3C">
      <w:pPr>
        <w:pStyle w:val="FootnoteText"/>
        <w:spacing w:after="60"/>
        <w:ind w:left="284" w:hanging="284"/>
        <w:rPr>
          <w:rFonts w:ascii="Verdana" w:hAnsi="Verdana"/>
          <w:sz w:val="18"/>
          <w:szCs w:val="18"/>
          <w:lang w:val="en-NZ"/>
        </w:rPr>
      </w:pPr>
      <w:r w:rsidRPr="00D83F62">
        <w:rPr>
          <w:rStyle w:val="FootnoteReference"/>
          <w:rFonts w:ascii="Verdana" w:hAnsi="Verdana"/>
          <w:sz w:val="18"/>
          <w:szCs w:val="18"/>
        </w:rPr>
        <w:footnoteRef/>
      </w:r>
      <w:r w:rsidRPr="00D83F62">
        <w:rPr>
          <w:rFonts w:ascii="Verdana" w:hAnsi="Verdana"/>
          <w:sz w:val="18"/>
          <w:szCs w:val="18"/>
        </w:rPr>
        <w:t xml:space="preserve"> </w:t>
      </w:r>
      <w:r w:rsidRPr="00D83F62">
        <w:rPr>
          <w:rFonts w:ascii="Verdana" w:hAnsi="Verdana"/>
          <w:sz w:val="18"/>
          <w:szCs w:val="18"/>
          <w:lang w:val="en-NZ"/>
        </w:rPr>
        <w:tab/>
        <w:t xml:space="preserve">Data </w:t>
      </w:r>
      <w:r>
        <w:rPr>
          <w:rFonts w:ascii="Verdana" w:hAnsi="Verdana"/>
          <w:sz w:val="18"/>
          <w:szCs w:val="18"/>
          <w:lang w:val="en-NZ"/>
        </w:rPr>
        <w:t>is</w:t>
      </w:r>
      <w:r w:rsidRPr="00D83F62">
        <w:rPr>
          <w:rFonts w:ascii="Verdana" w:hAnsi="Verdana"/>
          <w:sz w:val="18"/>
          <w:szCs w:val="18"/>
          <w:lang w:val="en-NZ"/>
        </w:rPr>
        <w:t xml:space="preserve"> shared for statistical</w:t>
      </w:r>
      <w:r>
        <w:rPr>
          <w:rFonts w:ascii="Verdana" w:hAnsi="Verdana"/>
          <w:sz w:val="18"/>
          <w:szCs w:val="18"/>
          <w:lang w:val="en-NZ"/>
        </w:rPr>
        <w:t xml:space="preserve"> and </w:t>
      </w:r>
      <w:r w:rsidRPr="00D83F62">
        <w:rPr>
          <w:rFonts w:ascii="Verdana" w:hAnsi="Verdana"/>
          <w:sz w:val="18"/>
          <w:szCs w:val="18"/>
          <w:lang w:val="en-NZ"/>
        </w:rPr>
        <w:t xml:space="preserve">research purposes under a </w:t>
      </w:r>
      <w:r>
        <w:rPr>
          <w:rFonts w:ascii="Verdana" w:hAnsi="Verdana"/>
          <w:sz w:val="18"/>
          <w:szCs w:val="18"/>
          <w:lang w:val="en-NZ"/>
        </w:rPr>
        <w:t>Memorandum of Understanding</w:t>
      </w:r>
      <w:r w:rsidRPr="00D83F62">
        <w:rPr>
          <w:rFonts w:ascii="Verdana" w:hAnsi="Verdana"/>
          <w:sz w:val="18"/>
          <w:szCs w:val="18"/>
          <w:lang w:val="en-NZ"/>
        </w:rPr>
        <w:t xml:space="preserve"> between the two agencies.</w:t>
      </w:r>
    </w:p>
  </w:footnote>
  <w:footnote w:id="7">
    <w:p w:rsidR="00127B53" w:rsidRPr="0020767F" w:rsidRDefault="00127B53" w:rsidP="00706A3C">
      <w:pPr>
        <w:pStyle w:val="FootnoteText"/>
        <w:spacing w:after="0"/>
        <w:ind w:left="284" w:hanging="284"/>
        <w:rPr>
          <w:rFonts w:ascii="Verdana" w:hAnsi="Verdana"/>
          <w:sz w:val="18"/>
          <w:szCs w:val="18"/>
        </w:rPr>
      </w:pPr>
      <w:r w:rsidRPr="0020767F">
        <w:rPr>
          <w:rStyle w:val="FootnoteReference"/>
          <w:rFonts w:ascii="Verdana" w:hAnsi="Verdana"/>
          <w:sz w:val="18"/>
          <w:szCs w:val="18"/>
        </w:rPr>
        <w:footnoteRef/>
      </w:r>
      <w:r w:rsidRPr="0020767F">
        <w:rPr>
          <w:rFonts w:ascii="Verdana" w:hAnsi="Verdana"/>
          <w:sz w:val="18"/>
          <w:szCs w:val="18"/>
        </w:rPr>
        <w:t xml:space="preserve"> </w:t>
      </w:r>
      <w:r w:rsidRPr="0020767F">
        <w:rPr>
          <w:rFonts w:ascii="Verdana" w:hAnsi="Verdana"/>
          <w:sz w:val="18"/>
          <w:szCs w:val="18"/>
        </w:rPr>
        <w:tab/>
        <w:t xml:space="preserve">Annual Apprehensions for the latest Fiscal Years (ANZSOC), </w:t>
      </w:r>
      <w:proofErr w:type="spellStart"/>
      <w:r w:rsidRPr="0020767F">
        <w:rPr>
          <w:rFonts w:ascii="Verdana" w:hAnsi="Verdana"/>
          <w:sz w:val="18"/>
          <w:szCs w:val="18"/>
        </w:rPr>
        <w:t>NZ.Stat</w:t>
      </w:r>
      <w:proofErr w:type="spellEnd"/>
      <w:r w:rsidRPr="0020767F">
        <w:rPr>
          <w:rFonts w:ascii="Verdana" w:hAnsi="Verdana"/>
          <w:sz w:val="18"/>
          <w:szCs w:val="18"/>
        </w:rPr>
        <w:t>, Statistics New Zealand.</w:t>
      </w:r>
    </w:p>
  </w:footnote>
  <w:footnote w:id="8">
    <w:p w:rsidR="00127B53" w:rsidRPr="0020767F" w:rsidRDefault="00127B53" w:rsidP="00706A3C">
      <w:pPr>
        <w:pStyle w:val="FootnoteText"/>
        <w:spacing w:after="60"/>
        <w:ind w:left="284" w:hanging="284"/>
        <w:rPr>
          <w:rFonts w:ascii="Verdana" w:hAnsi="Verdana"/>
          <w:sz w:val="18"/>
          <w:szCs w:val="18"/>
        </w:rPr>
      </w:pPr>
      <w:r w:rsidRPr="0020767F">
        <w:rPr>
          <w:rStyle w:val="FootnoteReference"/>
          <w:rFonts w:ascii="Verdana" w:hAnsi="Verdana"/>
          <w:sz w:val="18"/>
          <w:szCs w:val="18"/>
        </w:rPr>
        <w:footnoteRef/>
      </w:r>
      <w:r w:rsidRPr="0020767F">
        <w:rPr>
          <w:rFonts w:ascii="Verdana" w:hAnsi="Verdana"/>
          <w:sz w:val="18"/>
          <w:szCs w:val="18"/>
        </w:rPr>
        <w:t xml:space="preserve"> </w:t>
      </w:r>
      <w:r w:rsidRPr="0020767F">
        <w:rPr>
          <w:rFonts w:ascii="Verdana" w:hAnsi="Verdana"/>
          <w:sz w:val="18"/>
          <w:szCs w:val="18"/>
          <w:lang w:val="en-NZ"/>
        </w:rPr>
        <w:tab/>
      </w:r>
      <w:r w:rsidRPr="0020767F">
        <w:rPr>
          <w:rFonts w:ascii="Verdana" w:hAnsi="Verdana"/>
          <w:sz w:val="18"/>
          <w:szCs w:val="18"/>
        </w:rPr>
        <w:t>The majority of minor traffic offences excluded involved an unlicensed driver failing to comply with a prohibition, or a driver failing to stop for the flashing lights on a police car. Police 4-digit offence codes that indicated that a motor vehicle was impounded were excluded from analyses as these are present in the data for statistical purposes only.</w:t>
      </w:r>
    </w:p>
  </w:footnote>
  <w:footnote w:id="9">
    <w:p w:rsidR="00127B53" w:rsidRPr="0020767F" w:rsidRDefault="00127B53" w:rsidP="00706A3C">
      <w:pPr>
        <w:pStyle w:val="FootnoteText"/>
        <w:spacing w:after="0"/>
        <w:ind w:left="284" w:hanging="284"/>
        <w:rPr>
          <w:rFonts w:ascii="Verdana" w:hAnsi="Verdana"/>
          <w:sz w:val="18"/>
          <w:szCs w:val="18"/>
        </w:rPr>
      </w:pPr>
      <w:r w:rsidRPr="0020767F">
        <w:rPr>
          <w:rStyle w:val="FootnoteReference"/>
          <w:rFonts w:ascii="Verdana" w:hAnsi="Verdana"/>
          <w:sz w:val="18"/>
          <w:szCs w:val="18"/>
        </w:rPr>
        <w:footnoteRef/>
      </w:r>
      <w:r w:rsidRPr="0020767F">
        <w:rPr>
          <w:rFonts w:ascii="Verdana" w:hAnsi="Verdana"/>
          <w:sz w:val="18"/>
          <w:szCs w:val="18"/>
        </w:rPr>
        <w:t xml:space="preserve"> </w:t>
      </w:r>
      <w:r w:rsidRPr="0020767F">
        <w:rPr>
          <w:rFonts w:ascii="Verdana" w:hAnsi="Verdana"/>
          <w:sz w:val="18"/>
          <w:szCs w:val="18"/>
        </w:rPr>
        <w:tab/>
        <w:t xml:space="preserve">For more information on the Scale see: </w:t>
      </w:r>
      <w:hyperlink r:id="rId1" w:history="1">
        <w:r w:rsidRPr="0020767F">
          <w:rPr>
            <w:rStyle w:val="Hyperlink"/>
            <w:rFonts w:ascii="Verdana" w:hAnsi="Verdana"/>
            <w:color w:val="0000FF"/>
            <w:sz w:val="18"/>
            <w:szCs w:val="18"/>
          </w:rPr>
          <w:t>http://www.justice.govt.nz/justice-sector/statistics/justice-sector-working-papers/justice-sector-offence-seriousness-score-faq</w:t>
        </w:r>
      </w:hyperlink>
      <w:r w:rsidRPr="0020767F">
        <w:rPr>
          <w:rFonts w:ascii="Verdana" w:hAnsi="Verdana"/>
          <w:sz w:val="18"/>
          <w:szCs w:val="18"/>
        </w:rPr>
        <w:t>.</w:t>
      </w:r>
    </w:p>
  </w:footnote>
  <w:footnote w:id="10">
    <w:p w:rsidR="00FB192A" w:rsidRPr="00D83F62" w:rsidRDefault="00FB192A" w:rsidP="00FB192A">
      <w:pPr>
        <w:pStyle w:val="FootnoteText"/>
        <w:spacing w:after="0"/>
        <w:ind w:left="284" w:hanging="284"/>
        <w:rPr>
          <w:rFonts w:ascii="Verdana" w:hAnsi="Verdana"/>
          <w:sz w:val="18"/>
          <w:szCs w:val="18"/>
          <w:lang w:val="en-NZ"/>
        </w:rPr>
      </w:pPr>
      <w:r w:rsidRPr="00D83F62">
        <w:rPr>
          <w:rStyle w:val="FootnoteReference"/>
          <w:rFonts w:ascii="Verdana" w:hAnsi="Verdana"/>
          <w:sz w:val="18"/>
          <w:szCs w:val="18"/>
        </w:rPr>
        <w:footnoteRef/>
      </w:r>
      <w:r w:rsidRPr="00D83F62">
        <w:rPr>
          <w:rFonts w:ascii="Verdana" w:hAnsi="Verdana"/>
          <w:sz w:val="18"/>
          <w:szCs w:val="18"/>
        </w:rPr>
        <w:t xml:space="preserve"> </w:t>
      </w:r>
      <w:r w:rsidRPr="00D83F62">
        <w:rPr>
          <w:rFonts w:ascii="Verdana" w:hAnsi="Verdana"/>
          <w:sz w:val="18"/>
          <w:szCs w:val="18"/>
          <w:lang w:val="en-NZ"/>
        </w:rPr>
        <w:tab/>
      </w:r>
      <w:r w:rsidRPr="00D83F62">
        <w:rPr>
          <w:rFonts w:ascii="Verdana" w:hAnsi="Verdana"/>
          <w:sz w:val="18"/>
          <w:szCs w:val="18"/>
        </w:rPr>
        <w:t xml:space="preserve">Offences are </w:t>
      </w:r>
      <w:proofErr w:type="spellStart"/>
      <w:r w:rsidRPr="00D83F62">
        <w:rPr>
          <w:rFonts w:ascii="Verdana" w:hAnsi="Verdana"/>
          <w:sz w:val="18"/>
          <w:szCs w:val="18"/>
        </w:rPr>
        <w:t>categorised</w:t>
      </w:r>
      <w:proofErr w:type="spellEnd"/>
      <w:r w:rsidRPr="00D83F62">
        <w:rPr>
          <w:rFonts w:ascii="Verdana" w:hAnsi="Verdana"/>
          <w:sz w:val="18"/>
          <w:szCs w:val="18"/>
        </w:rPr>
        <w:t xml:space="preserve"> by the Australian and New Zealand Standard Offence Classification (ANZSOC),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9B0F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5D464EE"/>
    <w:lvl w:ilvl="0">
      <w:start w:val="1"/>
      <w:numFmt w:val="bullet"/>
      <w:pStyle w:val="Bullet1"/>
      <w:lvlText w:val=""/>
      <w:lvlJc w:val="left"/>
      <w:pPr>
        <w:tabs>
          <w:tab w:val="num" w:pos="360"/>
        </w:tabs>
        <w:ind w:left="360" w:hanging="360"/>
      </w:pPr>
      <w:rPr>
        <w:rFonts w:ascii="Symbol" w:hAnsi="Symbol" w:hint="default"/>
      </w:rPr>
    </w:lvl>
  </w:abstractNum>
  <w:abstractNum w:abstractNumId="2">
    <w:nsid w:val="032F6163"/>
    <w:multiLevelType w:val="hybridMultilevel"/>
    <w:tmpl w:val="C24C5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6F7BC7"/>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811260"/>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283F3243"/>
    <w:multiLevelType w:val="hybridMultilevel"/>
    <w:tmpl w:val="7862B0E4"/>
    <w:lvl w:ilvl="0" w:tplc="C01414EA">
      <w:start w:val="1"/>
      <w:numFmt w:val="bullet"/>
      <w:pStyle w:val="bullet10"/>
      <w:lvlText w:val="•"/>
      <w:lvlJc w:val="left"/>
      <w:pPr>
        <w:tabs>
          <w:tab w:val="num" w:pos="-360"/>
        </w:tabs>
        <w:ind w:left="360" w:hanging="360"/>
      </w:pPr>
      <w:rPr>
        <w:rFonts w:ascii="Trebuchet MS" w:hAnsi="Trebuchet MS" w:hint="default"/>
        <w:color w:val="auto"/>
        <w:sz w:val="20"/>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nsid w:val="38C34A30"/>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39BA4683"/>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42531E0F"/>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441344E1"/>
    <w:multiLevelType w:val="hybridMultilevel"/>
    <w:tmpl w:val="63E00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8ED6285"/>
    <w:multiLevelType w:val="hybridMultilevel"/>
    <w:tmpl w:val="C1E63A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04E111A"/>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7">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AC7CC0"/>
    <w:multiLevelType w:val="hybridMultilevel"/>
    <w:tmpl w:val="7C6809E8"/>
    <w:lvl w:ilvl="0" w:tplc="11FE8C7C">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F31200B"/>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50E1937"/>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69070FED"/>
    <w:multiLevelType w:val="hybridMultilevel"/>
    <w:tmpl w:val="55CCE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9372E54"/>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78CD32A2"/>
    <w:multiLevelType w:val="hybridMultilevel"/>
    <w:tmpl w:val="3272AB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20"/>
  </w:num>
  <w:num w:numId="12">
    <w:abstractNumId w:val="4"/>
  </w:num>
  <w:num w:numId="13">
    <w:abstractNumId w:val="14"/>
  </w:num>
  <w:num w:numId="14">
    <w:abstractNumId w:val="21"/>
  </w:num>
  <w:num w:numId="15">
    <w:abstractNumId w:val="8"/>
  </w:num>
  <w:num w:numId="16">
    <w:abstractNumId w:val="22"/>
  </w:num>
  <w:num w:numId="17">
    <w:abstractNumId w:val="2"/>
  </w:num>
  <w:num w:numId="18">
    <w:abstractNumId w:val="23"/>
  </w:num>
  <w:num w:numId="19">
    <w:abstractNumId w:val="18"/>
  </w:num>
  <w:num w:numId="20">
    <w:abstractNumId w:val="13"/>
  </w:num>
  <w:num w:numId="21">
    <w:abstractNumId w:val="6"/>
  </w:num>
  <w:num w:numId="22">
    <w:abstractNumId w:val="10"/>
  </w:num>
  <w:num w:numId="23">
    <w:abstractNumId w:val="15"/>
  </w:num>
  <w:num w:numId="24">
    <w:abstractNumId w:val="19"/>
  </w:num>
  <w:num w:numId="25">
    <w:abstractNumId w:val="11"/>
  </w:num>
  <w:num w:numId="26">
    <w:abstractNumId w:val="1"/>
  </w:num>
  <w:num w:numId="27">
    <w:abstractNumId w:val="1"/>
  </w:num>
  <w:num w:numId="28">
    <w:abstractNumId w:val="1"/>
  </w:num>
  <w:num w:numId="29">
    <w:abstractNumId w:val="3"/>
  </w:num>
  <w:num w:numId="30">
    <w:abstractNumId w:val="24"/>
  </w:num>
  <w:num w:numId="31">
    <w:abstractNumId w:val="12"/>
  </w:num>
  <w:num w:numId="32">
    <w:abstractNumId w:val="1"/>
  </w:num>
  <w:num w:numId="33">
    <w:abstractNumId w:val="1"/>
  </w:num>
  <w:num w:numId="34">
    <w:abstractNumId w:val="1"/>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efaultTableStyle w:val="MSD1"/>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05A9E"/>
    <w:rsid w:val="000106D0"/>
    <w:rsid w:val="000130D7"/>
    <w:rsid w:val="000164C9"/>
    <w:rsid w:val="00021C80"/>
    <w:rsid w:val="000223C9"/>
    <w:rsid w:val="00022E34"/>
    <w:rsid w:val="000235B3"/>
    <w:rsid w:val="00025E81"/>
    <w:rsid w:val="00027EED"/>
    <w:rsid w:val="00032915"/>
    <w:rsid w:val="000358FF"/>
    <w:rsid w:val="00037CB0"/>
    <w:rsid w:val="000424D0"/>
    <w:rsid w:val="000426BE"/>
    <w:rsid w:val="00042797"/>
    <w:rsid w:val="00042B7D"/>
    <w:rsid w:val="0004363E"/>
    <w:rsid w:val="00045F35"/>
    <w:rsid w:val="00052CA3"/>
    <w:rsid w:val="000547B4"/>
    <w:rsid w:val="00054A9E"/>
    <w:rsid w:val="00054E79"/>
    <w:rsid w:val="00063EE2"/>
    <w:rsid w:val="00065641"/>
    <w:rsid w:val="00075273"/>
    <w:rsid w:val="00076A90"/>
    <w:rsid w:val="00080A61"/>
    <w:rsid w:val="00081D24"/>
    <w:rsid w:val="00083046"/>
    <w:rsid w:val="0008501D"/>
    <w:rsid w:val="000858A6"/>
    <w:rsid w:val="000906A8"/>
    <w:rsid w:val="00090E10"/>
    <w:rsid w:val="0009329C"/>
    <w:rsid w:val="00093397"/>
    <w:rsid w:val="000A20AB"/>
    <w:rsid w:val="000A5950"/>
    <w:rsid w:val="000A7B72"/>
    <w:rsid w:val="000B4D17"/>
    <w:rsid w:val="000B6D34"/>
    <w:rsid w:val="000B7449"/>
    <w:rsid w:val="000B7F36"/>
    <w:rsid w:val="000C6784"/>
    <w:rsid w:val="000C6D6F"/>
    <w:rsid w:val="000D4B1A"/>
    <w:rsid w:val="000D5B96"/>
    <w:rsid w:val="000D6599"/>
    <w:rsid w:val="000E15C1"/>
    <w:rsid w:val="000E2851"/>
    <w:rsid w:val="000E329F"/>
    <w:rsid w:val="000E3BB9"/>
    <w:rsid w:val="000E5DB1"/>
    <w:rsid w:val="000E6147"/>
    <w:rsid w:val="000F2DBD"/>
    <w:rsid w:val="000F56A5"/>
    <w:rsid w:val="001017F5"/>
    <w:rsid w:val="001018FF"/>
    <w:rsid w:val="00104B2C"/>
    <w:rsid w:val="00106AED"/>
    <w:rsid w:val="00111953"/>
    <w:rsid w:val="0011372D"/>
    <w:rsid w:val="00117C95"/>
    <w:rsid w:val="00120ACB"/>
    <w:rsid w:val="00122F35"/>
    <w:rsid w:val="00127B53"/>
    <w:rsid w:val="00133931"/>
    <w:rsid w:val="00136E70"/>
    <w:rsid w:val="00140671"/>
    <w:rsid w:val="00143B2A"/>
    <w:rsid w:val="0014787E"/>
    <w:rsid w:val="00151526"/>
    <w:rsid w:val="00157695"/>
    <w:rsid w:val="001641B4"/>
    <w:rsid w:val="00166092"/>
    <w:rsid w:val="00171441"/>
    <w:rsid w:val="00171637"/>
    <w:rsid w:val="0017199B"/>
    <w:rsid w:val="00172B94"/>
    <w:rsid w:val="001741EE"/>
    <w:rsid w:val="00174FCE"/>
    <w:rsid w:val="001800C4"/>
    <w:rsid w:val="00181F26"/>
    <w:rsid w:val="00181F36"/>
    <w:rsid w:val="00184014"/>
    <w:rsid w:val="001858C3"/>
    <w:rsid w:val="00187357"/>
    <w:rsid w:val="0019035E"/>
    <w:rsid w:val="001914AE"/>
    <w:rsid w:val="00192BB5"/>
    <w:rsid w:val="001A0EBF"/>
    <w:rsid w:val="001A59B8"/>
    <w:rsid w:val="001A5BFB"/>
    <w:rsid w:val="001A6589"/>
    <w:rsid w:val="001D1F28"/>
    <w:rsid w:val="001D3744"/>
    <w:rsid w:val="001D507A"/>
    <w:rsid w:val="001D6732"/>
    <w:rsid w:val="001D7B14"/>
    <w:rsid w:val="001E0BB0"/>
    <w:rsid w:val="001F3475"/>
    <w:rsid w:val="00203B9F"/>
    <w:rsid w:val="0020549B"/>
    <w:rsid w:val="00205B4E"/>
    <w:rsid w:val="00206A0A"/>
    <w:rsid w:val="0020739E"/>
    <w:rsid w:val="002102B8"/>
    <w:rsid w:val="002113CF"/>
    <w:rsid w:val="00213DA6"/>
    <w:rsid w:val="00214096"/>
    <w:rsid w:val="00216302"/>
    <w:rsid w:val="00216BA5"/>
    <w:rsid w:val="00220E43"/>
    <w:rsid w:val="002210AB"/>
    <w:rsid w:val="002211E1"/>
    <w:rsid w:val="00226D09"/>
    <w:rsid w:val="00227091"/>
    <w:rsid w:val="00231743"/>
    <w:rsid w:val="002320BE"/>
    <w:rsid w:val="002429B7"/>
    <w:rsid w:val="00244462"/>
    <w:rsid w:val="00245A2B"/>
    <w:rsid w:val="0024715B"/>
    <w:rsid w:val="00247D40"/>
    <w:rsid w:val="002500A4"/>
    <w:rsid w:val="0025279F"/>
    <w:rsid w:val="00255302"/>
    <w:rsid w:val="00255461"/>
    <w:rsid w:val="00255526"/>
    <w:rsid w:val="00262613"/>
    <w:rsid w:val="00262701"/>
    <w:rsid w:val="0026539A"/>
    <w:rsid w:val="0027234F"/>
    <w:rsid w:val="00276B90"/>
    <w:rsid w:val="002808B0"/>
    <w:rsid w:val="00280CD1"/>
    <w:rsid w:val="00281997"/>
    <w:rsid w:val="00281D24"/>
    <w:rsid w:val="0028732C"/>
    <w:rsid w:val="00290816"/>
    <w:rsid w:val="00292463"/>
    <w:rsid w:val="00293853"/>
    <w:rsid w:val="00294C45"/>
    <w:rsid w:val="002A3CE0"/>
    <w:rsid w:val="002A61D0"/>
    <w:rsid w:val="002A79B1"/>
    <w:rsid w:val="002B1077"/>
    <w:rsid w:val="002B1746"/>
    <w:rsid w:val="002B5F5A"/>
    <w:rsid w:val="002B6F00"/>
    <w:rsid w:val="002D1C62"/>
    <w:rsid w:val="002D2C62"/>
    <w:rsid w:val="002D4A6A"/>
    <w:rsid w:val="002D6C35"/>
    <w:rsid w:val="002E3E48"/>
    <w:rsid w:val="002E42A3"/>
    <w:rsid w:val="002F520E"/>
    <w:rsid w:val="002F59B8"/>
    <w:rsid w:val="002F672B"/>
    <w:rsid w:val="003064E6"/>
    <w:rsid w:val="0030780E"/>
    <w:rsid w:val="0031081F"/>
    <w:rsid w:val="00310B41"/>
    <w:rsid w:val="00312697"/>
    <w:rsid w:val="00315AB1"/>
    <w:rsid w:val="00317D0D"/>
    <w:rsid w:val="00321DDE"/>
    <w:rsid w:val="00321F86"/>
    <w:rsid w:val="003255B4"/>
    <w:rsid w:val="003307B5"/>
    <w:rsid w:val="003339E6"/>
    <w:rsid w:val="003507F6"/>
    <w:rsid w:val="00353407"/>
    <w:rsid w:val="00354307"/>
    <w:rsid w:val="00354D7A"/>
    <w:rsid w:val="00354EC2"/>
    <w:rsid w:val="0036082A"/>
    <w:rsid w:val="00364132"/>
    <w:rsid w:val="00364EA4"/>
    <w:rsid w:val="0037574C"/>
    <w:rsid w:val="00391321"/>
    <w:rsid w:val="00395070"/>
    <w:rsid w:val="003A4C7B"/>
    <w:rsid w:val="003B2B0C"/>
    <w:rsid w:val="003B6AE4"/>
    <w:rsid w:val="003C017F"/>
    <w:rsid w:val="003C1642"/>
    <w:rsid w:val="003C3E1F"/>
    <w:rsid w:val="003C45A2"/>
    <w:rsid w:val="003C6B08"/>
    <w:rsid w:val="003C791D"/>
    <w:rsid w:val="003D00C3"/>
    <w:rsid w:val="003D12D8"/>
    <w:rsid w:val="003D34DA"/>
    <w:rsid w:val="003D6C3F"/>
    <w:rsid w:val="003E03A7"/>
    <w:rsid w:val="003E1853"/>
    <w:rsid w:val="003E5BF6"/>
    <w:rsid w:val="003E5D5F"/>
    <w:rsid w:val="003E6E47"/>
    <w:rsid w:val="003F11EA"/>
    <w:rsid w:val="003F2662"/>
    <w:rsid w:val="003F2F16"/>
    <w:rsid w:val="003F4442"/>
    <w:rsid w:val="003F7A15"/>
    <w:rsid w:val="004042C1"/>
    <w:rsid w:val="00404C1C"/>
    <w:rsid w:val="00406500"/>
    <w:rsid w:val="00413D2D"/>
    <w:rsid w:val="00414E8A"/>
    <w:rsid w:val="00416C6F"/>
    <w:rsid w:val="0041767D"/>
    <w:rsid w:val="004202A0"/>
    <w:rsid w:val="004227ED"/>
    <w:rsid w:val="004270B4"/>
    <w:rsid w:val="00430DB4"/>
    <w:rsid w:val="00431960"/>
    <w:rsid w:val="00443BF1"/>
    <w:rsid w:val="00445BCE"/>
    <w:rsid w:val="004472BF"/>
    <w:rsid w:val="00454F25"/>
    <w:rsid w:val="00456496"/>
    <w:rsid w:val="004565C7"/>
    <w:rsid w:val="00460E74"/>
    <w:rsid w:val="004646A3"/>
    <w:rsid w:val="00465012"/>
    <w:rsid w:val="00472A1E"/>
    <w:rsid w:val="004771BA"/>
    <w:rsid w:val="004821D3"/>
    <w:rsid w:val="00486DB9"/>
    <w:rsid w:val="00490FF1"/>
    <w:rsid w:val="004A1C4A"/>
    <w:rsid w:val="004A1DD6"/>
    <w:rsid w:val="004A3675"/>
    <w:rsid w:val="004A3E83"/>
    <w:rsid w:val="004A6542"/>
    <w:rsid w:val="004B4E33"/>
    <w:rsid w:val="004B6223"/>
    <w:rsid w:val="004C0AC6"/>
    <w:rsid w:val="004C1D2E"/>
    <w:rsid w:val="004C79A5"/>
    <w:rsid w:val="004D242F"/>
    <w:rsid w:val="004E0BDF"/>
    <w:rsid w:val="004E4338"/>
    <w:rsid w:val="004E4417"/>
    <w:rsid w:val="004E590F"/>
    <w:rsid w:val="004E5E76"/>
    <w:rsid w:val="004F24C1"/>
    <w:rsid w:val="004F42D3"/>
    <w:rsid w:val="00500F48"/>
    <w:rsid w:val="0050110E"/>
    <w:rsid w:val="00505D2D"/>
    <w:rsid w:val="0050684B"/>
    <w:rsid w:val="00511731"/>
    <w:rsid w:val="00514E7F"/>
    <w:rsid w:val="00517588"/>
    <w:rsid w:val="005242C8"/>
    <w:rsid w:val="00526DA9"/>
    <w:rsid w:val="00526DF4"/>
    <w:rsid w:val="00533524"/>
    <w:rsid w:val="0053361C"/>
    <w:rsid w:val="0053383F"/>
    <w:rsid w:val="00533E65"/>
    <w:rsid w:val="0053436D"/>
    <w:rsid w:val="00534B62"/>
    <w:rsid w:val="005367FA"/>
    <w:rsid w:val="00541DA4"/>
    <w:rsid w:val="005449C8"/>
    <w:rsid w:val="00545472"/>
    <w:rsid w:val="00546271"/>
    <w:rsid w:val="00556685"/>
    <w:rsid w:val="005570DF"/>
    <w:rsid w:val="00560FC4"/>
    <w:rsid w:val="00562C24"/>
    <w:rsid w:val="00566185"/>
    <w:rsid w:val="0056681E"/>
    <w:rsid w:val="005704AC"/>
    <w:rsid w:val="00570A0B"/>
    <w:rsid w:val="00572918"/>
    <w:rsid w:val="005729BE"/>
    <w:rsid w:val="00572AA9"/>
    <w:rsid w:val="00573FC5"/>
    <w:rsid w:val="00575A85"/>
    <w:rsid w:val="005761A6"/>
    <w:rsid w:val="00577953"/>
    <w:rsid w:val="00580E0B"/>
    <w:rsid w:val="00584F0B"/>
    <w:rsid w:val="00587383"/>
    <w:rsid w:val="0058773F"/>
    <w:rsid w:val="005905D1"/>
    <w:rsid w:val="00590930"/>
    <w:rsid w:val="00595906"/>
    <w:rsid w:val="005A2AF9"/>
    <w:rsid w:val="005A368A"/>
    <w:rsid w:val="005A5B8F"/>
    <w:rsid w:val="005A6A67"/>
    <w:rsid w:val="005B11F9"/>
    <w:rsid w:val="005B1AF2"/>
    <w:rsid w:val="005B2305"/>
    <w:rsid w:val="005B2CAF"/>
    <w:rsid w:val="005B3EB7"/>
    <w:rsid w:val="005B590B"/>
    <w:rsid w:val="005B64D9"/>
    <w:rsid w:val="005C1F3D"/>
    <w:rsid w:val="005C7E68"/>
    <w:rsid w:val="005D2BBA"/>
    <w:rsid w:val="005D6239"/>
    <w:rsid w:val="005E08F1"/>
    <w:rsid w:val="005E4838"/>
    <w:rsid w:val="005E7975"/>
    <w:rsid w:val="005F065B"/>
    <w:rsid w:val="005F085A"/>
    <w:rsid w:val="005F31B9"/>
    <w:rsid w:val="005F61FB"/>
    <w:rsid w:val="005F6B85"/>
    <w:rsid w:val="006024AC"/>
    <w:rsid w:val="00604530"/>
    <w:rsid w:val="00607D67"/>
    <w:rsid w:val="00611C56"/>
    <w:rsid w:val="00614354"/>
    <w:rsid w:val="006207F6"/>
    <w:rsid w:val="00620C8C"/>
    <w:rsid w:val="0062114A"/>
    <w:rsid w:val="00621E01"/>
    <w:rsid w:val="00622A3A"/>
    <w:rsid w:val="0062455F"/>
    <w:rsid w:val="006251D3"/>
    <w:rsid w:val="006259E3"/>
    <w:rsid w:val="0062602B"/>
    <w:rsid w:val="0063086B"/>
    <w:rsid w:val="00631D73"/>
    <w:rsid w:val="006377AF"/>
    <w:rsid w:val="00640869"/>
    <w:rsid w:val="00641890"/>
    <w:rsid w:val="006442D2"/>
    <w:rsid w:val="006450D4"/>
    <w:rsid w:val="0064545B"/>
    <w:rsid w:val="00647BD7"/>
    <w:rsid w:val="00650786"/>
    <w:rsid w:val="00651AC6"/>
    <w:rsid w:val="00657245"/>
    <w:rsid w:val="00670F00"/>
    <w:rsid w:val="00675A69"/>
    <w:rsid w:val="006772BD"/>
    <w:rsid w:val="006776D7"/>
    <w:rsid w:val="006779DF"/>
    <w:rsid w:val="0068582F"/>
    <w:rsid w:val="00685DC9"/>
    <w:rsid w:val="00685F49"/>
    <w:rsid w:val="00686763"/>
    <w:rsid w:val="00690E6A"/>
    <w:rsid w:val="006954D3"/>
    <w:rsid w:val="0069734B"/>
    <w:rsid w:val="00697981"/>
    <w:rsid w:val="00697D77"/>
    <w:rsid w:val="00697D8A"/>
    <w:rsid w:val="00697EB0"/>
    <w:rsid w:val="006A39FA"/>
    <w:rsid w:val="006B0059"/>
    <w:rsid w:val="006B17AC"/>
    <w:rsid w:val="006B1D6B"/>
    <w:rsid w:val="006B2D6D"/>
    <w:rsid w:val="006B36FC"/>
    <w:rsid w:val="006B644E"/>
    <w:rsid w:val="006C165E"/>
    <w:rsid w:val="006C16B5"/>
    <w:rsid w:val="006C28FD"/>
    <w:rsid w:val="006C5742"/>
    <w:rsid w:val="006C65BE"/>
    <w:rsid w:val="006C6960"/>
    <w:rsid w:val="006D1288"/>
    <w:rsid w:val="006D2FE5"/>
    <w:rsid w:val="006E66FB"/>
    <w:rsid w:val="006E78E9"/>
    <w:rsid w:val="006F0648"/>
    <w:rsid w:val="006F1C87"/>
    <w:rsid w:val="006F50F6"/>
    <w:rsid w:val="006F5547"/>
    <w:rsid w:val="006F7349"/>
    <w:rsid w:val="0070040B"/>
    <w:rsid w:val="0070252A"/>
    <w:rsid w:val="00703C88"/>
    <w:rsid w:val="00706656"/>
    <w:rsid w:val="00706A3C"/>
    <w:rsid w:val="007120E0"/>
    <w:rsid w:val="00716260"/>
    <w:rsid w:val="0072030F"/>
    <w:rsid w:val="007217DD"/>
    <w:rsid w:val="00721EE1"/>
    <w:rsid w:val="0072218B"/>
    <w:rsid w:val="0072352D"/>
    <w:rsid w:val="00724D6D"/>
    <w:rsid w:val="0072508E"/>
    <w:rsid w:val="0072685E"/>
    <w:rsid w:val="00727545"/>
    <w:rsid w:val="00730667"/>
    <w:rsid w:val="00732AD6"/>
    <w:rsid w:val="00733629"/>
    <w:rsid w:val="00740D68"/>
    <w:rsid w:val="00744CC9"/>
    <w:rsid w:val="007466AE"/>
    <w:rsid w:val="007525AF"/>
    <w:rsid w:val="00753718"/>
    <w:rsid w:val="00755534"/>
    <w:rsid w:val="0075765C"/>
    <w:rsid w:val="007601A2"/>
    <w:rsid w:val="0076153C"/>
    <w:rsid w:val="00765A10"/>
    <w:rsid w:val="00766C44"/>
    <w:rsid w:val="00770A9A"/>
    <w:rsid w:val="00771F66"/>
    <w:rsid w:val="00772AC5"/>
    <w:rsid w:val="007739A2"/>
    <w:rsid w:val="00775D48"/>
    <w:rsid w:val="00777876"/>
    <w:rsid w:val="007814CC"/>
    <w:rsid w:val="00792341"/>
    <w:rsid w:val="00792A3F"/>
    <w:rsid w:val="00793C8A"/>
    <w:rsid w:val="007A63EA"/>
    <w:rsid w:val="007B1FBC"/>
    <w:rsid w:val="007B201A"/>
    <w:rsid w:val="007B3743"/>
    <w:rsid w:val="007B5CF0"/>
    <w:rsid w:val="007B690D"/>
    <w:rsid w:val="007B6F69"/>
    <w:rsid w:val="007B70BA"/>
    <w:rsid w:val="007B78CD"/>
    <w:rsid w:val="007C06F5"/>
    <w:rsid w:val="007C0FA9"/>
    <w:rsid w:val="007C1CB4"/>
    <w:rsid w:val="007C2BCF"/>
    <w:rsid w:val="007C31B8"/>
    <w:rsid w:val="007C44FC"/>
    <w:rsid w:val="007D4156"/>
    <w:rsid w:val="007D61DF"/>
    <w:rsid w:val="007E3F75"/>
    <w:rsid w:val="007F212B"/>
    <w:rsid w:val="007F4793"/>
    <w:rsid w:val="0080498F"/>
    <w:rsid w:val="00805055"/>
    <w:rsid w:val="0080509F"/>
    <w:rsid w:val="00806B50"/>
    <w:rsid w:val="00812097"/>
    <w:rsid w:val="00812131"/>
    <w:rsid w:val="00812BF8"/>
    <w:rsid w:val="00816835"/>
    <w:rsid w:val="00816B8C"/>
    <w:rsid w:val="00820FA3"/>
    <w:rsid w:val="00821A10"/>
    <w:rsid w:val="008232AB"/>
    <w:rsid w:val="00824074"/>
    <w:rsid w:val="008304FE"/>
    <w:rsid w:val="00835195"/>
    <w:rsid w:val="00837368"/>
    <w:rsid w:val="008402F9"/>
    <w:rsid w:val="0084080E"/>
    <w:rsid w:val="008467B4"/>
    <w:rsid w:val="0085119E"/>
    <w:rsid w:val="00851C01"/>
    <w:rsid w:val="00851FDD"/>
    <w:rsid w:val="008527A0"/>
    <w:rsid w:val="00854206"/>
    <w:rsid w:val="00854525"/>
    <w:rsid w:val="00854658"/>
    <w:rsid w:val="008560EE"/>
    <w:rsid w:val="00856892"/>
    <w:rsid w:val="008570B9"/>
    <w:rsid w:val="00860654"/>
    <w:rsid w:val="008621FD"/>
    <w:rsid w:val="0086480E"/>
    <w:rsid w:val="00864A89"/>
    <w:rsid w:val="008664D5"/>
    <w:rsid w:val="00871E44"/>
    <w:rsid w:val="00872138"/>
    <w:rsid w:val="008749D5"/>
    <w:rsid w:val="00876F94"/>
    <w:rsid w:val="00886946"/>
    <w:rsid w:val="0089060C"/>
    <w:rsid w:val="0089116F"/>
    <w:rsid w:val="00892557"/>
    <w:rsid w:val="00897292"/>
    <w:rsid w:val="008A083D"/>
    <w:rsid w:val="008A1821"/>
    <w:rsid w:val="008A1D54"/>
    <w:rsid w:val="008A69D8"/>
    <w:rsid w:val="008A6DDD"/>
    <w:rsid w:val="008A7964"/>
    <w:rsid w:val="008B0215"/>
    <w:rsid w:val="008B48C8"/>
    <w:rsid w:val="008C4B1D"/>
    <w:rsid w:val="008D0CC1"/>
    <w:rsid w:val="008D3A13"/>
    <w:rsid w:val="008D6AC4"/>
    <w:rsid w:val="008E1DE6"/>
    <w:rsid w:val="008E2BB4"/>
    <w:rsid w:val="008E674A"/>
    <w:rsid w:val="008E70B8"/>
    <w:rsid w:val="008F0B29"/>
    <w:rsid w:val="008F4789"/>
    <w:rsid w:val="008F5E31"/>
    <w:rsid w:val="00900EAE"/>
    <w:rsid w:val="00902415"/>
    <w:rsid w:val="009026E2"/>
    <w:rsid w:val="00903467"/>
    <w:rsid w:val="00903DEF"/>
    <w:rsid w:val="00905F2F"/>
    <w:rsid w:val="0090602D"/>
    <w:rsid w:val="00906EAA"/>
    <w:rsid w:val="00913BB2"/>
    <w:rsid w:val="00915084"/>
    <w:rsid w:val="0091615E"/>
    <w:rsid w:val="00916562"/>
    <w:rsid w:val="0091727A"/>
    <w:rsid w:val="00917663"/>
    <w:rsid w:val="00920275"/>
    <w:rsid w:val="00921325"/>
    <w:rsid w:val="00921FCE"/>
    <w:rsid w:val="00924BDF"/>
    <w:rsid w:val="00924EAC"/>
    <w:rsid w:val="009260EC"/>
    <w:rsid w:val="00927EC6"/>
    <w:rsid w:val="00933AC9"/>
    <w:rsid w:val="009366D0"/>
    <w:rsid w:val="00946B1B"/>
    <w:rsid w:val="00947473"/>
    <w:rsid w:val="009530C4"/>
    <w:rsid w:val="009677DD"/>
    <w:rsid w:val="00970DD2"/>
    <w:rsid w:val="00971966"/>
    <w:rsid w:val="00974750"/>
    <w:rsid w:val="00974924"/>
    <w:rsid w:val="00977A11"/>
    <w:rsid w:val="009816FA"/>
    <w:rsid w:val="00991938"/>
    <w:rsid w:val="00991B8D"/>
    <w:rsid w:val="00995B61"/>
    <w:rsid w:val="009A1579"/>
    <w:rsid w:val="009A49B6"/>
    <w:rsid w:val="009A79AB"/>
    <w:rsid w:val="009B3331"/>
    <w:rsid w:val="009C00B6"/>
    <w:rsid w:val="009C2371"/>
    <w:rsid w:val="009C7609"/>
    <w:rsid w:val="009C771A"/>
    <w:rsid w:val="009C7FED"/>
    <w:rsid w:val="009D15F1"/>
    <w:rsid w:val="009D1BAC"/>
    <w:rsid w:val="009D2266"/>
    <w:rsid w:val="009D2B10"/>
    <w:rsid w:val="009D327F"/>
    <w:rsid w:val="009D3417"/>
    <w:rsid w:val="009D59BD"/>
    <w:rsid w:val="009D5BFC"/>
    <w:rsid w:val="009D7938"/>
    <w:rsid w:val="009E1B8A"/>
    <w:rsid w:val="009E20F2"/>
    <w:rsid w:val="009E3D6F"/>
    <w:rsid w:val="009E6236"/>
    <w:rsid w:val="009E786D"/>
    <w:rsid w:val="009F0CBC"/>
    <w:rsid w:val="009F3CC9"/>
    <w:rsid w:val="00A03C03"/>
    <w:rsid w:val="00A054FE"/>
    <w:rsid w:val="00A07096"/>
    <w:rsid w:val="00A10A65"/>
    <w:rsid w:val="00A147CE"/>
    <w:rsid w:val="00A16CAD"/>
    <w:rsid w:val="00A31492"/>
    <w:rsid w:val="00A35350"/>
    <w:rsid w:val="00A35591"/>
    <w:rsid w:val="00A424B3"/>
    <w:rsid w:val="00A43666"/>
    <w:rsid w:val="00A43896"/>
    <w:rsid w:val="00A44DFF"/>
    <w:rsid w:val="00A47946"/>
    <w:rsid w:val="00A515BA"/>
    <w:rsid w:val="00A52B3B"/>
    <w:rsid w:val="00A53041"/>
    <w:rsid w:val="00A53416"/>
    <w:rsid w:val="00A5357B"/>
    <w:rsid w:val="00A549BA"/>
    <w:rsid w:val="00A600CE"/>
    <w:rsid w:val="00A60539"/>
    <w:rsid w:val="00A6244E"/>
    <w:rsid w:val="00A635B9"/>
    <w:rsid w:val="00A67723"/>
    <w:rsid w:val="00A724A2"/>
    <w:rsid w:val="00A72A32"/>
    <w:rsid w:val="00A74577"/>
    <w:rsid w:val="00A82A06"/>
    <w:rsid w:val="00A82D36"/>
    <w:rsid w:val="00A87F0D"/>
    <w:rsid w:val="00A92768"/>
    <w:rsid w:val="00A92C82"/>
    <w:rsid w:val="00A93E01"/>
    <w:rsid w:val="00A93EC0"/>
    <w:rsid w:val="00A94EB2"/>
    <w:rsid w:val="00A95E11"/>
    <w:rsid w:val="00A970B1"/>
    <w:rsid w:val="00A97F5D"/>
    <w:rsid w:val="00AA0ECE"/>
    <w:rsid w:val="00AA1B38"/>
    <w:rsid w:val="00AA38C7"/>
    <w:rsid w:val="00AA733C"/>
    <w:rsid w:val="00AB59C2"/>
    <w:rsid w:val="00AC35A0"/>
    <w:rsid w:val="00AC5B67"/>
    <w:rsid w:val="00AC66CF"/>
    <w:rsid w:val="00AC6C15"/>
    <w:rsid w:val="00AD0696"/>
    <w:rsid w:val="00AD184E"/>
    <w:rsid w:val="00AD24B4"/>
    <w:rsid w:val="00AE0F2C"/>
    <w:rsid w:val="00AE18CB"/>
    <w:rsid w:val="00AE22B8"/>
    <w:rsid w:val="00AE2405"/>
    <w:rsid w:val="00AE2C98"/>
    <w:rsid w:val="00AE3262"/>
    <w:rsid w:val="00AF171C"/>
    <w:rsid w:val="00AF21B6"/>
    <w:rsid w:val="00AF7954"/>
    <w:rsid w:val="00B009E0"/>
    <w:rsid w:val="00B0242D"/>
    <w:rsid w:val="00B04B29"/>
    <w:rsid w:val="00B05301"/>
    <w:rsid w:val="00B07E42"/>
    <w:rsid w:val="00B12D49"/>
    <w:rsid w:val="00B13389"/>
    <w:rsid w:val="00B14727"/>
    <w:rsid w:val="00B16ED1"/>
    <w:rsid w:val="00B25EC7"/>
    <w:rsid w:val="00B34153"/>
    <w:rsid w:val="00B376AE"/>
    <w:rsid w:val="00B41635"/>
    <w:rsid w:val="00B45FEA"/>
    <w:rsid w:val="00B46497"/>
    <w:rsid w:val="00B471AB"/>
    <w:rsid w:val="00B47E7F"/>
    <w:rsid w:val="00B5357A"/>
    <w:rsid w:val="00B550F6"/>
    <w:rsid w:val="00B57241"/>
    <w:rsid w:val="00B6036B"/>
    <w:rsid w:val="00B606E3"/>
    <w:rsid w:val="00B67652"/>
    <w:rsid w:val="00B7268A"/>
    <w:rsid w:val="00B82553"/>
    <w:rsid w:val="00B82F4B"/>
    <w:rsid w:val="00B84B7F"/>
    <w:rsid w:val="00B84D09"/>
    <w:rsid w:val="00B863BD"/>
    <w:rsid w:val="00B93EC0"/>
    <w:rsid w:val="00B95BAB"/>
    <w:rsid w:val="00B96442"/>
    <w:rsid w:val="00B96FB0"/>
    <w:rsid w:val="00B9730B"/>
    <w:rsid w:val="00BA07A5"/>
    <w:rsid w:val="00BA0CDE"/>
    <w:rsid w:val="00BA317D"/>
    <w:rsid w:val="00BB0D9B"/>
    <w:rsid w:val="00BB3BB0"/>
    <w:rsid w:val="00BB5D8C"/>
    <w:rsid w:val="00BB77C5"/>
    <w:rsid w:val="00BC50E2"/>
    <w:rsid w:val="00BC5B09"/>
    <w:rsid w:val="00BC5DF1"/>
    <w:rsid w:val="00BC79BE"/>
    <w:rsid w:val="00BE2A73"/>
    <w:rsid w:val="00BE3845"/>
    <w:rsid w:val="00BE3E51"/>
    <w:rsid w:val="00BF3ED0"/>
    <w:rsid w:val="00C01015"/>
    <w:rsid w:val="00C0235A"/>
    <w:rsid w:val="00C04909"/>
    <w:rsid w:val="00C05CA4"/>
    <w:rsid w:val="00C1076C"/>
    <w:rsid w:val="00C114EB"/>
    <w:rsid w:val="00C142DF"/>
    <w:rsid w:val="00C148CF"/>
    <w:rsid w:val="00C159D2"/>
    <w:rsid w:val="00C22178"/>
    <w:rsid w:val="00C24EE2"/>
    <w:rsid w:val="00C24F5F"/>
    <w:rsid w:val="00C27C10"/>
    <w:rsid w:val="00C307F6"/>
    <w:rsid w:val="00C31825"/>
    <w:rsid w:val="00C32537"/>
    <w:rsid w:val="00C3283B"/>
    <w:rsid w:val="00C415DA"/>
    <w:rsid w:val="00C4210B"/>
    <w:rsid w:val="00C4612C"/>
    <w:rsid w:val="00C463E3"/>
    <w:rsid w:val="00C46957"/>
    <w:rsid w:val="00C5215F"/>
    <w:rsid w:val="00C55ACA"/>
    <w:rsid w:val="00C60524"/>
    <w:rsid w:val="00C617EC"/>
    <w:rsid w:val="00C63713"/>
    <w:rsid w:val="00C64F49"/>
    <w:rsid w:val="00C6670A"/>
    <w:rsid w:val="00C672BB"/>
    <w:rsid w:val="00C6787C"/>
    <w:rsid w:val="00C67C42"/>
    <w:rsid w:val="00C709E0"/>
    <w:rsid w:val="00C7239B"/>
    <w:rsid w:val="00C7355B"/>
    <w:rsid w:val="00C73633"/>
    <w:rsid w:val="00C80364"/>
    <w:rsid w:val="00C82821"/>
    <w:rsid w:val="00C84E7E"/>
    <w:rsid w:val="00C90456"/>
    <w:rsid w:val="00C93D3A"/>
    <w:rsid w:val="00C93F62"/>
    <w:rsid w:val="00C97D4A"/>
    <w:rsid w:val="00CA1086"/>
    <w:rsid w:val="00CA141B"/>
    <w:rsid w:val="00CA1948"/>
    <w:rsid w:val="00CA4FEC"/>
    <w:rsid w:val="00CA5F93"/>
    <w:rsid w:val="00CA6114"/>
    <w:rsid w:val="00CB0286"/>
    <w:rsid w:val="00CB1ACF"/>
    <w:rsid w:val="00CB386A"/>
    <w:rsid w:val="00CB4A28"/>
    <w:rsid w:val="00CB5B98"/>
    <w:rsid w:val="00CC29C5"/>
    <w:rsid w:val="00CC53B8"/>
    <w:rsid w:val="00CC5800"/>
    <w:rsid w:val="00CD3435"/>
    <w:rsid w:val="00CD4C92"/>
    <w:rsid w:val="00CD52BB"/>
    <w:rsid w:val="00CF0543"/>
    <w:rsid w:val="00CF072E"/>
    <w:rsid w:val="00CF0D6F"/>
    <w:rsid w:val="00CF267E"/>
    <w:rsid w:val="00CF2F92"/>
    <w:rsid w:val="00CF52BC"/>
    <w:rsid w:val="00CF7665"/>
    <w:rsid w:val="00D01959"/>
    <w:rsid w:val="00D11262"/>
    <w:rsid w:val="00D1294B"/>
    <w:rsid w:val="00D12F30"/>
    <w:rsid w:val="00D14401"/>
    <w:rsid w:val="00D146C5"/>
    <w:rsid w:val="00D14D0B"/>
    <w:rsid w:val="00D168F0"/>
    <w:rsid w:val="00D20F0B"/>
    <w:rsid w:val="00D23CAB"/>
    <w:rsid w:val="00D2780A"/>
    <w:rsid w:val="00D31036"/>
    <w:rsid w:val="00D32E3D"/>
    <w:rsid w:val="00D34EA0"/>
    <w:rsid w:val="00D35846"/>
    <w:rsid w:val="00D37D18"/>
    <w:rsid w:val="00D40D87"/>
    <w:rsid w:val="00D45FDC"/>
    <w:rsid w:val="00D5146B"/>
    <w:rsid w:val="00D53161"/>
    <w:rsid w:val="00D53CF1"/>
    <w:rsid w:val="00D55DC3"/>
    <w:rsid w:val="00D611B8"/>
    <w:rsid w:val="00D650B9"/>
    <w:rsid w:val="00D65260"/>
    <w:rsid w:val="00D66577"/>
    <w:rsid w:val="00D66CB2"/>
    <w:rsid w:val="00D731AE"/>
    <w:rsid w:val="00D73FF4"/>
    <w:rsid w:val="00D749BE"/>
    <w:rsid w:val="00D77042"/>
    <w:rsid w:val="00D8144E"/>
    <w:rsid w:val="00D81D60"/>
    <w:rsid w:val="00D8207A"/>
    <w:rsid w:val="00D836AA"/>
    <w:rsid w:val="00D83F62"/>
    <w:rsid w:val="00D84B72"/>
    <w:rsid w:val="00D8664E"/>
    <w:rsid w:val="00D877AE"/>
    <w:rsid w:val="00D9114E"/>
    <w:rsid w:val="00D917C3"/>
    <w:rsid w:val="00D941BF"/>
    <w:rsid w:val="00DA2515"/>
    <w:rsid w:val="00DA3C4F"/>
    <w:rsid w:val="00DA5EF1"/>
    <w:rsid w:val="00DB01CC"/>
    <w:rsid w:val="00DB0B78"/>
    <w:rsid w:val="00DB46EE"/>
    <w:rsid w:val="00DB7351"/>
    <w:rsid w:val="00DC1488"/>
    <w:rsid w:val="00DC1C55"/>
    <w:rsid w:val="00DC6482"/>
    <w:rsid w:val="00DD2062"/>
    <w:rsid w:val="00DD2B10"/>
    <w:rsid w:val="00DD3E6E"/>
    <w:rsid w:val="00DD7526"/>
    <w:rsid w:val="00DE62EB"/>
    <w:rsid w:val="00DE7749"/>
    <w:rsid w:val="00DF4945"/>
    <w:rsid w:val="00DF6AF1"/>
    <w:rsid w:val="00DF6F16"/>
    <w:rsid w:val="00E02EA3"/>
    <w:rsid w:val="00E044E1"/>
    <w:rsid w:val="00E05066"/>
    <w:rsid w:val="00E107D2"/>
    <w:rsid w:val="00E1269C"/>
    <w:rsid w:val="00E1275F"/>
    <w:rsid w:val="00E13C0B"/>
    <w:rsid w:val="00E14FE1"/>
    <w:rsid w:val="00E20DE4"/>
    <w:rsid w:val="00E211AD"/>
    <w:rsid w:val="00E21354"/>
    <w:rsid w:val="00E21970"/>
    <w:rsid w:val="00E22EBA"/>
    <w:rsid w:val="00E2498E"/>
    <w:rsid w:val="00E24DDE"/>
    <w:rsid w:val="00E260A6"/>
    <w:rsid w:val="00E26639"/>
    <w:rsid w:val="00E31101"/>
    <w:rsid w:val="00E31D41"/>
    <w:rsid w:val="00E33383"/>
    <w:rsid w:val="00E41298"/>
    <w:rsid w:val="00E43018"/>
    <w:rsid w:val="00E47AAF"/>
    <w:rsid w:val="00E5605C"/>
    <w:rsid w:val="00E60EC2"/>
    <w:rsid w:val="00E61814"/>
    <w:rsid w:val="00E62167"/>
    <w:rsid w:val="00E671C3"/>
    <w:rsid w:val="00E67571"/>
    <w:rsid w:val="00E70C74"/>
    <w:rsid w:val="00E713A8"/>
    <w:rsid w:val="00E76D06"/>
    <w:rsid w:val="00E7763F"/>
    <w:rsid w:val="00E77BF3"/>
    <w:rsid w:val="00E852C4"/>
    <w:rsid w:val="00E90048"/>
    <w:rsid w:val="00E90142"/>
    <w:rsid w:val="00E9269E"/>
    <w:rsid w:val="00E947D3"/>
    <w:rsid w:val="00E95159"/>
    <w:rsid w:val="00E95C7E"/>
    <w:rsid w:val="00E96FD0"/>
    <w:rsid w:val="00E97CD4"/>
    <w:rsid w:val="00EA1544"/>
    <w:rsid w:val="00EA497B"/>
    <w:rsid w:val="00EA4F8B"/>
    <w:rsid w:val="00EA68D6"/>
    <w:rsid w:val="00EB1CAE"/>
    <w:rsid w:val="00EB3FEC"/>
    <w:rsid w:val="00EB4D3C"/>
    <w:rsid w:val="00EB6002"/>
    <w:rsid w:val="00EB605B"/>
    <w:rsid w:val="00EB6EF2"/>
    <w:rsid w:val="00EC0E5E"/>
    <w:rsid w:val="00EC1749"/>
    <w:rsid w:val="00EC1D5E"/>
    <w:rsid w:val="00EC2CE7"/>
    <w:rsid w:val="00EC48DC"/>
    <w:rsid w:val="00EC4995"/>
    <w:rsid w:val="00EC585B"/>
    <w:rsid w:val="00EC645B"/>
    <w:rsid w:val="00ED3ACF"/>
    <w:rsid w:val="00ED6F79"/>
    <w:rsid w:val="00EE50AD"/>
    <w:rsid w:val="00EE6D69"/>
    <w:rsid w:val="00EF4357"/>
    <w:rsid w:val="00EF4DCF"/>
    <w:rsid w:val="00EF56C2"/>
    <w:rsid w:val="00F048E5"/>
    <w:rsid w:val="00F0665B"/>
    <w:rsid w:val="00F06ED6"/>
    <w:rsid w:val="00F06EE8"/>
    <w:rsid w:val="00F07349"/>
    <w:rsid w:val="00F0766D"/>
    <w:rsid w:val="00F07AB8"/>
    <w:rsid w:val="00F1097F"/>
    <w:rsid w:val="00F13827"/>
    <w:rsid w:val="00F15E8E"/>
    <w:rsid w:val="00F167CA"/>
    <w:rsid w:val="00F16C62"/>
    <w:rsid w:val="00F20C1B"/>
    <w:rsid w:val="00F22AE5"/>
    <w:rsid w:val="00F36A88"/>
    <w:rsid w:val="00F4168D"/>
    <w:rsid w:val="00F44FB7"/>
    <w:rsid w:val="00F4501B"/>
    <w:rsid w:val="00F45C66"/>
    <w:rsid w:val="00F45EBC"/>
    <w:rsid w:val="00F5237A"/>
    <w:rsid w:val="00F52C43"/>
    <w:rsid w:val="00F5343B"/>
    <w:rsid w:val="00F5451F"/>
    <w:rsid w:val="00F556A8"/>
    <w:rsid w:val="00F60CC2"/>
    <w:rsid w:val="00F60D14"/>
    <w:rsid w:val="00F66B7A"/>
    <w:rsid w:val="00F67238"/>
    <w:rsid w:val="00F6760B"/>
    <w:rsid w:val="00F76FDF"/>
    <w:rsid w:val="00F87356"/>
    <w:rsid w:val="00F92261"/>
    <w:rsid w:val="00F926FD"/>
    <w:rsid w:val="00FA1EC8"/>
    <w:rsid w:val="00FA3A22"/>
    <w:rsid w:val="00FA67D9"/>
    <w:rsid w:val="00FA6C78"/>
    <w:rsid w:val="00FA7CCA"/>
    <w:rsid w:val="00FB192A"/>
    <w:rsid w:val="00FB1C9B"/>
    <w:rsid w:val="00FB21DB"/>
    <w:rsid w:val="00FB30A5"/>
    <w:rsid w:val="00FB6F4C"/>
    <w:rsid w:val="00FC0A71"/>
    <w:rsid w:val="00FC5155"/>
    <w:rsid w:val="00FD05C9"/>
    <w:rsid w:val="00FD0FDF"/>
    <w:rsid w:val="00FD46E5"/>
    <w:rsid w:val="00FD7334"/>
    <w:rsid w:val="00FD7661"/>
    <w:rsid w:val="00FE0978"/>
    <w:rsid w:val="00FE1013"/>
    <w:rsid w:val="00FE24E8"/>
    <w:rsid w:val="00FE25B1"/>
    <w:rsid w:val="00FE65B5"/>
    <w:rsid w:val="00FF13E6"/>
    <w:rsid w:val="00FF396A"/>
    <w:rsid w:val="00FF40EE"/>
    <w:rsid w:val="00FF59B0"/>
    <w:rsid w:val="00FF59D6"/>
    <w:rsid w:val="00FF73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5704AC"/>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317D0D"/>
    <w:pPr>
      <w:keepNext/>
      <w:keepLines/>
      <w:pBdr>
        <w:bottom w:val="single" w:sz="4" w:space="1" w:color="121F6B"/>
      </w:pBdr>
      <w:spacing w:before="360" w:after="240"/>
      <w:ind w:right="-1440"/>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8E2BB4"/>
    <w:pPr>
      <w:spacing w:before="170" w:after="170" w:line="240" w:lineRule="auto"/>
      <w:outlineLvl w:val="1"/>
    </w:pPr>
    <w:rPr>
      <w:b/>
      <w:sz w:val="28"/>
    </w:rPr>
  </w:style>
  <w:style w:type="paragraph" w:styleId="Heading3">
    <w:name w:val="heading 3"/>
    <w:basedOn w:val="Normal"/>
    <w:next w:val="Normal"/>
    <w:link w:val="Heading3Char"/>
    <w:uiPriority w:val="99"/>
    <w:qFormat/>
    <w:rsid w:val="008E2BB4"/>
    <w:pPr>
      <w:keepNext/>
      <w:keepLines/>
      <w:spacing w:before="170" w:after="170"/>
      <w:outlineLvl w:val="2"/>
    </w:pPr>
    <w:rPr>
      <w:rFonts w:eastAsiaTheme="majorEastAsia"/>
      <w:b/>
      <w:bCs/>
      <w:kern w:val="0"/>
      <w:sz w:val="22"/>
      <w:szCs w:val="22"/>
      <w:lang w:val="en-NZ" w:eastAsia="en-AU"/>
    </w:rPr>
  </w:style>
  <w:style w:type="paragraph" w:styleId="Heading4">
    <w:name w:val="heading 4"/>
    <w:basedOn w:val="Normal"/>
    <w:next w:val="Normal"/>
    <w:link w:val="Heading4Char"/>
    <w:uiPriority w:val="99"/>
    <w:qFormat/>
    <w:rsid w:val="0058773F"/>
    <w:pPr>
      <w:keepNext/>
      <w:keepLines/>
      <w:spacing w:before="120"/>
      <w:outlineLvl w:val="3"/>
    </w:pPr>
    <w:rPr>
      <w:rFonts w:eastAsiaTheme="majorEastAsia" w:cs="Times New Roman"/>
      <w:b/>
      <w:bCs/>
      <w:iCs/>
      <w:color w:val="121F6B"/>
      <w:kern w:val="0"/>
      <w:szCs w:val="22"/>
      <w:lang w:val="en-NZ"/>
    </w:rPr>
  </w:style>
  <w:style w:type="paragraph" w:styleId="Heading5">
    <w:name w:val="heading 5"/>
    <w:basedOn w:val="Normal"/>
    <w:next w:val="Normal"/>
    <w:link w:val="Heading5Char"/>
    <w:uiPriority w:val="9"/>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7D0D"/>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8E2BB4"/>
    <w:rPr>
      <w:rFonts w:ascii="Verdana" w:hAnsi="Verdana" w:cs="Arial"/>
      <w:b/>
      <w:kern w:val="28"/>
      <w:sz w:val="28"/>
      <w:lang w:val="en-US"/>
    </w:rPr>
  </w:style>
  <w:style w:type="character" w:customStyle="1" w:styleId="Heading3Char">
    <w:name w:val="Heading 3 Char"/>
    <w:basedOn w:val="DefaultParagraphFont"/>
    <w:link w:val="Heading3"/>
    <w:uiPriority w:val="99"/>
    <w:rsid w:val="008E2BB4"/>
    <w:rPr>
      <w:rFonts w:ascii="Verdana" w:eastAsiaTheme="majorEastAsia" w:hAnsi="Verdana" w:cs="Arial"/>
      <w:b/>
      <w:bCs/>
      <w:sz w:val="22"/>
      <w:szCs w:val="22"/>
      <w:lang w:eastAsia="en-AU"/>
    </w:rPr>
  </w:style>
  <w:style w:type="character" w:customStyle="1" w:styleId="Heading4Char">
    <w:name w:val="Heading 4 Char"/>
    <w:basedOn w:val="DefaultParagraphFont"/>
    <w:link w:val="Heading4"/>
    <w:uiPriority w:val="99"/>
    <w:rsid w:val="0058773F"/>
    <w:rPr>
      <w:rFonts w:ascii="Verdana" w:eastAsiaTheme="majorEastAsia" w:hAnsi="Verdana"/>
      <w:b/>
      <w:bCs/>
      <w:iCs/>
      <w:color w:val="121F6B"/>
      <w:sz w:val="22"/>
      <w:szCs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8527A0"/>
    <w:pPr>
      <w:numPr>
        <w:numId w:val="9"/>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72218B"/>
    <w:pPr>
      <w:tabs>
        <w:tab w:val="right" w:leader="dot" w:pos="9016"/>
      </w:tabs>
      <w:spacing w:after="100"/>
    </w:pPr>
    <w:rPr>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5704AC"/>
    <w:pPr>
      <w:spacing w:after="60" w:line="240" w:lineRule="auto"/>
      <w:ind w:left="1134" w:hanging="1134"/>
    </w:pPr>
    <w:rPr>
      <w:b/>
      <w:bCs/>
      <w:color w:val="000000" w:themeColor="text1"/>
      <w:lang w:val="en-NZ"/>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styleId="BodyText">
    <w:name w:val="Body Text"/>
    <w:basedOn w:val="Normal"/>
    <w:link w:val="BodyTextChar"/>
    <w:unhideWhenUsed/>
    <w:rsid w:val="0020549B"/>
    <w:pPr>
      <w:suppressAutoHyphens/>
      <w:autoSpaceDE w:val="0"/>
      <w:autoSpaceDN w:val="0"/>
      <w:adjustRightInd w:val="0"/>
      <w:spacing w:line="320" w:lineRule="atLeast"/>
      <w:textAlignment w:val="center"/>
    </w:pPr>
    <w:rPr>
      <w:rFonts w:ascii="Arial" w:eastAsia="Times New Roman" w:hAnsi="Arial"/>
      <w:kern w:val="0"/>
      <w:sz w:val="24"/>
      <w:szCs w:val="22"/>
      <w:lang w:eastAsia="en-NZ"/>
    </w:rPr>
  </w:style>
  <w:style w:type="character" w:customStyle="1" w:styleId="BodyTextChar">
    <w:name w:val="Body Text Char"/>
    <w:basedOn w:val="DefaultParagraphFont"/>
    <w:link w:val="BodyText"/>
    <w:rsid w:val="0020549B"/>
    <w:rPr>
      <w:rFonts w:ascii="Arial" w:eastAsia="Times New Roman" w:hAnsi="Arial" w:cs="Arial"/>
      <w:sz w:val="24"/>
      <w:szCs w:val="22"/>
      <w:lang w:val="en-US" w:eastAsia="en-NZ"/>
    </w:rPr>
  </w:style>
  <w:style w:type="paragraph" w:customStyle="1" w:styleId="TableText">
    <w:name w:val="Table Text"/>
    <w:basedOn w:val="BodyText"/>
    <w:qFormat/>
    <w:rsid w:val="00C7355B"/>
    <w:pPr>
      <w:spacing w:before="60" w:after="60" w:line="288" w:lineRule="auto"/>
    </w:pPr>
    <w:rPr>
      <w:rFonts w:ascii="Verdana" w:hAnsi="Verdana"/>
      <w:sz w:val="20"/>
      <w:szCs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rsid w:val="0020549B"/>
    <w:pPr>
      <w:suppressAutoHyphens/>
      <w:autoSpaceDE w:val="0"/>
      <w:autoSpaceDN w:val="0"/>
      <w:adjustRightInd w:val="0"/>
      <w:spacing w:after="170" w:line="240" w:lineRule="auto"/>
      <w:ind w:left="227" w:hanging="227"/>
      <w:textAlignment w:val="center"/>
    </w:pPr>
    <w:rPr>
      <w:rFonts w:ascii="Arial" w:eastAsia="Times New Roman" w:hAnsi="Arial"/>
      <w:kern w:val="0"/>
      <w:sz w:val="16"/>
      <w:szCs w:val="24"/>
      <w:lang w:eastAsia="en-NZ"/>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20549B"/>
    <w:rPr>
      <w:rFonts w:ascii="Arial" w:eastAsia="Times New Roman" w:hAnsi="Arial" w:cs="Arial"/>
      <w:sz w:val="16"/>
      <w:szCs w:val="24"/>
      <w:lang w:val="en-US" w:eastAsia="en-NZ"/>
    </w:rPr>
  </w:style>
  <w:style w:type="character" w:styleId="FootnoteReference">
    <w:name w:val="footnote reference"/>
    <w:unhideWhenUsed/>
    <w:rsid w:val="0020549B"/>
    <w:rPr>
      <w:rFonts w:ascii="Arial" w:hAnsi="Arial" w:cs="Arial"/>
      <w:color w:val="auto"/>
      <w:sz w:val="22"/>
      <w:szCs w:val="16"/>
      <w:vertAlign w:val="superscript"/>
      <w:lang w:val="en-US"/>
    </w:rPr>
  </w:style>
  <w:style w:type="paragraph" w:customStyle="1" w:styleId="Introduction">
    <w:name w:val="Introduction"/>
    <w:basedOn w:val="Normal"/>
    <w:rsid w:val="0020549B"/>
    <w:pPr>
      <w:suppressAutoHyphens/>
      <w:autoSpaceDE w:val="0"/>
      <w:autoSpaceDN w:val="0"/>
      <w:adjustRightInd w:val="0"/>
      <w:spacing w:after="283" w:line="380" w:lineRule="atLeast"/>
      <w:textAlignment w:val="center"/>
    </w:pPr>
    <w:rPr>
      <w:rFonts w:ascii="Arial" w:eastAsia="Times New Roman" w:hAnsi="Arial"/>
      <w:bCs/>
      <w:color w:val="007073"/>
      <w:kern w:val="0"/>
      <w:sz w:val="30"/>
      <w:szCs w:val="26"/>
      <w:lang w:eastAsia="en-NZ"/>
    </w:rPr>
  </w:style>
  <w:style w:type="paragraph" w:customStyle="1" w:styleId="bullet10">
    <w:name w:val="bullet 1"/>
    <w:basedOn w:val="Normal"/>
    <w:rsid w:val="0020549B"/>
    <w:pPr>
      <w:numPr>
        <w:numId w:val="15"/>
      </w:numPr>
      <w:suppressAutoHyphens/>
      <w:autoSpaceDE w:val="0"/>
      <w:autoSpaceDN w:val="0"/>
      <w:adjustRightInd w:val="0"/>
      <w:spacing w:after="57" w:line="320" w:lineRule="atLeast"/>
      <w:ind w:left="357" w:hanging="357"/>
      <w:textAlignment w:val="center"/>
    </w:pPr>
    <w:rPr>
      <w:rFonts w:ascii="Arial" w:eastAsia="Times New Roman" w:hAnsi="Arial" w:cs="Arial (TT)"/>
      <w:kern w:val="0"/>
      <w:sz w:val="24"/>
      <w:szCs w:val="22"/>
      <w:lang w:eastAsia="en-NZ"/>
    </w:rPr>
  </w:style>
  <w:style w:type="paragraph" w:customStyle="1" w:styleId="Tableheading">
    <w:name w:val="Table heading"/>
    <w:basedOn w:val="BodyText"/>
    <w:rsid w:val="008527A0"/>
    <w:pPr>
      <w:spacing w:before="60" w:after="40" w:line="240" w:lineRule="auto"/>
    </w:pPr>
    <w:rPr>
      <w:b/>
      <w:sz w:val="20"/>
    </w:rPr>
  </w:style>
  <w:style w:type="character" w:styleId="Emphasis">
    <w:name w:val="Emphasis"/>
    <w:basedOn w:val="DefaultParagraphFont"/>
    <w:uiPriority w:val="20"/>
    <w:locked/>
    <w:rsid w:val="00206A0A"/>
    <w:rPr>
      <w:i/>
      <w:iCs/>
    </w:rPr>
  </w:style>
  <w:style w:type="character" w:styleId="IntenseEmphasis">
    <w:name w:val="Intense Emphasis"/>
    <w:basedOn w:val="DefaultParagraphFont"/>
    <w:uiPriority w:val="21"/>
    <w:rsid w:val="00206A0A"/>
    <w:rPr>
      <w:b/>
      <w:bCs/>
      <w:i/>
      <w:iCs/>
      <w:color w:val="4F81BD" w:themeColor="accent1"/>
    </w:rPr>
  </w:style>
  <w:style w:type="table" w:customStyle="1" w:styleId="MSD1">
    <w:name w:val="MSD1"/>
    <w:basedOn w:val="TableNormal"/>
    <w:uiPriority w:val="99"/>
    <w:rsid w:val="00262701"/>
    <w:pPr>
      <w:spacing w:before="60" w:after="60" w:line="288" w:lineRule="auto"/>
      <w:jc w:val="center"/>
    </w:pPr>
    <w:rPr>
      <w:rFonts w:ascii="Verdana" w:hAnsi="Verdana"/>
    </w:rPr>
    <w:tblPr>
      <w:tblStyleRowBandSize w:val="1"/>
      <w:tblStyleColBandSize w:val="1"/>
      <w:tblBorders>
        <w:bottom w:val="single" w:sz="4" w:space="0" w:color="121F6B"/>
        <w:insideV w:val="single" w:sz="4" w:space="0" w:color="121F6B"/>
      </w:tblBorders>
      <w:tblCellMar>
        <w:top w:w="57" w:type="dxa"/>
        <w:bottom w:w="57" w:type="dxa"/>
      </w:tblCellMar>
    </w:tblPr>
    <w:tcPr>
      <w:vAlign w:val="center"/>
    </w:tcPr>
    <w:tblStylePr w:type="firstRow">
      <w:pPr>
        <w:wordWrap/>
        <w:jc w:val="center"/>
      </w:pPr>
      <w:rPr>
        <w:rFonts w:ascii="Verdana" w:hAnsi="Verdana"/>
        <w:b/>
        <w:color w:val="FFFFFF"/>
        <w:sz w:val="22"/>
      </w:rPr>
      <w:tblPr/>
      <w:tcPr>
        <w:tcBorders>
          <w:bottom w:val="nil"/>
          <w:insideH w:val="nil"/>
          <w:insideV w:val="single" w:sz="8" w:space="0" w:color="FFFFFF" w:themeColor="background1"/>
        </w:tcBorders>
        <w:shd w:val="clear" w:color="auto" w:fill="121F6B"/>
      </w:tcPr>
    </w:tblStylePr>
    <w:tblStylePr w:type="firstCol">
      <w:pPr>
        <w:wordWrap/>
        <w:spacing w:line="288" w:lineRule="auto"/>
        <w:jc w:val="left"/>
      </w:pPr>
      <w:rPr>
        <w:rFonts w:ascii="Verdana" w:hAnsi="Verdana"/>
        <w:sz w:val="20"/>
      </w:rPr>
    </w:tblStylePr>
    <w:tblStylePr w:type="lastCol">
      <w:rPr>
        <w:rFonts w:ascii="Verdana" w:hAnsi="Verdana"/>
        <w:b/>
        <w:sz w:val="20"/>
      </w:rPr>
    </w:tblStylePr>
    <w:tblStylePr w:type="band1Vert">
      <w:rPr>
        <w:rFonts w:ascii="Verdana" w:hAnsi="Verdana"/>
        <w:sz w:val="22"/>
      </w:rPr>
    </w:tblStylePr>
    <w:tblStylePr w:type="band2Vert">
      <w:rPr>
        <w:rFonts w:ascii="Verdana" w:hAnsi="Verdana"/>
        <w:sz w:val="22"/>
      </w:rPr>
    </w:tblStylePr>
    <w:tblStylePr w:type="band2Horz">
      <w:rPr>
        <w:rFonts w:ascii="Verdana" w:hAnsi="Verdana"/>
        <w:sz w:val="22"/>
      </w:rPr>
      <w:tblPr/>
      <w:tcPr>
        <w:shd w:val="clear" w:color="auto" w:fill="D8DDF8"/>
      </w:tcPr>
    </w:tblStylePr>
    <w:tblStylePr w:type="nwCell">
      <w:pPr>
        <w:wordWrap/>
        <w:jc w:val="left"/>
      </w:pPr>
      <w:rPr>
        <w:rFonts w:ascii="Verdana" w:hAnsi="Verdana"/>
        <w:b/>
        <w:color w:val="FFFFFF"/>
        <w:sz w:val="22"/>
      </w:rPr>
    </w:tblStylePr>
  </w:style>
  <w:style w:type="paragraph" w:customStyle="1" w:styleId="Default">
    <w:name w:val="Default"/>
    <w:rsid w:val="00B34153"/>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rsid w:val="008A6DDD"/>
    <w:rPr>
      <w:sz w:val="16"/>
      <w:szCs w:val="16"/>
    </w:rPr>
  </w:style>
  <w:style w:type="paragraph" w:styleId="CommentText">
    <w:name w:val="annotation text"/>
    <w:basedOn w:val="Normal"/>
    <w:link w:val="CommentTextChar"/>
    <w:uiPriority w:val="99"/>
    <w:semiHidden/>
    <w:rsid w:val="008A6DDD"/>
    <w:pPr>
      <w:spacing w:line="240" w:lineRule="auto"/>
    </w:pPr>
  </w:style>
  <w:style w:type="character" w:customStyle="1" w:styleId="CommentTextChar">
    <w:name w:val="Comment Text Char"/>
    <w:basedOn w:val="DefaultParagraphFont"/>
    <w:link w:val="CommentText"/>
    <w:uiPriority w:val="99"/>
    <w:semiHidden/>
    <w:rsid w:val="008A6DDD"/>
    <w:rPr>
      <w:rFonts w:ascii="Verdana" w:hAnsi="Verdana" w:cs="Arial"/>
      <w:kern w:val="28"/>
      <w:lang w:val="en-US"/>
    </w:rPr>
  </w:style>
  <w:style w:type="paragraph" w:styleId="CommentSubject">
    <w:name w:val="annotation subject"/>
    <w:basedOn w:val="CommentText"/>
    <w:next w:val="CommentText"/>
    <w:link w:val="CommentSubjectChar"/>
    <w:uiPriority w:val="99"/>
    <w:semiHidden/>
    <w:rsid w:val="008A6DDD"/>
    <w:rPr>
      <w:b/>
      <w:bCs/>
    </w:rPr>
  </w:style>
  <w:style w:type="character" w:customStyle="1" w:styleId="CommentSubjectChar">
    <w:name w:val="Comment Subject Char"/>
    <w:basedOn w:val="CommentTextChar"/>
    <w:link w:val="CommentSubject"/>
    <w:uiPriority w:val="99"/>
    <w:semiHidden/>
    <w:rsid w:val="008A6DDD"/>
    <w:rPr>
      <w:rFonts w:ascii="Verdana" w:hAnsi="Verdana" w:cs="Arial"/>
      <w:b/>
      <w:bCs/>
      <w:kern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5704AC"/>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317D0D"/>
    <w:pPr>
      <w:keepNext/>
      <w:keepLines/>
      <w:pBdr>
        <w:bottom w:val="single" w:sz="4" w:space="1" w:color="121F6B"/>
      </w:pBdr>
      <w:spacing w:before="360" w:after="240"/>
      <w:ind w:right="-1440"/>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8E2BB4"/>
    <w:pPr>
      <w:spacing w:before="170" w:after="170" w:line="240" w:lineRule="auto"/>
      <w:outlineLvl w:val="1"/>
    </w:pPr>
    <w:rPr>
      <w:b/>
      <w:sz w:val="28"/>
    </w:rPr>
  </w:style>
  <w:style w:type="paragraph" w:styleId="Heading3">
    <w:name w:val="heading 3"/>
    <w:basedOn w:val="Normal"/>
    <w:next w:val="Normal"/>
    <w:link w:val="Heading3Char"/>
    <w:uiPriority w:val="99"/>
    <w:qFormat/>
    <w:rsid w:val="008E2BB4"/>
    <w:pPr>
      <w:keepNext/>
      <w:keepLines/>
      <w:spacing w:before="170" w:after="170"/>
      <w:outlineLvl w:val="2"/>
    </w:pPr>
    <w:rPr>
      <w:rFonts w:eastAsiaTheme="majorEastAsia"/>
      <w:b/>
      <w:bCs/>
      <w:kern w:val="0"/>
      <w:sz w:val="22"/>
      <w:szCs w:val="22"/>
      <w:lang w:val="en-NZ" w:eastAsia="en-AU"/>
    </w:rPr>
  </w:style>
  <w:style w:type="paragraph" w:styleId="Heading4">
    <w:name w:val="heading 4"/>
    <w:basedOn w:val="Normal"/>
    <w:next w:val="Normal"/>
    <w:link w:val="Heading4Char"/>
    <w:uiPriority w:val="99"/>
    <w:qFormat/>
    <w:rsid w:val="0058773F"/>
    <w:pPr>
      <w:keepNext/>
      <w:keepLines/>
      <w:spacing w:before="120"/>
      <w:outlineLvl w:val="3"/>
    </w:pPr>
    <w:rPr>
      <w:rFonts w:eastAsiaTheme="majorEastAsia" w:cs="Times New Roman"/>
      <w:b/>
      <w:bCs/>
      <w:iCs/>
      <w:color w:val="121F6B"/>
      <w:kern w:val="0"/>
      <w:szCs w:val="22"/>
      <w:lang w:val="en-NZ"/>
    </w:rPr>
  </w:style>
  <w:style w:type="paragraph" w:styleId="Heading5">
    <w:name w:val="heading 5"/>
    <w:basedOn w:val="Normal"/>
    <w:next w:val="Normal"/>
    <w:link w:val="Heading5Char"/>
    <w:uiPriority w:val="9"/>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7D0D"/>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8E2BB4"/>
    <w:rPr>
      <w:rFonts w:ascii="Verdana" w:hAnsi="Verdana" w:cs="Arial"/>
      <w:b/>
      <w:kern w:val="28"/>
      <w:sz w:val="28"/>
      <w:lang w:val="en-US"/>
    </w:rPr>
  </w:style>
  <w:style w:type="character" w:customStyle="1" w:styleId="Heading3Char">
    <w:name w:val="Heading 3 Char"/>
    <w:basedOn w:val="DefaultParagraphFont"/>
    <w:link w:val="Heading3"/>
    <w:uiPriority w:val="99"/>
    <w:rsid w:val="008E2BB4"/>
    <w:rPr>
      <w:rFonts w:ascii="Verdana" w:eastAsiaTheme="majorEastAsia" w:hAnsi="Verdana" w:cs="Arial"/>
      <w:b/>
      <w:bCs/>
      <w:sz w:val="22"/>
      <w:szCs w:val="22"/>
      <w:lang w:eastAsia="en-AU"/>
    </w:rPr>
  </w:style>
  <w:style w:type="character" w:customStyle="1" w:styleId="Heading4Char">
    <w:name w:val="Heading 4 Char"/>
    <w:basedOn w:val="DefaultParagraphFont"/>
    <w:link w:val="Heading4"/>
    <w:uiPriority w:val="99"/>
    <w:rsid w:val="0058773F"/>
    <w:rPr>
      <w:rFonts w:ascii="Verdana" w:eastAsiaTheme="majorEastAsia" w:hAnsi="Verdana"/>
      <w:b/>
      <w:bCs/>
      <w:iCs/>
      <w:color w:val="121F6B"/>
      <w:sz w:val="22"/>
      <w:szCs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8527A0"/>
    <w:pPr>
      <w:numPr>
        <w:numId w:val="9"/>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72218B"/>
    <w:pPr>
      <w:tabs>
        <w:tab w:val="right" w:leader="dot" w:pos="9016"/>
      </w:tabs>
      <w:spacing w:after="100"/>
    </w:pPr>
    <w:rPr>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5704AC"/>
    <w:pPr>
      <w:spacing w:after="60" w:line="240" w:lineRule="auto"/>
      <w:ind w:left="1134" w:hanging="1134"/>
    </w:pPr>
    <w:rPr>
      <w:b/>
      <w:bCs/>
      <w:color w:val="000000" w:themeColor="text1"/>
      <w:lang w:val="en-NZ"/>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styleId="BodyText">
    <w:name w:val="Body Text"/>
    <w:basedOn w:val="Normal"/>
    <w:link w:val="BodyTextChar"/>
    <w:unhideWhenUsed/>
    <w:rsid w:val="0020549B"/>
    <w:pPr>
      <w:suppressAutoHyphens/>
      <w:autoSpaceDE w:val="0"/>
      <w:autoSpaceDN w:val="0"/>
      <w:adjustRightInd w:val="0"/>
      <w:spacing w:line="320" w:lineRule="atLeast"/>
      <w:textAlignment w:val="center"/>
    </w:pPr>
    <w:rPr>
      <w:rFonts w:ascii="Arial" w:eastAsia="Times New Roman" w:hAnsi="Arial"/>
      <w:kern w:val="0"/>
      <w:sz w:val="24"/>
      <w:szCs w:val="22"/>
      <w:lang w:eastAsia="en-NZ"/>
    </w:rPr>
  </w:style>
  <w:style w:type="character" w:customStyle="1" w:styleId="BodyTextChar">
    <w:name w:val="Body Text Char"/>
    <w:basedOn w:val="DefaultParagraphFont"/>
    <w:link w:val="BodyText"/>
    <w:rsid w:val="0020549B"/>
    <w:rPr>
      <w:rFonts w:ascii="Arial" w:eastAsia="Times New Roman" w:hAnsi="Arial" w:cs="Arial"/>
      <w:sz w:val="24"/>
      <w:szCs w:val="22"/>
      <w:lang w:val="en-US" w:eastAsia="en-NZ"/>
    </w:rPr>
  </w:style>
  <w:style w:type="paragraph" w:customStyle="1" w:styleId="TableText">
    <w:name w:val="Table Text"/>
    <w:basedOn w:val="BodyText"/>
    <w:qFormat/>
    <w:rsid w:val="00C7355B"/>
    <w:pPr>
      <w:spacing w:before="60" w:after="60" w:line="288" w:lineRule="auto"/>
    </w:pPr>
    <w:rPr>
      <w:rFonts w:ascii="Verdana" w:hAnsi="Verdana"/>
      <w:sz w:val="20"/>
      <w:szCs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rsid w:val="0020549B"/>
    <w:pPr>
      <w:suppressAutoHyphens/>
      <w:autoSpaceDE w:val="0"/>
      <w:autoSpaceDN w:val="0"/>
      <w:adjustRightInd w:val="0"/>
      <w:spacing w:after="170" w:line="240" w:lineRule="auto"/>
      <w:ind w:left="227" w:hanging="227"/>
      <w:textAlignment w:val="center"/>
    </w:pPr>
    <w:rPr>
      <w:rFonts w:ascii="Arial" w:eastAsia="Times New Roman" w:hAnsi="Arial"/>
      <w:kern w:val="0"/>
      <w:sz w:val="16"/>
      <w:szCs w:val="24"/>
      <w:lang w:eastAsia="en-NZ"/>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20549B"/>
    <w:rPr>
      <w:rFonts w:ascii="Arial" w:eastAsia="Times New Roman" w:hAnsi="Arial" w:cs="Arial"/>
      <w:sz w:val="16"/>
      <w:szCs w:val="24"/>
      <w:lang w:val="en-US" w:eastAsia="en-NZ"/>
    </w:rPr>
  </w:style>
  <w:style w:type="character" w:styleId="FootnoteReference">
    <w:name w:val="footnote reference"/>
    <w:unhideWhenUsed/>
    <w:rsid w:val="0020549B"/>
    <w:rPr>
      <w:rFonts w:ascii="Arial" w:hAnsi="Arial" w:cs="Arial"/>
      <w:color w:val="auto"/>
      <w:sz w:val="22"/>
      <w:szCs w:val="16"/>
      <w:vertAlign w:val="superscript"/>
      <w:lang w:val="en-US"/>
    </w:rPr>
  </w:style>
  <w:style w:type="paragraph" w:customStyle="1" w:styleId="Introduction">
    <w:name w:val="Introduction"/>
    <w:basedOn w:val="Normal"/>
    <w:rsid w:val="0020549B"/>
    <w:pPr>
      <w:suppressAutoHyphens/>
      <w:autoSpaceDE w:val="0"/>
      <w:autoSpaceDN w:val="0"/>
      <w:adjustRightInd w:val="0"/>
      <w:spacing w:after="283" w:line="380" w:lineRule="atLeast"/>
      <w:textAlignment w:val="center"/>
    </w:pPr>
    <w:rPr>
      <w:rFonts w:ascii="Arial" w:eastAsia="Times New Roman" w:hAnsi="Arial"/>
      <w:bCs/>
      <w:color w:val="007073"/>
      <w:kern w:val="0"/>
      <w:sz w:val="30"/>
      <w:szCs w:val="26"/>
      <w:lang w:eastAsia="en-NZ"/>
    </w:rPr>
  </w:style>
  <w:style w:type="paragraph" w:customStyle="1" w:styleId="bullet10">
    <w:name w:val="bullet 1"/>
    <w:basedOn w:val="Normal"/>
    <w:rsid w:val="0020549B"/>
    <w:pPr>
      <w:numPr>
        <w:numId w:val="15"/>
      </w:numPr>
      <w:suppressAutoHyphens/>
      <w:autoSpaceDE w:val="0"/>
      <w:autoSpaceDN w:val="0"/>
      <w:adjustRightInd w:val="0"/>
      <w:spacing w:after="57" w:line="320" w:lineRule="atLeast"/>
      <w:ind w:left="357" w:hanging="357"/>
      <w:textAlignment w:val="center"/>
    </w:pPr>
    <w:rPr>
      <w:rFonts w:ascii="Arial" w:eastAsia="Times New Roman" w:hAnsi="Arial" w:cs="Arial (TT)"/>
      <w:kern w:val="0"/>
      <w:sz w:val="24"/>
      <w:szCs w:val="22"/>
      <w:lang w:eastAsia="en-NZ"/>
    </w:rPr>
  </w:style>
  <w:style w:type="paragraph" w:customStyle="1" w:styleId="Tableheading">
    <w:name w:val="Table heading"/>
    <w:basedOn w:val="BodyText"/>
    <w:rsid w:val="008527A0"/>
    <w:pPr>
      <w:spacing w:before="60" w:after="40" w:line="240" w:lineRule="auto"/>
    </w:pPr>
    <w:rPr>
      <w:b/>
      <w:sz w:val="20"/>
    </w:rPr>
  </w:style>
  <w:style w:type="character" w:styleId="Emphasis">
    <w:name w:val="Emphasis"/>
    <w:basedOn w:val="DefaultParagraphFont"/>
    <w:uiPriority w:val="20"/>
    <w:locked/>
    <w:rsid w:val="00206A0A"/>
    <w:rPr>
      <w:i/>
      <w:iCs/>
    </w:rPr>
  </w:style>
  <w:style w:type="character" w:styleId="IntenseEmphasis">
    <w:name w:val="Intense Emphasis"/>
    <w:basedOn w:val="DefaultParagraphFont"/>
    <w:uiPriority w:val="21"/>
    <w:rsid w:val="00206A0A"/>
    <w:rPr>
      <w:b/>
      <w:bCs/>
      <w:i/>
      <w:iCs/>
      <w:color w:val="4F81BD" w:themeColor="accent1"/>
    </w:rPr>
  </w:style>
  <w:style w:type="table" w:customStyle="1" w:styleId="MSD1">
    <w:name w:val="MSD1"/>
    <w:basedOn w:val="TableNormal"/>
    <w:uiPriority w:val="99"/>
    <w:rsid w:val="00262701"/>
    <w:pPr>
      <w:spacing w:before="60" w:after="60" w:line="288" w:lineRule="auto"/>
      <w:jc w:val="center"/>
    </w:pPr>
    <w:rPr>
      <w:rFonts w:ascii="Verdana" w:hAnsi="Verdana"/>
    </w:rPr>
    <w:tblPr>
      <w:tblStyleRowBandSize w:val="1"/>
      <w:tblStyleColBandSize w:val="1"/>
      <w:tblBorders>
        <w:bottom w:val="single" w:sz="4" w:space="0" w:color="121F6B"/>
        <w:insideV w:val="single" w:sz="4" w:space="0" w:color="121F6B"/>
      </w:tblBorders>
      <w:tblCellMar>
        <w:top w:w="57" w:type="dxa"/>
        <w:bottom w:w="57" w:type="dxa"/>
      </w:tblCellMar>
    </w:tblPr>
    <w:tcPr>
      <w:vAlign w:val="center"/>
    </w:tcPr>
    <w:tblStylePr w:type="firstRow">
      <w:pPr>
        <w:wordWrap/>
        <w:jc w:val="center"/>
      </w:pPr>
      <w:rPr>
        <w:rFonts w:ascii="Verdana" w:hAnsi="Verdana"/>
        <w:b/>
        <w:color w:val="FFFFFF"/>
        <w:sz w:val="22"/>
      </w:rPr>
      <w:tblPr/>
      <w:tcPr>
        <w:tcBorders>
          <w:bottom w:val="nil"/>
          <w:insideH w:val="nil"/>
          <w:insideV w:val="single" w:sz="8" w:space="0" w:color="FFFFFF" w:themeColor="background1"/>
        </w:tcBorders>
        <w:shd w:val="clear" w:color="auto" w:fill="121F6B"/>
      </w:tcPr>
    </w:tblStylePr>
    <w:tblStylePr w:type="firstCol">
      <w:pPr>
        <w:wordWrap/>
        <w:spacing w:line="288" w:lineRule="auto"/>
        <w:jc w:val="left"/>
      </w:pPr>
      <w:rPr>
        <w:rFonts w:ascii="Verdana" w:hAnsi="Verdana"/>
        <w:sz w:val="20"/>
      </w:rPr>
    </w:tblStylePr>
    <w:tblStylePr w:type="lastCol">
      <w:rPr>
        <w:rFonts w:ascii="Verdana" w:hAnsi="Verdana"/>
        <w:b/>
        <w:sz w:val="20"/>
      </w:rPr>
    </w:tblStylePr>
    <w:tblStylePr w:type="band1Vert">
      <w:rPr>
        <w:rFonts w:ascii="Verdana" w:hAnsi="Verdana"/>
        <w:sz w:val="22"/>
      </w:rPr>
    </w:tblStylePr>
    <w:tblStylePr w:type="band2Vert">
      <w:rPr>
        <w:rFonts w:ascii="Verdana" w:hAnsi="Verdana"/>
        <w:sz w:val="22"/>
      </w:rPr>
    </w:tblStylePr>
    <w:tblStylePr w:type="band2Horz">
      <w:rPr>
        <w:rFonts w:ascii="Verdana" w:hAnsi="Verdana"/>
        <w:sz w:val="22"/>
      </w:rPr>
      <w:tblPr/>
      <w:tcPr>
        <w:shd w:val="clear" w:color="auto" w:fill="D8DDF8"/>
      </w:tcPr>
    </w:tblStylePr>
    <w:tblStylePr w:type="nwCell">
      <w:pPr>
        <w:wordWrap/>
        <w:jc w:val="left"/>
      </w:pPr>
      <w:rPr>
        <w:rFonts w:ascii="Verdana" w:hAnsi="Verdana"/>
        <w:b/>
        <w:color w:val="FFFFFF"/>
        <w:sz w:val="22"/>
      </w:rPr>
    </w:tblStylePr>
  </w:style>
  <w:style w:type="paragraph" w:customStyle="1" w:styleId="Default">
    <w:name w:val="Default"/>
    <w:rsid w:val="00B34153"/>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rsid w:val="008A6DDD"/>
    <w:rPr>
      <w:sz w:val="16"/>
      <w:szCs w:val="16"/>
    </w:rPr>
  </w:style>
  <w:style w:type="paragraph" w:styleId="CommentText">
    <w:name w:val="annotation text"/>
    <w:basedOn w:val="Normal"/>
    <w:link w:val="CommentTextChar"/>
    <w:uiPriority w:val="99"/>
    <w:semiHidden/>
    <w:rsid w:val="008A6DDD"/>
    <w:pPr>
      <w:spacing w:line="240" w:lineRule="auto"/>
    </w:pPr>
  </w:style>
  <w:style w:type="character" w:customStyle="1" w:styleId="CommentTextChar">
    <w:name w:val="Comment Text Char"/>
    <w:basedOn w:val="DefaultParagraphFont"/>
    <w:link w:val="CommentText"/>
    <w:uiPriority w:val="99"/>
    <w:semiHidden/>
    <w:rsid w:val="008A6DDD"/>
    <w:rPr>
      <w:rFonts w:ascii="Verdana" w:hAnsi="Verdana" w:cs="Arial"/>
      <w:kern w:val="28"/>
      <w:lang w:val="en-US"/>
    </w:rPr>
  </w:style>
  <w:style w:type="paragraph" w:styleId="CommentSubject">
    <w:name w:val="annotation subject"/>
    <w:basedOn w:val="CommentText"/>
    <w:next w:val="CommentText"/>
    <w:link w:val="CommentSubjectChar"/>
    <w:uiPriority w:val="99"/>
    <w:semiHidden/>
    <w:rsid w:val="008A6DDD"/>
    <w:rPr>
      <w:b/>
      <w:bCs/>
    </w:rPr>
  </w:style>
  <w:style w:type="character" w:customStyle="1" w:styleId="CommentSubjectChar">
    <w:name w:val="Comment Subject Char"/>
    <w:basedOn w:val="CommentTextChar"/>
    <w:link w:val="CommentSubject"/>
    <w:uiPriority w:val="99"/>
    <w:semiHidden/>
    <w:rsid w:val="008A6DDD"/>
    <w:rPr>
      <w:rFonts w:ascii="Verdana" w:hAnsi="Verdana" w:cs="Arial"/>
      <w:b/>
      <w:bCs/>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t.nz/justice-sector/statistics/justice-sector-working-papers/justice-sector-offence-seriousness-score-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A8A7-14CA-4621-8C63-6B82D60D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6177</Words>
  <Characters>35213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Wilkinson</dc:creator>
  <cp:lastModifiedBy>Philip Spier</cp:lastModifiedBy>
  <cp:revision>3</cp:revision>
  <cp:lastPrinted>2016-02-01T20:59:00Z</cp:lastPrinted>
  <dcterms:created xsi:type="dcterms:W3CDTF">2016-06-28T21:40:00Z</dcterms:created>
  <dcterms:modified xsi:type="dcterms:W3CDTF">2016-08-25T00:47:00Z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A8498411</vt:lpwstr>
  </property>
  <property fmtid="{D5CDD505-2E9C-101B-9397-08002B2CF9AE}" pid="4" name="Objective-Title">
    <vt:lpwstr>Reoffending patterns for Court-ordered and ITC FGCs for publication</vt:lpwstr>
  </property>
  <property fmtid="{D5CDD505-2E9C-101B-9397-08002B2CF9AE}" pid="5" name="Objective-Comment">
    <vt:lpwstr/>
  </property>
  <property fmtid="{D5CDD505-2E9C-101B-9397-08002B2CF9AE}" pid="6" name="Objective-CreationStamp">
    <vt:filetime>2015-11-19T03:37:11Z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2016-06-28T21:39:26Z</vt:filetime>
  </property>
  <property fmtid="{D5CDD505-2E9C-101B-9397-08002B2CF9AE}" pid="10" name="Objective-ModificationStamp">
    <vt:filetime>2016-06-28T21:39:26Z</vt:filetime>
  </property>
  <property fmtid="{D5CDD505-2E9C-101B-9397-08002B2CF9AE}" pid="11" name="Objective-Owner">
    <vt:lpwstr>Philip Spier</vt:lpwstr>
  </property>
  <property fmtid="{D5CDD505-2E9C-101B-9397-08002B2CF9AE}" pid="12" name="Objective-Path">
    <vt:lpwstr>Global Folder:MSD INFORMATION REPOSITORY:Social Research &amp; Evaluation:Youth:Fresh Start for Youth Offenders:Family Group Conferences - YJ (Youth Justice):</vt:lpwstr>
  </property>
  <property fmtid="{D5CDD505-2E9C-101B-9397-08002B2CF9AE}" pid="13" name="Objective-Parent">
    <vt:lpwstr>Family Group Conferences - YJ (Youth Justice)</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SR/YO/29/11-11135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ies>
</file>