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E71B2" w14:textId="741D3861" w:rsidR="00A4718E" w:rsidRPr="00A61052" w:rsidRDefault="00CD5E9E" w:rsidP="00A61052">
      <w:bookmarkStart w:id="0" w:name="_Hlk50641174"/>
      <w:bookmarkEnd w:id="0"/>
      <w:r>
        <w:rPr>
          <w:noProof/>
        </w:rPr>
        <mc:AlternateContent>
          <mc:Choice Requires="wps">
            <w:drawing>
              <wp:anchor distT="0" distB="0" distL="114300" distR="114300" simplePos="0" relativeHeight="251675648" behindDoc="0" locked="0" layoutInCell="1" allowOverlap="1" wp14:anchorId="2008C9C4" wp14:editId="6F7D3612">
                <wp:simplePos x="0" y="0"/>
                <wp:positionH relativeFrom="margin">
                  <wp:posOffset>47625</wp:posOffset>
                </wp:positionH>
                <wp:positionV relativeFrom="paragraph">
                  <wp:posOffset>5566410</wp:posOffset>
                </wp:positionV>
                <wp:extent cx="387667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76675" cy="647700"/>
                        </a:xfrm>
                        <a:prstGeom prst="rect">
                          <a:avLst/>
                        </a:prstGeom>
                        <a:noFill/>
                        <a:ln w="6350">
                          <a:noFill/>
                        </a:ln>
                      </wps:spPr>
                      <wps:txbx>
                        <w:txbxContent>
                          <w:p w14:paraId="755FB7DB" w14:textId="0884179F" w:rsidR="00523263" w:rsidRDefault="00523263" w:rsidP="00AC0949">
                            <w:pPr>
                              <w:pStyle w:val="Subtitle"/>
                              <w:ind w:left="28"/>
                            </w:pPr>
                            <w:r>
                              <w:t>August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08C9C4" id="_x0000_t202" coordsize="21600,21600" o:spt="202" path="m,l,21600r21600,l21600,xe">
                <v:stroke joinstyle="miter"/>
                <v:path gradientshapeok="t" o:connecttype="rect"/>
              </v:shapetype>
              <v:shape id="Text Box 3" o:spid="_x0000_s1026" type="#_x0000_t202" style="position:absolute;margin-left:3.75pt;margin-top:438.3pt;width:305.25pt;height:51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" filled="f" stroked="f" strokeweight=".5pt">
                <v:textbox>
                  <w:txbxContent>
                    <w:p w14:paraId="755FB7DB" w14:textId="0884179F" w:rsidR="00523263" w:rsidRDefault="00523263" w:rsidP="00AC0949">
                      <w:pPr>
                        <w:pStyle w:val="Subtitle"/>
                        <w:ind w:left="28"/>
                      </w:pPr>
                      <w:r>
                        <w:t>August 2020</w:t>
                      </w:r>
                    </w:p>
                  </w:txbxContent>
                </v:textbox>
                <w10:wrap anchorx="margin"/>
              </v:shape>
            </w:pict>
          </mc:Fallback>
        </mc:AlternateContent>
      </w:r>
      <w:r w:rsidR="00AA6DDE" w:rsidRPr="00A61052">
        <w:rPr>
          <w:noProof/>
        </w:rPr>
        <mc:AlternateContent>
          <mc:Choice Requires="wps">
            <w:drawing>
              <wp:anchor distT="0" distB="0" distL="114300" distR="114300" simplePos="0" relativeHeight="251673600" behindDoc="0" locked="0" layoutInCell="1" allowOverlap="1" wp14:anchorId="3D62683B" wp14:editId="5BF5B43F">
                <wp:simplePos x="0" y="0"/>
                <wp:positionH relativeFrom="margin">
                  <wp:align>left</wp:align>
                </wp:positionH>
                <wp:positionV relativeFrom="paragraph">
                  <wp:posOffset>2699385</wp:posOffset>
                </wp:positionV>
                <wp:extent cx="5641200" cy="28003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641200" cy="2800350"/>
                        </a:xfrm>
                        <a:prstGeom prst="rect">
                          <a:avLst/>
                        </a:prstGeom>
                        <a:noFill/>
                        <a:ln w="6350">
                          <a:noFill/>
                        </a:ln>
                      </wps:spPr>
                      <wps:txbx>
                        <w:txbxContent>
                          <w:p w14:paraId="6F93C222" w14:textId="70A76DB1" w:rsidR="00523263" w:rsidRPr="00973177" w:rsidRDefault="00523263" w:rsidP="00CD5E9E">
                            <w:pPr>
                              <w:pStyle w:val="Title"/>
                              <w:rPr>
                                <w:sz w:val="72"/>
                                <w:szCs w:val="72"/>
                              </w:rPr>
                            </w:pPr>
                            <w:r>
                              <w:rPr>
                                <w:sz w:val="72"/>
                                <w:szCs w:val="72"/>
                              </w:rPr>
                              <w:t>Benefit System Update</w:t>
                            </w:r>
                          </w:p>
                          <w:p w14:paraId="128B9242" w14:textId="5F39CFBD" w:rsidR="00523263" w:rsidRPr="0002696E" w:rsidRDefault="00523263" w:rsidP="00AC0949">
                            <w:pPr>
                              <w:pStyle w:val="Subtitle"/>
                              <w:ind w:left="70"/>
                              <w:rPr>
                                <w:color w:val="FFFFFF" w:themeColor="background1"/>
                              </w:rPr>
                            </w:pPr>
                            <w:r w:rsidRPr="0002696E">
                              <w:rPr>
                                <w:bCs/>
                                <w:color w:val="FFFFFF" w:themeColor="background1"/>
                                <w:lang w:val="mi-NZ"/>
                              </w:rPr>
                              <w:t>The effect of COVID-19 on New Zealand’s economy</w:t>
                            </w:r>
                            <w:r>
                              <w:rPr>
                                <w:bCs/>
                                <w:color w:val="FFFFFF" w:themeColor="background1"/>
                                <w:lang w:val="mi-NZ"/>
                              </w:rPr>
                              <w:t xml:space="preserve"> and the </w:t>
                            </w:r>
                            <w:r w:rsidRPr="0002696E">
                              <w:rPr>
                                <w:bCs/>
                                <w:color w:val="FFFFFF" w:themeColor="background1"/>
                                <w:lang w:val="mi-NZ"/>
                              </w:rPr>
                              <w:t>income support policy response</w:t>
                            </w:r>
                            <w:r>
                              <w:rPr>
                                <w:bCs/>
                                <w:color w:val="FFFFFF" w:themeColor="background1"/>
                                <w:lang w:val="mi-NZ"/>
                              </w:rPr>
                              <w:t>, and how those factors affected demand for benefit payments</w:t>
                            </w:r>
                          </w:p>
                          <w:p w14:paraId="0AE67198" w14:textId="737BCDD1" w:rsidR="00523263" w:rsidRPr="005702AE" w:rsidRDefault="00523263" w:rsidP="00AE5325">
                            <w:pPr>
                              <w:pStyle w:val="Subtitle"/>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2683B" id="Text Box 16" o:spid="_x0000_s1027" type="#_x0000_t202" style="position:absolute;margin-left:0;margin-top:212.55pt;width:444.2pt;height:220.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" filled="f" stroked="f" strokeweight=".5pt">
                <v:textbox>
                  <w:txbxContent>
                    <w:p w14:paraId="6F93C222" w14:textId="70A76DB1" w:rsidR="00523263" w:rsidRPr="00973177" w:rsidRDefault="00523263" w:rsidP="00CD5E9E">
                      <w:pPr>
                        <w:pStyle w:val="Title"/>
                        <w:rPr>
                          <w:sz w:val="72"/>
                          <w:szCs w:val="72"/>
                        </w:rPr>
                      </w:pPr>
                      <w:r>
                        <w:rPr>
                          <w:sz w:val="72"/>
                          <w:szCs w:val="72"/>
                        </w:rPr>
                        <w:t>Benefit System Update</w:t>
                      </w:r>
                    </w:p>
                    <w:p w14:paraId="128B9242" w14:textId="5F39CFBD" w:rsidR="00523263" w:rsidRPr="0002696E" w:rsidRDefault="00523263" w:rsidP="00AC0949">
                      <w:pPr>
                        <w:pStyle w:val="Subtitle"/>
                        <w:ind w:left="70"/>
                        <w:rPr>
                          <w:color w:val="FFFFFF" w:themeColor="background1"/>
                        </w:rPr>
                      </w:pPr>
                      <w:r w:rsidRPr="0002696E">
                        <w:rPr>
                          <w:bCs/>
                          <w:color w:val="FFFFFF" w:themeColor="background1"/>
                          <w:lang w:val="mi-NZ"/>
                        </w:rPr>
                        <w:t>The effect of COVID-19 on New Zealand’s economy</w:t>
                      </w:r>
                      <w:r>
                        <w:rPr>
                          <w:bCs/>
                          <w:color w:val="FFFFFF" w:themeColor="background1"/>
                          <w:lang w:val="mi-NZ"/>
                        </w:rPr>
                        <w:t xml:space="preserve"> and the </w:t>
                      </w:r>
                      <w:r w:rsidRPr="0002696E">
                        <w:rPr>
                          <w:bCs/>
                          <w:color w:val="FFFFFF" w:themeColor="background1"/>
                          <w:lang w:val="mi-NZ"/>
                        </w:rPr>
                        <w:t>income support policy response</w:t>
                      </w:r>
                      <w:r>
                        <w:rPr>
                          <w:bCs/>
                          <w:color w:val="FFFFFF" w:themeColor="background1"/>
                          <w:lang w:val="mi-NZ"/>
                        </w:rPr>
                        <w:t>, and how those factors affected demand for benefit payments</w:t>
                      </w:r>
                    </w:p>
                    <w:p w14:paraId="0AE67198" w14:textId="737BCDD1" w:rsidR="00523263" w:rsidRPr="005702AE" w:rsidRDefault="00523263" w:rsidP="00AE5325">
                      <w:pPr>
                        <w:pStyle w:val="Subtitle"/>
                      </w:pPr>
                    </w:p>
                  </w:txbxContent>
                </v:textbox>
                <w10:wrap anchorx="margin"/>
              </v:shape>
            </w:pict>
          </mc:Fallback>
        </mc:AlternateContent>
      </w:r>
      <w:r w:rsidR="00AA6DDE" w:rsidRPr="00A61052">
        <w:rPr>
          <w:noProof/>
        </w:rPr>
        <mc:AlternateContent>
          <mc:Choice Requires="wps">
            <w:drawing>
              <wp:anchor distT="0" distB="0" distL="114300" distR="114300" simplePos="0" relativeHeight="251671552" behindDoc="0" locked="0" layoutInCell="1" allowOverlap="1" wp14:anchorId="6D321DD3" wp14:editId="36AF1D4A">
                <wp:simplePos x="0" y="0"/>
                <wp:positionH relativeFrom="column">
                  <wp:posOffset>0</wp:posOffset>
                </wp:positionH>
                <wp:positionV relativeFrom="paragraph">
                  <wp:posOffset>8892540</wp:posOffset>
                </wp:positionV>
                <wp:extent cx="5640309" cy="2498756"/>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640309" cy="2498756"/>
                        </a:xfrm>
                        <a:prstGeom prst="rect">
                          <a:avLst/>
                        </a:prstGeom>
                        <a:noFill/>
                        <a:ln w="6350">
                          <a:noFill/>
                        </a:ln>
                      </wps:spPr>
                      <wps:txbx>
                        <w:txbxContent>
                          <w:p w14:paraId="138F9A03" w14:textId="77777777" w:rsidR="00523263" w:rsidRPr="0095776C" w:rsidRDefault="00523263" w:rsidP="00AA6DDE">
                            <w:pPr>
                              <w:pStyle w:val="Title"/>
                            </w:pPr>
                            <w:r>
                              <w:t xml:space="preserve">Full </w:t>
                            </w:r>
                            <w:r w:rsidRPr="0095776C">
                              <w:t>Report Name</w:t>
                            </w:r>
                            <w:r>
                              <w:t>/</w:t>
                            </w:r>
                            <w:r w:rsidRPr="005702AE">
                              <w:t>Title</w:t>
                            </w:r>
                          </w:p>
                          <w:p w14:paraId="07142FCC" w14:textId="77777777" w:rsidR="00523263" w:rsidRPr="005702AE" w:rsidRDefault="00523263" w:rsidP="00AA6DDE">
                            <w:pPr>
                              <w:pStyle w:val="Subtitle"/>
                            </w:pPr>
                            <w:r w:rsidRPr="005702AE">
                              <w:rPr>
                                <w:b w:val="0"/>
                                <w:bCs/>
                                <w:lang w:val="mi-NZ"/>
                              </w:rPr>
                              <w:t xml:space="preserve"> </w:t>
                            </w:r>
                            <w:r w:rsidRPr="005702AE">
                              <w:rPr>
                                <w:b w:val="0"/>
                                <w:bCs/>
                                <w:color w:val="FFFFFF" w:themeColor="background1"/>
                              </w:rPr>
                              <w:t>Subtitle:</w:t>
                            </w:r>
                            <w:r w:rsidRPr="005702AE">
                              <w:rPr>
                                <w:color w:val="FFFFFF" w:themeColor="background1"/>
                              </w:rPr>
                              <w:t xml:space="preserve"> </w:t>
                            </w:r>
                            <w:r>
                              <w:t>subtitle text here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21DD3" id="Text Box 15" o:spid="_x0000_s1028" type="#_x0000_t202" style="position:absolute;margin-left:0;margin-top:700.2pt;width:444.1pt;height:1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" filled="f" stroked="f" strokeweight=".5pt">
                <v:textbox>
                  <w:txbxContent>
                    <w:p w14:paraId="138F9A03" w14:textId="77777777" w:rsidR="00523263" w:rsidRPr="0095776C" w:rsidRDefault="00523263" w:rsidP="00AA6DDE">
                      <w:pPr>
                        <w:pStyle w:val="Title"/>
                      </w:pPr>
                      <w:r>
                        <w:t xml:space="preserve">Full </w:t>
                      </w:r>
                      <w:r w:rsidRPr="0095776C">
                        <w:t>Report Name</w:t>
                      </w:r>
                      <w:r>
                        <w:t>/</w:t>
                      </w:r>
                      <w:r w:rsidRPr="005702AE">
                        <w:t>Title</w:t>
                      </w:r>
                    </w:p>
                    <w:p w14:paraId="07142FCC" w14:textId="77777777" w:rsidR="00523263" w:rsidRPr="005702AE" w:rsidRDefault="00523263" w:rsidP="00AA6DDE">
                      <w:pPr>
                        <w:pStyle w:val="Subtitle"/>
                      </w:pPr>
                      <w:r w:rsidRPr="005702AE">
                        <w:rPr>
                          <w:b w:val="0"/>
                          <w:bCs/>
                          <w:lang w:val="mi-NZ"/>
                        </w:rPr>
                        <w:t xml:space="preserve"> </w:t>
                      </w:r>
                      <w:r w:rsidRPr="005702AE">
                        <w:rPr>
                          <w:b w:val="0"/>
                          <w:bCs/>
                          <w:color w:val="FFFFFF" w:themeColor="background1"/>
                        </w:rPr>
                        <w:t>Subtitle:</w:t>
                      </w:r>
                      <w:r w:rsidRPr="005702AE">
                        <w:rPr>
                          <w:color w:val="FFFFFF" w:themeColor="background1"/>
                        </w:rPr>
                        <w:t xml:space="preserve"> </w:t>
                      </w:r>
                      <w:r>
                        <w:t>subtitle text here</w:t>
                      </w:r>
                    </w:p>
                  </w:txbxContent>
                </v:textbox>
              </v:shape>
            </w:pict>
          </mc:Fallback>
        </mc:AlternateContent>
      </w:r>
      <w:r w:rsidR="00AA6DDE" w:rsidRPr="00A61052">
        <w:rPr>
          <w:noProof/>
        </w:rPr>
        <w:drawing>
          <wp:anchor distT="0" distB="0" distL="114300" distR="114300" simplePos="0" relativeHeight="251669504" behindDoc="0" locked="1" layoutInCell="1" allowOverlap="1" wp14:anchorId="69275E0A" wp14:editId="6F13A05E">
            <wp:simplePos x="0" y="0"/>
            <wp:positionH relativeFrom="page">
              <wp:posOffset>0</wp:posOffset>
            </wp:positionH>
            <wp:positionV relativeFrom="page">
              <wp:posOffset>0</wp:posOffset>
            </wp:positionV>
            <wp:extent cx="7559040" cy="10683875"/>
            <wp:effectExtent l="0" t="0" r="0" b="0"/>
            <wp:wrapThrough wrapText="bothSides">
              <wp:wrapPolygon edited="0">
                <wp:start x="0" y="0"/>
                <wp:lineTo x="0" y="21568"/>
                <wp:lineTo x="21556" y="21568"/>
                <wp:lineTo x="2155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dc_npld_covers_20190702_v08_1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margin">
              <wp14:pctWidth>0</wp14:pctWidth>
            </wp14:sizeRelH>
            <wp14:sizeRelV relativeFrom="margin">
              <wp14:pctHeight>0</wp14:pctHeight>
            </wp14:sizeRelV>
          </wp:anchor>
        </w:drawing>
      </w:r>
      <w:r w:rsidR="00AA6DDE" w:rsidRPr="00A61052">
        <w:br w:type="page"/>
      </w:r>
    </w:p>
    <w:p w14:paraId="0E7222B3" w14:textId="77777777" w:rsidR="00CD5E9E" w:rsidRDefault="00CD5E9E" w:rsidP="00CD5E9E">
      <w:pPr>
        <w:pStyle w:val="Info1"/>
        <w:spacing w:before="6000"/>
      </w:pPr>
      <w:bookmarkStart w:id="1" w:name="_Hlk24111754"/>
    </w:p>
    <w:p w14:paraId="78545ED0" w14:textId="3C04EF35" w:rsidR="00CD5E9E" w:rsidRPr="007525AF" w:rsidRDefault="00CD5E9E" w:rsidP="00CD5E9E">
      <w:pPr>
        <w:pStyle w:val="Info1"/>
        <w:spacing w:before="6000"/>
      </w:pPr>
      <w:r w:rsidRPr="007525AF">
        <w:t>Author</w:t>
      </w:r>
    </w:p>
    <w:p w14:paraId="6FD98B53" w14:textId="7DB2E2CE" w:rsidR="00CD5E9E" w:rsidRDefault="005C49EA" w:rsidP="005C49EA">
      <w:pPr>
        <w:pStyle w:val="InfoBody"/>
      </w:pPr>
      <w:r>
        <w:t>Jelena Stojkov, Senior Analyst, Forecasting and Costing</w:t>
      </w:r>
      <w:r w:rsidR="00881E84">
        <w:t>, System Performance</w:t>
      </w:r>
      <w:r w:rsidRPr="007525AF">
        <w:t xml:space="preserve"> </w:t>
      </w:r>
    </w:p>
    <w:p w14:paraId="5AAD7BAA" w14:textId="71C0A301" w:rsidR="00CD5E9E" w:rsidRPr="00B812CC" w:rsidRDefault="004A4B32" w:rsidP="00CD5E9E">
      <w:pPr>
        <w:pStyle w:val="Info2"/>
      </w:pPr>
      <w:r>
        <w:br/>
      </w:r>
      <w:r w:rsidR="00CD5E9E" w:rsidRPr="007525AF">
        <w:t>Disclaimer</w:t>
      </w:r>
    </w:p>
    <w:p w14:paraId="4C6E20CB" w14:textId="144D719E" w:rsidR="00CD5E9E" w:rsidRDefault="00CD5E9E" w:rsidP="00CD5E9E">
      <w:pPr>
        <w:pStyle w:val="InfoBody"/>
      </w:pPr>
      <w:r>
        <w:t>The views and interpretations in this report are those of the researcher and are not the official position of the Ministry of Social Development.</w:t>
      </w:r>
    </w:p>
    <w:p w14:paraId="7A0C76CA" w14:textId="065E88FB" w:rsidR="00E71186" w:rsidRDefault="00E71186" w:rsidP="00CD5E9E">
      <w:pPr>
        <w:pStyle w:val="InfoBody"/>
      </w:pPr>
      <w:r>
        <w:t>Readers should note that while the report has been through a quality assurance and proofing process, it has not been through the Ministry’s full Publications Committee process, since the value and relevance of the report is considered tied to it being made promptly available.</w:t>
      </w:r>
    </w:p>
    <w:p w14:paraId="37ECE523" w14:textId="063A4E82" w:rsidR="00CD5E9E" w:rsidRPr="00B812CC" w:rsidRDefault="004A4B32" w:rsidP="00CD5E9E">
      <w:pPr>
        <w:pStyle w:val="Info2"/>
      </w:pPr>
      <w:r>
        <w:br/>
      </w:r>
      <w:r w:rsidR="00CD5E9E" w:rsidRPr="007525AF">
        <w:t>Published</w:t>
      </w:r>
      <w:bookmarkStart w:id="2" w:name="_GoBack"/>
      <w:bookmarkEnd w:id="2"/>
    </w:p>
    <w:p w14:paraId="161F3DF1" w14:textId="16AA194B" w:rsidR="00CD5E9E" w:rsidRPr="00CC5848" w:rsidRDefault="00CD5E9E" w:rsidP="00CD5E9E">
      <w:pPr>
        <w:pStyle w:val="InfoBody"/>
        <w:rPr>
          <w:lang w:val="en-US"/>
        </w:rPr>
      </w:pPr>
      <w:r w:rsidRPr="00CC5848">
        <w:rPr>
          <w:lang w:val="en-US"/>
        </w:rPr>
        <w:t>Ministry of Social Development</w:t>
      </w:r>
      <w:r w:rsidRPr="00CC5848">
        <w:rPr>
          <w:lang w:val="en-US"/>
        </w:rPr>
        <w:br/>
        <w:t>PO Box 1556</w:t>
      </w:r>
      <w:r w:rsidRPr="00CC5848">
        <w:rPr>
          <w:lang w:val="en-US"/>
        </w:rPr>
        <w:br/>
        <w:t>Wellington</w:t>
      </w:r>
      <w:r w:rsidRPr="00CC5848">
        <w:rPr>
          <w:lang w:val="en-US"/>
        </w:rPr>
        <w:br/>
        <w:t>www.msd.govt.nz</w:t>
      </w:r>
      <w:r w:rsidR="00033BD8">
        <w:rPr>
          <w:lang w:val="en-US"/>
        </w:rPr>
        <w:t>/insights</w:t>
      </w:r>
    </w:p>
    <w:p w14:paraId="4798124E" w14:textId="402E3478" w:rsidR="00CD5E9E" w:rsidRDefault="00CD5E9E" w:rsidP="00CD5E9E">
      <w:pPr>
        <w:pStyle w:val="InfoBody"/>
      </w:pPr>
      <w:r w:rsidRPr="005C49EA">
        <w:t xml:space="preserve">Published in </w:t>
      </w:r>
      <w:r w:rsidR="00EC60A5">
        <w:t>October</w:t>
      </w:r>
      <w:r w:rsidR="00EC60A5" w:rsidRPr="005C49EA">
        <w:t xml:space="preserve"> </w:t>
      </w:r>
      <w:r w:rsidR="005C49EA" w:rsidRPr="005C49EA">
        <w:t>2020</w:t>
      </w:r>
    </w:p>
    <w:p w14:paraId="30030651" w14:textId="05E28F7F" w:rsidR="00CD5E9E" w:rsidRPr="007829D3" w:rsidRDefault="004A4B32" w:rsidP="00CD5E9E">
      <w:pPr>
        <w:pStyle w:val="Info2"/>
      </w:pPr>
      <w:r>
        <w:br/>
      </w:r>
      <w:r w:rsidR="00CD5E9E" w:rsidRPr="007829D3">
        <w:t>ISBN</w:t>
      </w:r>
    </w:p>
    <w:bookmarkEnd w:id="1"/>
    <w:p w14:paraId="41E6B411" w14:textId="4B720F45" w:rsidR="00CD5E9E" w:rsidRPr="004A4B32" w:rsidRDefault="004A4B32" w:rsidP="004A4B32">
      <w:pPr>
        <w:rPr>
          <w:rFonts w:ascii="Calibri" w:hAnsi="Calibri"/>
          <w:color w:val="000000"/>
        </w:rPr>
      </w:pPr>
      <w:r>
        <w:rPr>
          <w:color w:val="000000"/>
        </w:rPr>
        <w:t>978-1-99-002307-1</w:t>
      </w:r>
      <w:bookmarkStart w:id="3" w:name="_Toc19612379"/>
      <w:r w:rsidR="00CD5E9E">
        <w:br w:type="page"/>
      </w:r>
    </w:p>
    <w:p w14:paraId="062F570B" w14:textId="64B654F9" w:rsidR="00A97F77" w:rsidRDefault="00A97F77" w:rsidP="00CA14D0">
      <w:pPr>
        <w:pStyle w:val="Heading1"/>
        <w:spacing w:before="0" w:after="0"/>
      </w:pPr>
      <w:bookmarkStart w:id="4" w:name="_Toc50642324"/>
      <w:bookmarkStart w:id="5" w:name="_Toc50642925"/>
      <w:bookmarkStart w:id="6" w:name="_Toc51240787"/>
      <w:bookmarkStart w:id="7" w:name="_Toc51763853"/>
      <w:r>
        <w:lastRenderedPageBreak/>
        <w:t>Contents</w:t>
      </w:r>
      <w:bookmarkEnd w:id="3"/>
      <w:bookmarkEnd w:id="4"/>
      <w:bookmarkEnd w:id="5"/>
      <w:bookmarkEnd w:id="6"/>
      <w:bookmarkEnd w:id="7"/>
    </w:p>
    <w:sdt>
      <w:sdtPr>
        <w:rPr>
          <w:noProof w:val="0"/>
          <w:color w:val="auto"/>
          <w:sz w:val="20"/>
        </w:rPr>
        <w:id w:val="-147215222"/>
        <w:docPartObj>
          <w:docPartGallery w:val="Table of Contents"/>
          <w:docPartUnique/>
        </w:docPartObj>
      </w:sdtPr>
      <w:sdtEndPr>
        <w:rPr>
          <w:bCs/>
          <w:color w:val="252C65" w:themeColor="text2"/>
        </w:rPr>
      </w:sdtEndPr>
      <w:sdtContent>
        <w:p w14:paraId="25293759" w14:textId="77777777" w:rsidR="00260464" w:rsidRDefault="00260464" w:rsidP="00260464">
          <w:pPr>
            <w:pStyle w:val="TOC1"/>
          </w:pPr>
        </w:p>
        <w:p w14:paraId="225909B4" w14:textId="21C7E393" w:rsidR="00FB043F" w:rsidRPr="00AC0949" w:rsidRDefault="00CD5E9E" w:rsidP="00FB043F">
          <w:pPr>
            <w:pStyle w:val="TOC1"/>
            <w:rPr>
              <w:rFonts w:asciiTheme="minorHAnsi" w:hAnsiTheme="minorHAnsi"/>
              <w:szCs w:val="22"/>
              <w:lang w:eastAsia="en-NZ"/>
            </w:rPr>
          </w:pPr>
          <w:r w:rsidRPr="00AC0949">
            <w:rPr>
              <w:bCs/>
            </w:rPr>
            <w:fldChar w:fldCharType="begin"/>
          </w:r>
          <w:r w:rsidRPr="00AC0949">
            <w:rPr>
              <w:bCs/>
            </w:rPr>
            <w:instrText xml:space="preserve"> TOC \o "1-3" \h \z \u </w:instrText>
          </w:r>
          <w:r w:rsidRPr="00AC0949">
            <w:rPr>
              <w:bCs/>
            </w:rPr>
            <w:fldChar w:fldCharType="separate"/>
          </w:r>
          <w:hyperlink w:anchor="_Toc51763854" w:history="1">
            <w:r w:rsidR="00FB043F" w:rsidRPr="00AC0949">
              <w:rPr>
                <w:rStyle w:val="Hyperlink"/>
                <w:color w:val="252C65" w:themeColor="text2"/>
              </w:rPr>
              <w:t>Executive summary</w:t>
            </w:r>
            <w:r w:rsidR="00FB043F" w:rsidRPr="00AC0949">
              <w:rPr>
                <w:webHidden/>
              </w:rPr>
              <w:tab/>
            </w:r>
            <w:r w:rsidR="00FB043F" w:rsidRPr="00AC0949">
              <w:rPr>
                <w:webHidden/>
              </w:rPr>
              <w:fldChar w:fldCharType="begin"/>
            </w:r>
            <w:r w:rsidR="00FB043F" w:rsidRPr="00AC0949">
              <w:rPr>
                <w:webHidden/>
              </w:rPr>
              <w:instrText xml:space="preserve"> PAGEREF _Toc51763854 \h </w:instrText>
            </w:r>
            <w:r w:rsidR="00FB043F" w:rsidRPr="00AC0949">
              <w:rPr>
                <w:webHidden/>
              </w:rPr>
            </w:r>
            <w:r w:rsidR="00FB043F" w:rsidRPr="00AC0949">
              <w:rPr>
                <w:webHidden/>
              </w:rPr>
              <w:fldChar w:fldCharType="separate"/>
            </w:r>
            <w:r w:rsidR="00340874">
              <w:rPr>
                <w:webHidden/>
              </w:rPr>
              <w:t>1</w:t>
            </w:r>
            <w:r w:rsidR="00FB043F" w:rsidRPr="00AC0949">
              <w:rPr>
                <w:webHidden/>
              </w:rPr>
              <w:fldChar w:fldCharType="end"/>
            </w:r>
          </w:hyperlink>
        </w:p>
        <w:p w14:paraId="4CD6092B" w14:textId="21D9CBF0" w:rsidR="00FB043F" w:rsidRPr="00AC0949" w:rsidRDefault="0088153D">
          <w:pPr>
            <w:pStyle w:val="TOC2"/>
            <w:tabs>
              <w:tab w:val="right" w:leader="dot" w:pos="8488"/>
            </w:tabs>
            <w:rPr>
              <w:rFonts w:asciiTheme="minorHAnsi" w:hAnsiTheme="minorHAnsi"/>
              <w:noProof/>
              <w:color w:val="252C65" w:themeColor="text2"/>
              <w:szCs w:val="22"/>
              <w:lang w:eastAsia="en-NZ"/>
            </w:rPr>
          </w:pPr>
          <w:hyperlink w:anchor="_Toc51763855" w:history="1">
            <w:r w:rsidR="00FB043F" w:rsidRPr="00AC0949">
              <w:rPr>
                <w:rStyle w:val="Hyperlink"/>
                <w:noProof/>
                <w:color w:val="252C65" w:themeColor="text2"/>
              </w:rPr>
              <w:t>Background</w:t>
            </w:r>
            <w:r w:rsidR="00FB043F" w:rsidRPr="00AC0949">
              <w:rPr>
                <w:noProof/>
                <w:webHidden/>
                <w:color w:val="252C65" w:themeColor="text2"/>
              </w:rPr>
              <w:tab/>
            </w:r>
            <w:r w:rsidR="00FB043F" w:rsidRPr="00AC0949">
              <w:rPr>
                <w:noProof/>
                <w:webHidden/>
                <w:color w:val="252C65" w:themeColor="text2"/>
              </w:rPr>
              <w:fldChar w:fldCharType="begin"/>
            </w:r>
            <w:r w:rsidR="00FB043F" w:rsidRPr="00AC0949">
              <w:rPr>
                <w:noProof/>
                <w:webHidden/>
                <w:color w:val="252C65" w:themeColor="text2"/>
              </w:rPr>
              <w:instrText xml:space="preserve"> PAGEREF _Toc51763855 \h </w:instrText>
            </w:r>
            <w:r w:rsidR="00FB043F" w:rsidRPr="00AC0949">
              <w:rPr>
                <w:noProof/>
                <w:webHidden/>
                <w:color w:val="252C65" w:themeColor="text2"/>
              </w:rPr>
            </w:r>
            <w:r w:rsidR="00FB043F" w:rsidRPr="00AC0949">
              <w:rPr>
                <w:noProof/>
                <w:webHidden/>
                <w:color w:val="252C65" w:themeColor="text2"/>
              </w:rPr>
              <w:fldChar w:fldCharType="separate"/>
            </w:r>
            <w:r w:rsidR="00340874">
              <w:rPr>
                <w:noProof/>
                <w:webHidden/>
                <w:color w:val="252C65" w:themeColor="text2"/>
              </w:rPr>
              <w:t>2</w:t>
            </w:r>
            <w:r w:rsidR="00FB043F" w:rsidRPr="00AC0949">
              <w:rPr>
                <w:noProof/>
                <w:webHidden/>
                <w:color w:val="252C65" w:themeColor="text2"/>
              </w:rPr>
              <w:fldChar w:fldCharType="end"/>
            </w:r>
          </w:hyperlink>
        </w:p>
        <w:p w14:paraId="4A2A9B1A" w14:textId="09626B43" w:rsidR="00FB043F" w:rsidRPr="00AC0949" w:rsidRDefault="0088153D">
          <w:pPr>
            <w:pStyle w:val="TOC2"/>
            <w:tabs>
              <w:tab w:val="right" w:leader="dot" w:pos="8488"/>
            </w:tabs>
            <w:rPr>
              <w:rFonts w:asciiTheme="minorHAnsi" w:hAnsiTheme="minorHAnsi"/>
              <w:noProof/>
              <w:color w:val="252C65" w:themeColor="text2"/>
              <w:szCs w:val="22"/>
              <w:lang w:eastAsia="en-NZ"/>
            </w:rPr>
          </w:pPr>
          <w:hyperlink w:anchor="_Toc51763856" w:history="1">
            <w:r w:rsidR="00FB043F" w:rsidRPr="00AC0949">
              <w:rPr>
                <w:rStyle w:val="Hyperlink"/>
                <w:noProof/>
                <w:color w:val="252C65" w:themeColor="text2"/>
              </w:rPr>
              <w:t>COVID-19 has negatively affected New Zealand’s economy in three main phases</w:t>
            </w:r>
            <w:r w:rsidR="00FB043F" w:rsidRPr="00AC0949">
              <w:rPr>
                <w:noProof/>
                <w:webHidden/>
                <w:color w:val="252C65" w:themeColor="text2"/>
              </w:rPr>
              <w:tab/>
            </w:r>
            <w:r w:rsidR="00FB043F" w:rsidRPr="00AC0949">
              <w:rPr>
                <w:noProof/>
                <w:webHidden/>
                <w:color w:val="252C65" w:themeColor="text2"/>
              </w:rPr>
              <w:fldChar w:fldCharType="begin"/>
            </w:r>
            <w:r w:rsidR="00FB043F" w:rsidRPr="00AC0949">
              <w:rPr>
                <w:noProof/>
                <w:webHidden/>
                <w:color w:val="252C65" w:themeColor="text2"/>
              </w:rPr>
              <w:instrText xml:space="preserve"> PAGEREF _Toc51763856 \h </w:instrText>
            </w:r>
            <w:r w:rsidR="00FB043F" w:rsidRPr="00AC0949">
              <w:rPr>
                <w:noProof/>
                <w:webHidden/>
                <w:color w:val="252C65" w:themeColor="text2"/>
              </w:rPr>
            </w:r>
            <w:r w:rsidR="00FB043F" w:rsidRPr="00AC0949">
              <w:rPr>
                <w:noProof/>
                <w:webHidden/>
                <w:color w:val="252C65" w:themeColor="text2"/>
              </w:rPr>
              <w:fldChar w:fldCharType="separate"/>
            </w:r>
            <w:r w:rsidR="00340874">
              <w:rPr>
                <w:noProof/>
                <w:webHidden/>
                <w:color w:val="252C65" w:themeColor="text2"/>
              </w:rPr>
              <w:t>2</w:t>
            </w:r>
            <w:r w:rsidR="00FB043F" w:rsidRPr="00AC0949">
              <w:rPr>
                <w:noProof/>
                <w:webHidden/>
                <w:color w:val="252C65" w:themeColor="text2"/>
              </w:rPr>
              <w:fldChar w:fldCharType="end"/>
            </w:r>
          </w:hyperlink>
        </w:p>
        <w:p w14:paraId="43FAC60F" w14:textId="2CFBA408" w:rsidR="00FB043F" w:rsidRPr="00AC0949" w:rsidRDefault="0088153D">
          <w:pPr>
            <w:pStyle w:val="TOC2"/>
            <w:tabs>
              <w:tab w:val="right" w:leader="dot" w:pos="8488"/>
            </w:tabs>
            <w:rPr>
              <w:rFonts w:asciiTheme="minorHAnsi" w:hAnsiTheme="minorHAnsi"/>
              <w:noProof/>
              <w:color w:val="252C65" w:themeColor="text2"/>
              <w:szCs w:val="22"/>
              <w:lang w:eastAsia="en-NZ"/>
            </w:rPr>
          </w:pPr>
          <w:hyperlink w:anchor="_Toc51763863" w:history="1">
            <w:r w:rsidR="00FB043F" w:rsidRPr="00AC0949">
              <w:rPr>
                <w:rStyle w:val="Hyperlink"/>
                <w:noProof/>
                <w:color w:val="252C65" w:themeColor="text2"/>
              </w:rPr>
              <w:t>Policies implemented in response to the negative economic effects of COVID-19</w:t>
            </w:r>
            <w:r w:rsidR="00FB043F" w:rsidRPr="00AC0949">
              <w:rPr>
                <w:noProof/>
                <w:webHidden/>
                <w:color w:val="252C65" w:themeColor="text2"/>
              </w:rPr>
              <w:tab/>
            </w:r>
            <w:r w:rsidR="00FB043F" w:rsidRPr="00AC0949">
              <w:rPr>
                <w:noProof/>
                <w:webHidden/>
                <w:color w:val="252C65" w:themeColor="text2"/>
              </w:rPr>
              <w:fldChar w:fldCharType="begin"/>
            </w:r>
            <w:r w:rsidR="00FB043F" w:rsidRPr="00AC0949">
              <w:rPr>
                <w:noProof/>
                <w:webHidden/>
                <w:color w:val="252C65" w:themeColor="text2"/>
              </w:rPr>
              <w:instrText xml:space="preserve"> PAGEREF _Toc51763863 \h </w:instrText>
            </w:r>
            <w:r w:rsidR="00FB043F" w:rsidRPr="00AC0949">
              <w:rPr>
                <w:noProof/>
                <w:webHidden/>
                <w:color w:val="252C65" w:themeColor="text2"/>
              </w:rPr>
            </w:r>
            <w:r w:rsidR="00FB043F" w:rsidRPr="00AC0949">
              <w:rPr>
                <w:noProof/>
                <w:webHidden/>
                <w:color w:val="252C65" w:themeColor="text2"/>
              </w:rPr>
              <w:fldChar w:fldCharType="separate"/>
            </w:r>
            <w:r w:rsidR="00340874">
              <w:rPr>
                <w:noProof/>
                <w:webHidden/>
                <w:color w:val="252C65" w:themeColor="text2"/>
              </w:rPr>
              <w:t>8</w:t>
            </w:r>
            <w:r w:rsidR="00FB043F" w:rsidRPr="00AC0949">
              <w:rPr>
                <w:noProof/>
                <w:webHidden/>
                <w:color w:val="252C65" w:themeColor="text2"/>
              </w:rPr>
              <w:fldChar w:fldCharType="end"/>
            </w:r>
          </w:hyperlink>
        </w:p>
        <w:p w14:paraId="68CB312B" w14:textId="7A7A13A4" w:rsidR="00FB043F" w:rsidRPr="00AC0949" w:rsidRDefault="0088153D">
          <w:pPr>
            <w:pStyle w:val="TOC2"/>
            <w:tabs>
              <w:tab w:val="right" w:leader="dot" w:pos="8488"/>
            </w:tabs>
            <w:rPr>
              <w:rFonts w:asciiTheme="minorHAnsi" w:hAnsiTheme="minorHAnsi"/>
              <w:noProof/>
              <w:color w:val="252C65" w:themeColor="text2"/>
              <w:szCs w:val="22"/>
              <w:lang w:eastAsia="en-NZ"/>
            </w:rPr>
          </w:pPr>
          <w:hyperlink w:anchor="_Toc51763865" w:history="1">
            <w:r w:rsidR="00FB043F" w:rsidRPr="00AC0949">
              <w:rPr>
                <w:rStyle w:val="Hyperlink"/>
                <w:noProof/>
                <w:color w:val="252C65" w:themeColor="text2"/>
              </w:rPr>
              <w:t>Both weakening economic conditions and the COVID-19 policy responses have affected demand for benefit payments</w:t>
            </w:r>
            <w:r w:rsidR="00FB043F" w:rsidRPr="00AC0949">
              <w:rPr>
                <w:noProof/>
                <w:webHidden/>
                <w:color w:val="252C65" w:themeColor="text2"/>
              </w:rPr>
              <w:tab/>
            </w:r>
            <w:r w:rsidR="00FB043F" w:rsidRPr="00AC0949">
              <w:rPr>
                <w:noProof/>
                <w:webHidden/>
                <w:color w:val="252C65" w:themeColor="text2"/>
              </w:rPr>
              <w:fldChar w:fldCharType="begin"/>
            </w:r>
            <w:r w:rsidR="00FB043F" w:rsidRPr="00AC0949">
              <w:rPr>
                <w:noProof/>
                <w:webHidden/>
                <w:color w:val="252C65" w:themeColor="text2"/>
              </w:rPr>
              <w:instrText xml:space="preserve"> PAGEREF _Toc51763865 \h </w:instrText>
            </w:r>
            <w:r w:rsidR="00FB043F" w:rsidRPr="00AC0949">
              <w:rPr>
                <w:noProof/>
                <w:webHidden/>
                <w:color w:val="252C65" w:themeColor="text2"/>
              </w:rPr>
            </w:r>
            <w:r w:rsidR="00FB043F" w:rsidRPr="00AC0949">
              <w:rPr>
                <w:noProof/>
                <w:webHidden/>
                <w:color w:val="252C65" w:themeColor="text2"/>
              </w:rPr>
              <w:fldChar w:fldCharType="separate"/>
            </w:r>
            <w:r w:rsidR="00340874">
              <w:rPr>
                <w:noProof/>
                <w:webHidden/>
                <w:color w:val="252C65" w:themeColor="text2"/>
              </w:rPr>
              <w:t>9</w:t>
            </w:r>
            <w:r w:rsidR="00FB043F" w:rsidRPr="00AC0949">
              <w:rPr>
                <w:noProof/>
                <w:webHidden/>
                <w:color w:val="252C65" w:themeColor="text2"/>
              </w:rPr>
              <w:fldChar w:fldCharType="end"/>
            </w:r>
          </w:hyperlink>
        </w:p>
        <w:p w14:paraId="560CA18D" w14:textId="034C535B" w:rsidR="00FB043F" w:rsidRPr="00AC0949" w:rsidRDefault="0088153D">
          <w:pPr>
            <w:pStyle w:val="TOC2"/>
            <w:tabs>
              <w:tab w:val="right" w:leader="dot" w:pos="8488"/>
            </w:tabs>
            <w:rPr>
              <w:rFonts w:asciiTheme="minorHAnsi" w:hAnsiTheme="minorHAnsi"/>
              <w:noProof/>
              <w:color w:val="252C65" w:themeColor="text2"/>
              <w:szCs w:val="22"/>
              <w:lang w:eastAsia="en-NZ"/>
            </w:rPr>
          </w:pPr>
          <w:hyperlink w:anchor="_Toc51763881" w:history="1">
            <w:r w:rsidR="00FB043F" w:rsidRPr="00AC0949">
              <w:rPr>
                <w:rStyle w:val="Hyperlink"/>
                <w:noProof/>
                <w:color w:val="252C65" w:themeColor="text2"/>
              </w:rPr>
              <w:t>Ongoing global and domestic uncertainty</w:t>
            </w:r>
            <w:r w:rsidR="00FB043F" w:rsidRPr="00AC0949">
              <w:rPr>
                <w:noProof/>
                <w:webHidden/>
                <w:color w:val="252C65" w:themeColor="text2"/>
              </w:rPr>
              <w:tab/>
            </w:r>
            <w:r w:rsidR="00FB043F" w:rsidRPr="00AC0949">
              <w:rPr>
                <w:noProof/>
                <w:webHidden/>
                <w:color w:val="252C65" w:themeColor="text2"/>
              </w:rPr>
              <w:fldChar w:fldCharType="begin"/>
            </w:r>
            <w:r w:rsidR="00FB043F" w:rsidRPr="00AC0949">
              <w:rPr>
                <w:noProof/>
                <w:webHidden/>
                <w:color w:val="252C65" w:themeColor="text2"/>
              </w:rPr>
              <w:instrText xml:space="preserve"> PAGEREF _Toc51763881 \h </w:instrText>
            </w:r>
            <w:r w:rsidR="00FB043F" w:rsidRPr="00AC0949">
              <w:rPr>
                <w:noProof/>
                <w:webHidden/>
                <w:color w:val="252C65" w:themeColor="text2"/>
              </w:rPr>
            </w:r>
            <w:r w:rsidR="00FB043F" w:rsidRPr="00AC0949">
              <w:rPr>
                <w:noProof/>
                <w:webHidden/>
                <w:color w:val="252C65" w:themeColor="text2"/>
              </w:rPr>
              <w:fldChar w:fldCharType="separate"/>
            </w:r>
            <w:r w:rsidR="00340874">
              <w:rPr>
                <w:noProof/>
                <w:webHidden/>
                <w:color w:val="252C65" w:themeColor="text2"/>
              </w:rPr>
              <w:t>22</w:t>
            </w:r>
            <w:r w:rsidR="00FB043F" w:rsidRPr="00AC0949">
              <w:rPr>
                <w:noProof/>
                <w:webHidden/>
                <w:color w:val="252C65" w:themeColor="text2"/>
              </w:rPr>
              <w:fldChar w:fldCharType="end"/>
            </w:r>
          </w:hyperlink>
        </w:p>
        <w:p w14:paraId="3D9E73B7" w14:textId="37A83998" w:rsidR="00FB043F" w:rsidRPr="00AC0949" w:rsidRDefault="0088153D">
          <w:pPr>
            <w:pStyle w:val="TOC2"/>
            <w:tabs>
              <w:tab w:val="right" w:leader="dot" w:pos="8488"/>
            </w:tabs>
            <w:rPr>
              <w:rFonts w:asciiTheme="minorHAnsi" w:hAnsiTheme="minorHAnsi"/>
              <w:noProof/>
              <w:color w:val="252C65" w:themeColor="text2"/>
              <w:szCs w:val="22"/>
              <w:lang w:eastAsia="en-NZ"/>
            </w:rPr>
          </w:pPr>
          <w:hyperlink w:anchor="_Toc51763882" w:history="1">
            <w:r w:rsidR="00FB043F" w:rsidRPr="00AC0949">
              <w:rPr>
                <w:rStyle w:val="Hyperlink"/>
                <w:noProof/>
                <w:color w:val="252C65" w:themeColor="text2"/>
              </w:rPr>
              <w:t>Appendix 1</w:t>
            </w:r>
            <w:r w:rsidR="00FB043F" w:rsidRPr="00AC0949">
              <w:rPr>
                <w:noProof/>
                <w:webHidden/>
                <w:color w:val="252C65" w:themeColor="text2"/>
              </w:rPr>
              <w:tab/>
            </w:r>
            <w:r w:rsidR="00FB043F" w:rsidRPr="00AC0949">
              <w:rPr>
                <w:noProof/>
                <w:webHidden/>
                <w:color w:val="252C65" w:themeColor="text2"/>
              </w:rPr>
              <w:fldChar w:fldCharType="begin"/>
            </w:r>
            <w:r w:rsidR="00FB043F" w:rsidRPr="00AC0949">
              <w:rPr>
                <w:noProof/>
                <w:webHidden/>
                <w:color w:val="252C65" w:themeColor="text2"/>
              </w:rPr>
              <w:instrText xml:space="preserve"> PAGEREF _Toc51763882 \h </w:instrText>
            </w:r>
            <w:r w:rsidR="00FB043F" w:rsidRPr="00AC0949">
              <w:rPr>
                <w:noProof/>
                <w:webHidden/>
                <w:color w:val="252C65" w:themeColor="text2"/>
              </w:rPr>
            </w:r>
            <w:r w:rsidR="00FB043F" w:rsidRPr="00AC0949">
              <w:rPr>
                <w:noProof/>
                <w:webHidden/>
                <w:color w:val="252C65" w:themeColor="text2"/>
              </w:rPr>
              <w:fldChar w:fldCharType="separate"/>
            </w:r>
            <w:r w:rsidR="00340874">
              <w:rPr>
                <w:noProof/>
                <w:webHidden/>
                <w:color w:val="252C65" w:themeColor="text2"/>
              </w:rPr>
              <w:t>24</w:t>
            </w:r>
            <w:r w:rsidR="00FB043F" w:rsidRPr="00AC0949">
              <w:rPr>
                <w:noProof/>
                <w:webHidden/>
                <w:color w:val="252C65" w:themeColor="text2"/>
              </w:rPr>
              <w:fldChar w:fldCharType="end"/>
            </w:r>
          </w:hyperlink>
        </w:p>
        <w:p w14:paraId="50E342B7" w14:textId="655704F4" w:rsidR="00CD5E9E" w:rsidRPr="00AC0949" w:rsidRDefault="00CD5E9E">
          <w:pPr>
            <w:rPr>
              <w:color w:val="252C65" w:themeColor="text2"/>
            </w:rPr>
          </w:pPr>
          <w:r w:rsidRPr="00AC0949">
            <w:rPr>
              <w:b/>
              <w:bCs/>
              <w:noProof/>
              <w:color w:val="252C65" w:themeColor="text2"/>
            </w:rPr>
            <w:fldChar w:fldCharType="end"/>
          </w:r>
        </w:p>
      </w:sdtContent>
    </w:sdt>
    <w:p w14:paraId="5B402796" w14:textId="56E18FF0" w:rsidR="008F3BD2" w:rsidRPr="00AC0949" w:rsidRDefault="00AC0949" w:rsidP="00AC0949">
      <w:pPr>
        <w:pStyle w:val="Info2"/>
        <w:rPr>
          <w:color w:val="252C65" w:themeColor="text2"/>
        </w:rPr>
      </w:pPr>
      <w:r>
        <w:rPr>
          <w:color w:val="252C65" w:themeColor="text2"/>
        </w:rPr>
        <w:br/>
      </w:r>
      <w:r w:rsidR="008F3BD2" w:rsidRPr="00AC0949">
        <w:rPr>
          <w:color w:val="252C65" w:themeColor="text2"/>
        </w:rPr>
        <w:t>List of figures</w:t>
      </w:r>
      <w:r>
        <w:rPr>
          <w:color w:val="252C65" w:themeColor="text2"/>
        </w:rPr>
        <w:t xml:space="preserve"> and tables</w:t>
      </w:r>
    </w:p>
    <w:p w14:paraId="26303758" w14:textId="33325EDE" w:rsidR="008F3BD2" w:rsidRPr="00AC0949" w:rsidRDefault="008F3BD2">
      <w:pPr>
        <w:pStyle w:val="TableofFigures"/>
        <w:tabs>
          <w:tab w:val="right" w:leader="dot" w:pos="8488"/>
        </w:tabs>
        <w:rPr>
          <w:noProof/>
          <w:color w:val="252C65" w:themeColor="text2"/>
        </w:rPr>
      </w:pPr>
      <w:r>
        <w:fldChar w:fldCharType="begin"/>
      </w:r>
      <w:r>
        <w:instrText xml:space="preserve"> TOC \h \z \c "Figure" </w:instrText>
      </w:r>
      <w:r>
        <w:fldChar w:fldCharType="separate"/>
      </w:r>
      <w:hyperlink w:anchor="_Toc51766315" w:history="1">
        <w:r w:rsidRPr="00AC0949">
          <w:rPr>
            <w:rStyle w:val="Hyperlink"/>
            <w:noProof/>
            <w:color w:val="252C65" w:themeColor="text2"/>
          </w:rPr>
          <w:t>Figure 1 – New Zealand Activity Index (monthly)</w:t>
        </w:r>
        <w:r w:rsidRPr="00AC0949">
          <w:rPr>
            <w:noProof/>
            <w:webHidden/>
            <w:color w:val="252C65" w:themeColor="text2"/>
          </w:rPr>
          <w:tab/>
        </w:r>
        <w:r w:rsidRPr="00AC0949">
          <w:rPr>
            <w:noProof/>
            <w:webHidden/>
            <w:color w:val="252C65" w:themeColor="text2"/>
          </w:rPr>
          <w:fldChar w:fldCharType="begin"/>
        </w:r>
        <w:r w:rsidRPr="00AC0949">
          <w:rPr>
            <w:noProof/>
            <w:webHidden/>
            <w:color w:val="252C65" w:themeColor="text2"/>
          </w:rPr>
          <w:instrText xml:space="preserve"> PAGEREF _Toc51766315 \h </w:instrText>
        </w:r>
        <w:r w:rsidRPr="00AC0949">
          <w:rPr>
            <w:noProof/>
            <w:webHidden/>
            <w:color w:val="252C65" w:themeColor="text2"/>
          </w:rPr>
        </w:r>
        <w:r w:rsidRPr="00AC0949">
          <w:rPr>
            <w:noProof/>
            <w:webHidden/>
            <w:color w:val="252C65" w:themeColor="text2"/>
          </w:rPr>
          <w:fldChar w:fldCharType="separate"/>
        </w:r>
        <w:r w:rsidR="00340874">
          <w:rPr>
            <w:noProof/>
            <w:webHidden/>
            <w:color w:val="252C65" w:themeColor="text2"/>
          </w:rPr>
          <w:t>6</w:t>
        </w:r>
        <w:r w:rsidRPr="00AC0949">
          <w:rPr>
            <w:noProof/>
            <w:webHidden/>
            <w:color w:val="252C65" w:themeColor="text2"/>
          </w:rPr>
          <w:fldChar w:fldCharType="end"/>
        </w:r>
      </w:hyperlink>
    </w:p>
    <w:p w14:paraId="22C7E424" w14:textId="536F2D50" w:rsidR="008F3BD2" w:rsidRPr="00AC0949" w:rsidRDefault="0088153D">
      <w:pPr>
        <w:pStyle w:val="TableofFigures"/>
        <w:tabs>
          <w:tab w:val="right" w:leader="dot" w:pos="8488"/>
        </w:tabs>
        <w:rPr>
          <w:noProof/>
          <w:color w:val="252C65" w:themeColor="text2"/>
        </w:rPr>
      </w:pPr>
      <w:hyperlink w:anchor="_Toc51766316" w:history="1">
        <w:r w:rsidR="008F3BD2" w:rsidRPr="00AC0949">
          <w:rPr>
            <w:rStyle w:val="Hyperlink"/>
            <w:noProof/>
            <w:color w:val="252C65" w:themeColor="text2"/>
          </w:rPr>
          <w:t>Figure 2 – Jobseeker Support Work-Ready weekly numbers com</w:t>
        </w:r>
        <w:r w:rsidR="00AC0949" w:rsidRPr="00AC0949">
          <w:rPr>
            <w:rStyle w:val="Hyperlink"/>
            <w:noProof/>
            <w:color w:val="252C65" w:themeColor="text2"/>
          </w:rPr>
          <w:t>pa</w:t>
        </w:r>
        <w:r w:rsidR="008F3BD2" w:rsidRPr="00AC0949">
          <w:rPr>
            <w:rStyle w:val="Hyperlink"/>
            <w:noProof/>
            <w:color w:val="252C65" w:themeColor="text2"/>
          </w:rPr>
          <w:t>red to past recessions</w:t>
        </w:r>
        <w:r w:rsidR="00AC0949" w:rsidRPr="00AC0949">
          <w:rPr>
            <w:rStyle w:val="Hyperlink"/>
            <w:noProof/>
            <w:color w:val="252C65" w:themeColor="text2"/>
          </w:rPr>
          <w:t>: Comparison of cumulative growth</w:t>
        </w:r>
        <w:r w:rsidR="008F3BD2" w:rsidRPr="00AC0949">
          <w:rPr>
            <w:noProof/>
            <w:webHidden/>
            <w:color w:val="252C65" w:themeColor="text2"/>
          </w:rPr>
          <w:tab/>
        </w:r>
        <w:r w:rsidR="008F3BD2" w:rsidRPr="00AC0949">
          <w:rPr>
            <w:noProof/>
            <w:webHidden/>
            <w:color w:val="252C65" w:themeColor="text2"/>
          </w:rPr>
          <w:fldChar w:fldCharType="begin"/>
        </w:r>
        <w:r w:rsidR="008F3BD2" w:rsidRPr="00AC0949">
          <w:rPr>
            <w:noProof/>
            <w:webHidden/>
            <w:color w:val="252C65" w:themeColor="text2"/>
          </w:rPr>
          <w:instrText xml:space="preserve"> PAGEREF _Toc51766316 \h </w:instrText>
        </w:r>
        <w:r w:rsidR="008F3BD2" w:rsidRPr="00AC0949">
          <w:rPr>
            <w:noProof/>
            <w:webHidden/>
            <w:color w:val="252C65" w:themeColor="text2"/>
          </w:rPr>
        </w:r>
        <w:r w:rsidR="008F3BD2" w:rsidRPr="00AC0949">
          <w:rPr>
            <w:noProof/>
            <w:webHidden/>
            <w:color w:val="252C65" w:themeColor="text2"/>
          </w:rPr>
          <w:fldChar w:fldCharType="separate"/>
        </w:r>
        <w:r w:rsidR="00340874">
          <w:rPr>
            <w:noProof/>
            <w:webHidden/>
            <w:color w:val="252C65" w:themeColor="text2"/>
          </w:rPr>
          <w:t>10</w:t>
        </w:r>
        <w:r w:rsidR="008F3BD2" w:rsidRPr="00AC0949">
          <w:rPr>
            <w:noProof/>
            <w:webHidden/>
            <w:color w:val="252C65" w:themeColor="text2"/>
          </w:rPr>
          <w:fldChar w:fldCharType="end"/>
        </w:r>
      </w:hyperlink>
    </w:p>
    <w:p w14:paraId="69880341" w14:textId="4AEA14B2" w:rsidR="008F3BD2" w:rsidRPr="00AC0949" w:rsidRDefault="0088153D">
      <w:pPr>
        <w:pStyle w:val="TableofFigures"/>
        <w:tabs>
          <w:tab w:val="right" w:leader="dot" w:pos="8488"/>
        </w:tabs>
        <w:rPr>
          <w:noProof/>
          <w:color w:val="252C65" w:themeColor="text2"/>
        </w:rPr>
      </w:pPr>
      <w:hyperlink w:anchor="_Toc51766317" w:history="1">
        <w:r w:rsidR="008F3BD2" w:rsidRPr="00AC0949">
          <w:rPr>
            <w:rStyle w:val="Hyperlink"/>
            <w:noProof/>
            <w:color w:val="252C65" w:themeColor="text2"/>
          </w:rPr>
          <w:t xml:space="preserve">Figure 3 </w:t>
        </w:r>
        <w:r w:rsidR="00AC0949" w:rsidRPr="00AC0949">
          <w:rPr>
            <w:rStyle w:val="Hyperlink"/>
            <w:noProof/>
            <w:color w:val="252C65" w:themeColor="text2"/>
          </w:rPr>
          <w:t>– Jobseeker Support ethnicity breakdown over time</w:t>
        </w:r>
        <w:r w:rsidR="008F3BD2" w:rsidRPr="00AC0949">
          <w:rPr>
            <w:noProof/>
            <w:webHidden/>
            <w:color w:val="252C65" w:themeColor="text2"/>
          </w:rPr>
          <w:tab/>
        </w:r>
        <w:r w:rsidR="008F3BD2" w:rsidRPr="00AC0949">
          <w:rPr>
            <w:noProof/>
            <w:webHidden/>
            <w:color w:val="252C65" w:themeColor="text2"/>
          </w:rPr>
          <w:fldChar w:fldCharType="begin"/>
        </w:r>
        <w:r w:rsidR="008F3BD2" w:rsidRPr="00AC0949">
          <w:rPr>
            <w:noProof/>
            <w:webHidden/>
            <w:color w:val="252C65" w:themeColor="text2"/>
          </w:rPr>
          <w:instrText xml:space="preserve"> PAGEREF _Toc51766317 \h </w:instrText>
        </w:r>
        <w:r w:rsidR="008F3BD2" w:rsidRPr="00AC0949">
          <w:rPr>
            <w:noProof/>
            <w:webHidden/>
            <w:color w:val="252C65" w:themeColor="text2"/>
          </w:rPr>
        </w:r>
        <w:r w:rsidR="008F3BD2" w:rsidRPr="00AC0949">
          <w:rPr>
            <w:noProof/>
            <w:webHidden/>
            <w:color w:val="252C65" w:themeColor="text2"/>
          </w:rPr>
          <w:fldChar w:fldCharType="separate"/>
        </w:r>
        <w:r w:rsidR="00340874">
          <w:rPr>
            <w:noProof/>
            <w:webHidden/>
            <w:color w:val="252C65" w:themeColor="text2"/>
          </w:rPr>
          <w:t>12</w:t>
        </w:r>
        <w:r w:rsidR="008F3BD2" w:rsidRPr="00AC0949">
          <w:rPr>
            <w:noProof/>
            <w:webHidden/>
            <w:color w:val="252C65" w:themeColor="text2"/>
          </w:rPr>
          <w:fldChar w:fldCharType="end"/>
        </w:r>
      </w:hyperlink>
    </w:p>
    <w:p w14:paraId="21F1CE13" w14:textId="651B8677" w:rsidR="008F3BD2" w:rsidRPr="00AC0949" w:rsidRDefault="0088153D">
      <w:pPr>
        <w:pStyle w:val="TableofFigures"/>
        <w:tabs>
          <w:tab w:val="right" w:leader="dot" w:pos="8488"/>
        </w:tabs>
        <w:rPr>
          <w:noProof/>
          <w:color w:val="252C65" w:themeColor="text2"/>
        </w:rPr>
      </w:pPr>
      <w:hyperlink w:anchor="_Toc51766318" w:history="1">
        <w:r w:rsidR="008F3BD2" w:rsidRPr="00AC0949">
          <w:rPr>
            <w:rStyle w:val="Hyperlink"/>
            <w:noProof/>
            <w:color w:val="252C65" w:themeColor="text2"/>
          </w:rPr>
          <w:t>Figure 4 –</w:t>
        </w:r>
        <w:r w:rsidR="00AC0949" w:rsidRPr="00AC0949">
          <w:rPr>
            <w:rStyle w:val="Hyperlink"/>
            <w:noProof/>
            <w:color w:val="252C65" w:themeColor="text2"/>
          </w:rPr>
          <w:t xml:space="preserve"> Weekly Jobseeker Support Work-Ready flows to non-benefit</w:t>
        </w:r>
        <w:r w:rsidR="008F3BD2" w:rsidRPr="00AC0949">
          <w:rPr>
            <w:rStyle w:val="Hyperlink"/>
            <w:noProof/>
            <w:color w:val="252C65" w:themeColor="text2"/>
          </w:rPr>
          <w:t>.</w:t>
        </w:r>
        <w:r w:rsidR="008F3BD2" w:rsidRPr="00AC0949">
          <w:rPr>
            <w:noProof/>
            <w:webHidden/>
            <w:color w:val="252C65" w:themeColor="text2"/>
          </w:rPr>
          <w:tab/>
        </w:r>
        <w:r w:rsidR="008F3BD2" w:rsidRPr="00AC0949">
          <w:rPr>
            <w:noProof/>
            <w:webHidden/>
            <w:color w:val="252C65" w:themeColor="text2"/>
          </w:rPr>
          <w:fldChar w:fldCharType="begin"/>
        </w:r>
        <w:r w:rsidR="008F3BD2" w:rsidRPr="00AC0949">
          <w:rPr>
            <w:noProof/>
            <w:webHidden/>
            <w:color w:val="252C65" w:themeColor="text2"/>
          </w:rPr>
          <w:instrText xml:space="preserve"> PAGEREF _Toc51766318 \h </w:instrText>
        </w:r>
        <w:r w:rsidR="008F3BD2" w:rsidRPr="00AC0949">
          <w:rPr>
            <w:noProof/>
            <w:webHidden/>
            <w:color w:val="252C65" w:themeColor="text2"/>
          </w:rPr>
        </w:r>
        <w:r w:rsidR="008F3BD2" w:rsidRPr="00AC0949">
          <w:rPr>
            <w:noProof/>
            <w:webHidden/>
            <w:color w:val="252C65" w:themeColor="text2"/>
          </w:rPr>
          <w:fldChar w:fldCharType="separate"/>
        </w:r>
        <w:r w:rsidR="00340874">
          <w:rPr>
            <w:noProof/>
            <w:webHidden/>
            <w:color w:val="252C65" w:themeColor="text2"/>
          </w:rPr>
          <w:t>15</w:t>
        </w:r>
        <w:r w:rsidR="008F3BD2" w:rsidRPr="00AC0949">
          <w:rPr>
            <w:noProof/>
            <w:webHidden/>
            <w:color w:val="252C65" w:themeColor="text2"/>
          </w:rPr>
          <w:fldChar w:fldCharType="end"/>
        </w:r>
      </w:hyperlink>
    </w:p>
    <w:p w14:paraId="547B733C" w14:textId="3345FB5D" w:rsidR="008F3BD2" w:rsidRPr="00AC0949" w:rsidRDefault="0088153D">
      <w:pPr>
        <w:pStyle w:val="TableofFigures"/>
        <w:tabs>
          <w:tab w:val="right" w:leader="dot" w:pos="8488"/>
        </w:tabs>
        <w:rPr>
          <w:noProof/>
          <w:color w:val="252C65" w:themeColor="text2"/>
        </w:rPr>
      </w:pPr>
      <w:hyperlink w:anchor="_Toc51766319" w:history="1">
        <w:r w:rsidR="008F3BD2" w:rsidRPr="00AC0949">
          <w:rPr>
            <w:rStyle w:val="Hyperlink"/>
            <w:noProof/>
            <w:color w:val="252C65" w:themeColor="text2"/>
          </w:rPr>
          <w:t xml:space="preserve">Figure 5 – </w:t>
        </w:r>
        <w:r w:rsidR="00AC0949" w:rsidRPr="00AC0949">
          <w:rPr>
            <w:rStyle w:val="Hyperlink"/>
            <w:noProof/>
            <w:color w:val="252C65" w:themeColor="text2"/>
          </w:rPr>
          <w:t>Working-age benefit ‘obtained work’ exit rate</w:t>
        </w:r>
        <w:r w:rsidR="008F3BD2" w:rsidRPr="00AC0949">
          <w:rPr>
            <w:noProof/>
            <w:webHidden/>
            <w:color w:val="252C65" w:themeColor="text2"/>
          </w:rPr>
          <w:tab/>
        </w:r>
        <w:r w:rsidR="008F3BD2" w:rsidRPr="00AC0949">
          <w:rPr>
            <w:noProof/>
            <w:webHidden/>
            <w:color w:val="252C65" w:themeColor="text2"/>
          </w:rPr>
          <w:fldChar w:fldCharType="begin"/>
        </w:r>
        <w:r w:rsidR="008F3BD2" w:rsidRPr="00AC0949">
          <w:rPr>
            <w:noProof/>
            <w:webHidden/>
            <w:color w:val="252C65" w:themeColor="text2"/>
          </w:rPr>
          <w:instrText xml:space="preserve"> PAGEREF _Toc51766319 \h </w:instrText>
        </w:r>
        <w:r w:rsidR="008F3BD2" w:rsidRPr="00AC0949">
          <w:rPr>
            <w:noProof/>
            <w:webHidden/>
            <w:color w:val="252C65" w:themeColor="text2"/>
          </w:rPr>
        </w:r>
        <w:r w:rsidR="008F3BD2" w:rsidRPr="00AC0949">
          <w:rPr>
            <w:noProof/>
            <w:webHidden/>
            <w:color w:val="252C65" w:themeColor="text2"/>
          </w:rPr>
          <w:fldChar w:fldCharType="separate"/>
        </w:r>
        <w:r w:rsidR="00340874">
          <w:rPr>
            <w:noProof/>
            <w:webHidden/>
            <w:color w:val="252C65" w:themeColor="text2"/>
          </w:rPr>
          <w:t>16</w:t>
        </w:r>
        <w:r w:rsidR="008F3BD2" w:rsidRPr="00AC0949">
          <w:rPr>
            <w:noProof/>
            <w:webHidden/>
            <w:color w:val="252C65" w:themeColor="text2"/>
          </w:rPr>
          <w:fldChar w:fldCharType="end"/>
        </w:r>
      </w:hyperlink>
    </w:p>
    <w:p w14:paraId="1F00B7D0" w14:textId="1FE858F0" w:rsidR="008F3BD2" w:rsidRPr="00AC0949" w:rsidRDefault="0088153D">
      <w:pPr>
        <w:pStyle w:val="TableofFigures"/>
        <w:tabs>
          <w:tab w:val="right" w:leader="dot" w:pos="8488"/>
        </w:tabs>
        <w:rPr>
          <w:noProof/>
          <w:color w:val="252C65" w:themeColor="text2"/>
        </w:rPr>
      </w:pPr>
      <w:hyperlink w:anchor="_Toc51766320" w:history="1">
        <w:r w:rsidR="008F3BD2" w:rsidRPr="00AC0949">
          <w:rPr>
            <w:rStyle w:val="Hyperlink"/>
            <w:noProof/>
            <w:color w:val="252C65" w:themeColor="text2"/>
          </w:rPr>
          <w:t xml:space="preserve">Figure 6 – </w:t>
        </w:r>
        <w:r w:rsidR="00AC0949" w:rsidRPr="00AC0949">
          <w:rPr>
            <w:rStyle w:val="Hyperlink"/>
            <w:noProof/>
            <w:color w:val="252C65" w:themeColor="text2"/>
          </w:rPr>
          <w:t xml:space="preserve">Jobseeker Support plus CIRP </w:t>
        </w:r>
        <w:r w:rsidR="00AC0949">
          <w:rPr>
            <w:rStyle w:val="Hyperlink"/>
            <w:noProof/>
            <w:color w:val="252C65" w:themeColor="text2"/>
          </w:rPr>
          <w:t>r</w:t>
        </w:r>
        <w:r w:rsidR="00AC0949" w:rsidRPr="00AC0949">
          <w:rPr>
            <w:rStyle w:val="Hyperlink"/>
            <w:noProof/>
            <w:color w:val="252C65" w:themeColor="text2"/>
          </w:rPr>
          <w:t>ecipients (excluding partners)</w:t>
        </w:r>
        <w:r w:rsidR="008F3BD2" w:rsidRPr="00AC0949">
          <w:rPr>
            <w:rStyle w:val="Hyperlink"/>
            <w:noProof/>
            <w:color w:val="252C65" w:themeColor="text2"/>
          </w:rPr>
          <w:t>.</w:t>
        </w:r>
        <w:r w:rsidR="008F3BD2" w:rsidRPr="00AC0949">
          <w:rPr>
            <w:noProof/>
            <w:webHidden/>
            <w:color w:val="252C65" w:themeColor="text2"/>
          </w:rPr>
          <w:tab/>
        </w:r>
        <w:r w:rsidR="008F3BD2" w:rsidRPr="00AC0949">
          <w:rPr>
            <w:noProof/>
            <w:webHidden/>
            <w:color w:val="252C65" w:themeColor="text2"/>
          </w:rPr>
          <w:fldChar w:fldCharType="begin"/>
        </w:r>
        <w:r w:rsidR="008F3BD2" w:rsidRPr="00AC0949">
          <w:rPr>
            <w:noProof/>
            <w:webHidden/>
            <w:color w:val="252C65" w:themeColor="text2"/>
          </w:rPr>
          <w:instrText xml:space="preserve"> PAGEREF _Toc51766320 \h </w:instrText>
        </w:r>
        <w:r w:rsidR="008F3BD2" w:rsidRPr="00AC0949">
          <w:rPr>
            <w:noProof/>
            <w:webHidden/>
            <w:color w:val="252C65" w:themeColor="text2"/>
          </w:rPr>
        </w:r>
        <w:r w:rsidR="008F3BD2" w:rsidRPr="00AC0949">
          <w:rPr>
            <w:noProof/>
            <w:webHidden/>
            <w:color w:val="252C65" w:themeColor="text2"/>
          </w:rPr>
          <w:fldChar w:fldCharType="separate"/>
        </w:r>
        <w:r w:rsidR="00340874">
          <w:rPr>
            <w:noProof/>
            <w:webHidden/>
            <w:color w:val="252C65" w:themeColor="text2"/>
          </w:rPr>
          <w:t>18</w:t>
        </w:r>
        <w:r w:rsidR="008F3BD2" w:rsidRPr="00AC0949">
          <w:rPr>
            <w:noProof/>
            <w:webHidden/>
            <w:color w:val="252C65" w:themeColor="text2"/>
          </w:rPr>
          <w:fldChar w:fldCharType="end"/>
        </w:r>
      </w:hyperlink>
    </w:p>
    <w:p w14:paraId="7998796E" w14:textId="734167C1" w:rsidR="008F3BD2" w:rsidRDefault="0088153D">
      <w:pPr>
        <w:pStyle w:val="TableofFigures"/>
        <w:tabs>
          <w:tab w:val="right" w:leader="dot" w:pos="8488"/>
        </w:tabs>
        <w:rPr>
          <w:rStyle w:val="Hyperlink"/>
          <w:noProof/>
          <w:color w:val="252C65" w:themeColor="text2"/>
        </w:rPr>
      </w:pPr>
      <w:hyperlink w:anchor="_Toc51766321" w:history="1">
        <w:r w:rsidR="008F3BD2" w:rsidRPr="00AC0949">
          <w:rPr>
            <w:rStyle w:val="Hyperlink"/>
            <w:noProof/>
            <w:color w:val="252C65" w:themeColor="text2"/>
          </w:rPr>
          <w:t xml:space="preserve">Figure 7 – </w:t>
        </w:r>
        <w:r w:rsidR="00AC0949" w:rsidRPr="00AC0949">
          <w:rPr>
            <w:rStyle w:val="Hyperlink"/>
            <w:noProof/>
            <w:color w:val="252C65" w:themeColor="text2"/>
          </w:rPr>
          <w:t>Hardship weekly grants</w:t>
        </w:r>
        <w:r w:rsidR="008F3BD2" w:rsidRPr="00AC0949">
          <w:rPr>
            <w:noProof/>
            <w:webHidden/>
            <w:color w:val="252C65" w:themeColor="text2"/>
          </w:rPr>
          <w:tab/>
        </w:r>
        <w:r w:rsidR="008F3BD2" w:rsidRPr="00AC0949">
          <w:rPr>
            <w:noProof/>
            <w:webHidden/>
            <w:color w:val="252C65" w:themeColor="text2"/>
          </w:rPr>
          <w:fldChar w:fldCharType="begin"/>
        </w:r>
        <w:r w:rsidR="008F3BD2" w:rsidRPr="00AC0949">
          <w:rPr>
            <w:noProof/>
            <w:webHidden/>
            <w:color w:val="252C65" w:themeColor="text2"/>
          </w:rPr>
          <w:instrText xml:space="preserve"> PAGEREF _Toc51766321 \h </w:instrText>
        </w:r>
        <w:r w:rsidR="008F3BD2" w:rsidRPr="00AC0949">
          <w:rPr>
            <w:noProof/>
            <w:webHidden/>
            <w:color w:val="252C65" w:themeColor="text2"/>
          </w:rPr>
        </w:r>
        <w:r w:rsidR="008F3BD2" w:rsidRPr="00AC0949">
          <w:rPr>
            <w:noProof/>
            <w:webHidden/>
            <w:color w:val="252C65" w:themeColor="text2"/>
          </w:rPr>
          <w:fldChar w:fldCharType="separate"/>
        </w:r>
        <w:r w:rsidR="00340874">
          <w:rPr>
            <w:noProof/>
            <w:webHidden/>
            <w:color w:val="252C65" w:themeColor="text2"/>
          </w:rPr>
          <w:t>21</w:t>
        </w:r>
        <w:r w:rsidR="008F3BD2" w:rsidRPr="00AC0949">
          <w:rPr>
            <w:noProof/>
            <w:webHidden/>
            <w:color w:val="252C65" w:themeColor="text2"/>
          </w:rPr>
          <w:fldChar w:fldCharType="end"/>
        </w:r>
      </w:hyperlink>
    </w:p>
    <w:p w14:paraId="28A47BEA" w14:textId="75DDC1BF" w:rsidR="00AC0949" w:rsidRDefault="00AC0949" w:rsidP="00AC0949"/>
    <w:p w14:paraId="01F202F1" w14:textId="14F8044D" w:rsidR="0057304A" w:rsidRPr="0057304A" w:rsidRDefault="0057304A" w:rsidP="0057304A">
      <w:pPr>
        <w:pStyle w:val="TableofFigures"/>
        <w:tabs>
          <w:tab w:val="right" w:leader="dot" w:pos="8637"/>
        </w:tabs>
        <w:rPr>
          <w:rFonts w:asciiTheme="minorHAnsi" w:hAnsiTheme="minorHAnsi"/>
          <w:noProof/>
          <w:color w:val="002060"/>
          <w:sz w:val="22"/>
          <w:szCs w:val="22"/>
          <w:lang w:eastAsia="en-NZ"/>
        </w:rPr>
      </w:pPr>
      <w:r w:rsidRPr="0057304A">
        <w:rPr>
          <w:color w:val="002060"/>
        </w:rPr>
        <w:fldChar w:fldCharType="begin"/>
      </w:r>
      <w:r w:rsidRPr="0057304A">
        <w:rPr>
          <w:color w:val="002060"/>
        </w:rPr>
        <w:instrText xml:space="preserve"> TOC \h \z \c "Table" </w:instrText>
      </w:r>
      <w:r w:rsidRPr="0057304A">
        <w:rPr>
          <w:color w:val="002060"/>
        </w:rPr>
        <w:fldChar w:fldCharType="separate"/>
      </w:r>
      <w:hyperlink w:anchor="_Toc51767575" w:history="1">
        <w:r w:rsidRPr="0057304A">
          <w:rPr>
            <w:rStyle w:val="Hyperlink"/>
            <w:noProof/>
            <w:color w:val="002060"/>
          </w:rPr>
          <w:t xml:space="preserve">Table 1 – Summary of MSD related policy and operational initiatives in response </w:t>
        </w:r>
        <w:r>
          <w:rPr>
            <w:rStyle w:val="Hyperlink"/>
            <w:noProof/>
            <w:color w:val="002060"/>
          </w:rPr>
          <w:br/>
        </w:r>
        <w:r w:rsidRPr="0057304A">
          <w:rPr>
            <w:rStyle w:val="Hyperlink"/>
            <w:noProof/>
            <w:color w:val="002060"/>
          </w:rPr>
          <w:t>to COVID-19 that affected benefit demand</w:t>
        </w:r>
        <w:r w:rsidRPr="0057304A">
          <w:rPr>
            <w:noProof/>
            <w:webHidden/>
            <w:color w:val="002060"/>
          </w:rPr>
          <w:tab/>
        </w:r>
        <w:r w:rsidRPr="0057304A">
          <w:rPr>
            <w:noProof/>
            <w:webHidden/>
            <w:color w:val="002060"/>
          </w:rPr>
          <w:fldChar w:fldCharType="begin"/>
        </w:r>
        <w:r w:rsidRPr="0057304A">
          <w:rPr>
            <w:noProof/>
            <w:webHidden/>
            <w:color w:val="002060"/>
          </w:rPr>
          <w:instrText xml:space="preserve"> PAGEREF _Toc51767575 \h </w:instrText>
        </w:r>
        <w:r w:rsidRPr="0057304A">
          <w:rPr>
            <w:noProof/>
            <w:webHidden/>
            <w:color w:val="002060"/>
          </w:rPr>
        </w:r>
        <w:r w:rsidRPr="0057304A">
          <w:rPr>
            <w:noProof/>
            <w:webHidden/>
            <w:color w:val="002060"/>
          </w:rPr>
          <w:fldChar w:fldCharType="separate"/>
        </w:r>
        <w:r w:rsidRPr="0057304A">
          <w:rPr>
            <w:noProof/>
            <w:webHidden/>
            <w:color w:val="002060"/>
          </w:rPr>
          <w:t>24</w:t>
        </w:r>
        <w:r w:rsidRPr="0057304A">
          <w:rPr>
            <w:noProof/>
            <w:webHidden/>
            <w:color w:val="002060"/>
          </w:rPr>
          <w:fldChar w:fldCharType="end"/>
        </w:r>
      </w:hyperlink>
    </w:p>
    <w:p w14:paraId="6070DCE6" w14:textId="3C6777B2" w:rsidR="00AC0949" w:rsidRPr="00AC0949" w:rsidRDefault="0057304A" w:rsidP="0057304A">
      <w:r w:rsidRPr="0057304A">
        <w:rPr>
          <w:color w:val="002060"/>
        </w:rPr>
        <w:fldChar w:fldCharType="end"/>
      </w:r>
    </w:p>
    <w:p w14:paraId="3CE75AC1" w14:textId="2404A872" w:rsidR="00A97F77" w:rsidRDefault="008F3BD2">
      <w:pPr>
        <w:spacing w:before="0" w:after="0"/>
      </w:pPr>
      <w:r>
        <w:fldChar w:fldCharType="end"/>
      </w:r>
      <w:r w:rsidR="00A97F77">
        <w:br w:type="page"/>
      </w:r>
    </w:p>
    <w:p w14:paraId="7A0EDBEF" w14:textId="77777777" w:rsidR="00CD5E9E" w:rsidRDefault="00CD5E9E" w:rsidP="00CD5E9E">
      <w:pPr>
        <w:pStyle w:val="Heading1"/>
        <w:sectPr w:rsidR="00CD5E9E" w:rsidSect="00CD5E9E">
          <w:footerReference w:type="even" r:id="rId9"/>
          <w:footerReference w:type="default" r:id="rId10"/>
          <w:pgSz w:w="11900" w:h="16840"/>
          <w:pgMar w:top="1134" w:right="1701" w:bottom="1701" w:left="1701" w:header="709" w:footer="567" w:gutter="0"/>
          <w:pgNumType w:fmt="lowerRoman"/>
          <w:cols w:space="708"/>
          <w:titlePg/>
          <w:docGrid w:linePitch="360"/>
        </w:sectPr>
      </w:pPr>
      <w:bookmarkStart w:id="8" w:name="_Toc19612380"/>
    </w:p>
    <w:p w14:paraId="42464146" w14:textId="27E9AA64" w:rsidR="00CD5E9E" w:rsidRDefault="00CD5E9E" w:rsidP="002347F6">
      <w:pPr>
        <w:pStyle w:val="Heading2"/>
        <w:jc w:val="both"/>
      </w:pPr>
      <w:bookmarkStart w:id="9" w:name="_Toc24109076"/>
      <w:bookmarkStart w:id="10" w:name="_Toc24109400"/>
      <w:bookmarkStart w:id="11" w:name="_Toc24109435"/>
      <w:bookmarkStart w:id="12" w:name="_Toc51763854"/>
      <w:bookmarkStart w:id="13" w:name="_Hlk24111933"/>
      <w:bookmarkStart w:id="14" w:name="OLE_LINK1"/>
      <w:bookmarkStart w:id="15" w:name="OLE_LINK2"/>
      <w:bookmarkEnd w:id="8"/>
      <w:r>
        <w:lastRenderedPageBreak/>
        <w:t>Executive summary</w:t>
      </w:r>
      <w:bookmarkEnd w:id="9"/>
      <w:bookmarkEnd w:id="10"/>
      <w:bookmarkEnd w:id="11"/>
      <w:bookmarkEnd w:id="12"/>
    </w:p>
    <w:p w14:paraId="5C558576" w14:textId="6375CB57" w:rsidR="00120A85" w:rsidRDefault="00120A85" w:rsidP="002347F6">
      <w:pPr>
        <w:pStyle w:val="IntroParagraph"/>
        <w:jc w:val="both"/>
      </w:pPr>
      <w:r>
        <w:t xml:space="preserve">The purpose of this report is to explain </w:t>
      </w:r>
      <w:r w:rsidR="00292CDC">
        <w:t>the</w:t>
      </w:r>
      <w:r>
        <w:t xml:space="preserve"> effect COVID-19 has had on New Zealand’s economy, the subsequent income support policy responses, and the insights we have gained about how those factors have affected demand for benefit payments (up to August 2020). </w:t>
      </w:r>
    </w:p>
    <w:p w14:paraId="1E85BFFB" w14:textId="479FB456" w:rsidR="00120A85" w:rsidRDefault="00120A85" w:rsidP="002347F6">
      <w:pPr>
        <w:jc w:val="both"/>
      </w:pPr>
      <w:bookmarkStart w:id="16" w:name="_Toc24109077"/>
      <w:bookmarkStart w:id="17" w:name="_Toc24109401"/>
      <w:bookmarkStart w:id="18" w:name="_Toc24109436"/>
      <w:r w:rsidRPr="00425CB5">
        <w:rPr>
          <w:b/>
        </w:rPr>
        <w:t>The main effect COVID-19 had on the economy was a sudden reduction in activity during the lockdown</w:t>
      </w:r>
      <w:r>
        <w:t xml:space="preserve">. Moving down alert levels quickly meant that economic activity could resume faster and keep more people employed. However, economic conditions after the lockdown were still weak due to ongoing border restrictions and </w:t>
      </w:r>
      <w:r w:rsidR="0051660D">
        <w:t xml:space="preserve">general </w:t>
      </w:r>
      <w:r>
        <w:t>uncertainty.</w:t>
      </w:r>
    </w:p>
    <w:p w14:paraId="0C22B4A3" w14:textId="77777777" w:rsidR="00120A85" w:rsidRPr="00C60FB0" w:rsidRDefault="00120A85" w:rsidP="002347F6">
      <w:pPr>
        <w:jc w:val="both"/>
      </w:pPr>
      <w:r>
        <w:rPr>
          <w:b/>
        </w:rPr>
        <w:t>T</w:t>
      </w:r>
      <w:r w:rsidRPr="00425CB5">
        <w:rPr>
          <w:b/>
        </w:rPr>
        <w:t>he Wage Subsidy</w:t>
      </w:r>
      <w:r>
        <w:rPr>
          <w:b/>
        </w:rPr>
        <w:t xml:space="preserve">, </w:t>
      </w:r>
      <w:r w:rsidRPr="00425CB5">
        <w:rPr>
          <w:b/>
        </w:rPr>
        <w:t>COVID-19 Income Relief Payment</w:t>
      </w:r>
      <w:r>
        <w:rPr>
          <w:b/>
        </w:rPr>
        <w:t>, $25 increase to main benefits, and the temporary doubling of the Winter Energy Payment</w:t>
      </w:r>
      <w:r>
        <w:t xml:space="preserve"> were all important policy responses that helped minimise disruptions in the economy.</w:t>
      </w:r>
    </w:p>
    <w:p w14:paraId="2A788A63" w14:textId="77777777" w:rsidR="00120A85" w:rsidRDefault="00120A85" w:rsidP="002347F6">
      <w:pPr>
        <w:jc w:val="both"/>
      </w:pPr>
      <w:r w:rsidRPr="00EC3588">
        <w:rPr>
          <w:b/>
        </w:rPr>
        <w:t>The main insights we have gained</w:t>
      </w:r>
      <w:r>
        <w:t xml:space="preserve"> </w:t>
      </w:r>
      <w:r w:rsidRPr="0051755D">
        <w:rPr>
          <w:b/>
        </w:rPr>
        <w:t>about how those factors have affected benefit demand are that</w:t>
      </w:r>
      <w:r>
        <w:t>:</w:t>
      </w:r>
    </w:p>
    <w:p w14:paraId="6D61C224" w14:textId="77777777" w:rsidR="00120A85" w:rsidRPr="00120A85" w:rsidRDefault="00120A85" w:rsidP="002347F6">
      <w:pPr>
        <w:pStyle w:val="ListParagraph"/>
        <w:numPr>
          <w:ilvl w:val="0"/>
          <w:numId w:val="14"/>
        </w:numPr>
        <w:jc w:val="both"/>
      </w:pPr>
      <w:r w:rsidRPr="00120A85">
        <w:t>Demand for Jobseeker Support rose sharply during the lockdown, but growth eased thereafter as economic activity resumed.</w:t>
      </w:r>
    </w:p>
    <w:p w14:paraId="5A61D889" w14:textId="3840F776" w:rsidR="00120A85" w:rsidRPr="00120A85" w:rsidRDefault="00120A85" w:rsidP="002347F6">
      <w:pPr>
        <w:pStyle w:val="ListParagraph"/>
        <w:numPr>
          <w:ilvl w:val="0"/>
          <w:numId w:val="14"/>
        </w:numPr>
        <w:jc w:val="both"/>
      </w:pPr>
      <w:r w:rsidRPr="00120A85">
        <w:t xml:space="preserve">However, the overall number of people on Jobseeker Support and the COVID-19 Income Relief Payment continued to grow after the lockdown </w:t>
      </w:r>
      <w:r w:rsidR="0051660D">
        <w:t>as</w:t>
      </w:r>
      <w:r w:rsidR="0051660D" w:rsidRPr="00120A85">
        <w:t xml:space="preserve"> </w:t>
      </w:r>
      <w:r w:rsidRPr="00120A85">
        <w:t xml:space="preserve">economic conditions </w:t>
      </w:r>
      <w:r w:rsidR="0051660D">
        <w:t>remained</w:t>
      </w:r>
      <w:r w:rsidRPr="00120A85">
        <w:t xml:space="preserve"> weak.</w:t>
      </w:r>
    </w:p>
    <w:p w14:paraId="76BCEA8A" w14:textId="36DCBBA2" w:rsidR="00120A85" w:rsidRPr="00120A85" w:rsidRDefault="00120A85" w:rsidP="002347F6">
      <w:pPr>
        <w:pStyle w:val="ListParagraph"/>
        <w:numPr>
          <w:ilvl w:val="0"/>
          <w:numId w:val="14"/>
        </w:numPr>
        <w:jc w:val="both"/>
      </w:pPr>
      <w:r w:rsidRPr="00120A85">
        <w:t>Growth in Jobseeker Support has been driven by young people</w:t>
      </w:r>
      <w:r w:rsidR="0051660D">
        <w:t xml:space="preserve"> (aged 18-</w:t>
      </w:r>
      <w:r w:rsidR="0079375E">
        <w:t>34</w:t>
      </w:r>
      <w:r w:rsidR="0051660D">
        <w:t>)</w:t>
      </w:r>
      <w:r w:rsidRPr="00120A85">
        <w:t xml:space="preserve">, </w:t>
      </w:r>
      <w:r w:rsidR="0051660D">
        <w:t xml:space="preserve">those living </w:t>
      </w:r>
      <w:r w:rsidRPr="00120A85">
        <w:t xml:space="preserve">in Auckland, and </w:t>
      </w:r>
      <w:r w:rsidR="0051660D">
        <w:t xml:space="preserve">by </w:t>
      </w:r>
      <w:r w:rsidRPr="00120A85">
        <w:t>NZ Europeans. This is consistent with past recessions.</w:t>
      </w:r>
    </w:p>
    <w:p w14:paraId="487EAA1E" w14:textId="67FD263A" w:rsidR="00120A85" w:rsidRPr="00120A85" w:rsidRDefault="00120A85" w:rsidP="002347F6">
      <w:pPr>
        <w:pStyle w:val="ListParagraph"/>
        <w:numPr>
          <w:ilvl w:val="0"/>
          <w:numId w:val="14"/>
        </w:numPr>
        <w:jc w:val="both"/>
      </w:pPr>
      <w:r w:rsidRPr="00120A85">
        <w:t xml:space="preserve">Māori are over-represented in benefit statistics and generally stay on benefit for longer than NZ Europeans. </w:t>
      </w:r>
    </w:p>
    <w:p w14:paraId="3E510FA6" w14:textId="7F016F23" w:rsidR="00120A85" w:rsidRPr="00120A85" w:rsidRDefault="00120A85" w:rsidP="002347F6">
      <w:pPr>
        <w:pStyle w:val="ListParagraph"/>
        <w:numPr>
          <w:ilvl w:val="0"/>
          <w:numId w:val="14"/>
        </w:numPr>
        <w:jc w:val="both"/>
      </w:pPr>
      <w:r w:rsidRPr="00120A85">
        <w:t>Women</w:t>
      </w:r>
      <w:r w:rsidR="00D854E7">
        <w:t xml:space="preserve"> seem to</w:t>
      </w:r>
      <w:r w:rsidRPr="00120A85">
        <w:t xml:space="preserve"> have been adversely affected in the labour market so far, but there has not been a corresponding increase in women on Jobseeker Support.</w:t>
      </w:r>
    </w:p>
    <w:p w14:paraId="6F9E4F40" w14:textId="020B2B06" w:rsidR="00120A85" w:rsidRPr="00120A85" w:rsidRDefault="00120A85" w:rsidP="002347F6">
      <w:pPr>
        <w:pStyle w:val="ListParagraph"/>
        <w:numPr>
          <w:ilvl w:val="0"/>
          <w:numId w:val="14"/>
        </w:numPr>
        <w:jc w:val="both"/>
      </w:pPr>
      <w:r w:rsidRPr="00120A85">
        <w:t>The regional story has been partly driven by the sectoral story; jobs related to tourism, such as in hospitality and retail</w:t>
      </w:r>
      <w:r w:rsidR="00292CDC">
        <w:t>,</w:t>
      </w:r>
      <w:r w:rsidRPr="00120A85">
        <w:t xml:space="preserve"> have been affected the most.</w:t>
      </w:r>
    </w:p>
    <w:p w14:paraId="27533D7E" w14:textId="0A3E4996" w:rsidR="00120A85" w:rsidRPr="00120A85" w:rsidRDefault="00120A85" w:rsidP="002347F6">
      <w:pPr>
        <w:pStyle w:val="ListParagraph"/>
        <w:numPr>
          <w:ilvl w:val="0"/>
          <w:numId w:val="14"/>
        </w:numPr>
        <w:jc w:val="both"/>
      </w:pPr>
      <w:r w:rsidRPr="00120A85">
        <w:t xml:space="preserve">We have not yet seen the full impact of weaker economic conditions </w:t>
      </w:r>
      <w:r w:rsidR="0051660D">
        <w:t>on</w:t>
      </w:r>
      <w:r w:rsidR="0051660D" w:rsidRPr="00120A85">
        <w:t xml:space="preserve"> </w:t>
      </w:r>
      <w:r w:rsidRPr="00120A85">
        <w:t xml:space="preserve">main benefit demand. We expect demand </w:t>
      </w:r>
      <w:r w:rsidR="0051660D">
        <w:t xml:space="preserve">to increase </w:t>
      </w:r>
      <w:r w:rsidRPr="00120A85">
        <w:t>as the Wage Subsidy Extension ends and the labour market deteriorates further.</w:t>
      </w:r>
    </w:p>
    <w:p w14:paraId="3F6ACC56" w14:textId="77777777" w:rsidR="00120A85" w:rsidRPr="00120A85" w:rsidRDefault="00120A85" w:rsidP="002347F6">
      <w:pPr>
        <w:pStyle w:val="ListParagraph"/>
        <w:numPr>
          <w:ilvl w:val="0"/>
          <w:numId w:val="14"/>
        </w:numPr>
        <w:jc w:val="both"/>
      </w:pPr>
      <w:r w:rsidRPr="00120A85">
        <w:t>Hardship grants rose significantly over the lockdown due to heightened food insecurity and increased access to extra support online.</w:t>
      </w:r>
    </w:p>
    <w:bookmarkEnd w:id="16"/>
    <w:bookmarkEnd w:id="17"/>
    <w:bookmarkEnd w:id="18"/>
    <w:p w14:paraId="496958D4" w14:textId="77777777" w:rsidR="005C49EA" w:rsidRDefault="005C49EA" w:rsidP="002347F6">
      <w:pPr>
        <w:spacing w:before="0" w:after="0"/>
        <w:jc w:val="both"/>
        <w:rPr>
          <w:rFonts w:eastAsiaTheme="majorEastAsia" w:cstheme="majorBidi"/>
          <w:b/>
          <w:bCs/>
          <w:color w:val="1CA56F" w:themeColor="accent6"/>
          <w:sz w:val="32"/>
          <w:szCs w:val="32"/>
        </w:rPr>
      </w:pPr>
      <w:r>
        <w:br w:type="page"/>
      </w:r>
    </w:p>
    <w:p w14:paraId="4CED0BE8" w14:textId="4BB066EC" w:rsidR="00CD5E9E" w:rsidRDefault="00120A85" w:rsidP="002347F6">
      <w:pPr>
        <w:pStyle w:val="Heading2"/>
        <w:jc w:val="both"/>
      </w:pPr>
      <w:bookmarkStart w:id="19" w:name="_Toc51763855"/>
      <w:r>
        <w:lastRenderedPageBreak/>
        <w:t>Background</w:t>
      </w:r>
      <w:bookmarkEnd w:id="19"/>
    </w:p>
    <w:p w14:paraId="19FFB3E8" w14:textId="78CBB991" w:rsidR="00120A85" w:rsidRDefault="00120A85" w:rsidP="002347F6">
      <w:pPr>
        <w:jc w:val="both"/>
      </w:pPr>
      <w:bookmarkStart w:id="20" w:name="_Hlk27124736"/>
      <w:bookmarkStart w:id="21" w:name="_Toc24109078"/>
      <w:bookmarkStart w:id="22" w:name="_Toc24109402"/>
      <w:bookmarkStart w:id="23" w:name="_Toc24109437"/>
      <w:r>
        <w:t>This report aims to tell a cohesive and comprehensive story of what has happened in the benefit system and why. It draws on insights from published Evidence Briefs on Jobseeker Support Work-Ready grants and the impact of COVID-19 on one-off hardship assistance grants</w:t>
      </w:r>
      <w:r w:rsidR="00AA3DBF">
        <w:rPr>
          <w:rStyle w:val="FootnoteReference"/>
        </w:rPr>
        <w:footnoteReference w:id="1"/>
      </w:r>
      <w:r>
        <w:t>.</w:t>
      </w:r>
    </w:p>
    <w:p w14:paraId="01A599CF" w14:textId="2DE0E0DA" w:rsidR="00120A85" w:rsidRDefault="00120A85" w:rsidP="002347F6">
      <w:pPr>
        <w:jc w:val="both"/>
      </w:pPr>
      <w:r>
        <w:t xml:space="preserve">The context for </w:t>
      </w:r>
      <w:r w:rsidR="00292CDC">
        <w:t xml:space="preserve">this </w:t>
      </w:r>
      <w:r w:rsidR="00382570">
        <w:t xml:space="preserve">report </w:t>
      </w:r>
      <w:r>
        <w:t xml:space="preserve">is the global COVID-19 pandemic </w:t>
      </w:r>
      <w:r w:rsidR="00292CDC">
        <w:t xml:space="preserve">which </w:t>
      </w:r>
      <w:r>
        <w:t xml:space="preserve">has led to nationwide restrictions (a lockdown, physical distancing and border restrictions) aimed at limiting its spread. In response to the negative economic and community impacts caused by these restrictions, Government has implemented income support policy changes to support people. We now have a fuller view of the data and analysis relating to the economy and </w:t>
      </w:r>
      <w:r w:rsidR="002E0DF4">
        <w:t xml:space="preserve">these </w:t>
      </w:r>
      <w:r>
        <w:t xml:space="preserve">policy changes, and how they have affected demand for benefit payments. </w:t>
      </w:r>
    </w:p>
    <w:p w14:paraId="490A5B76" w14:textId="4AC8BB78" w:rsidR="00120A85" w:rsidRDefault="00120A85" w:rsidP="002347F6">
      <w:pPr>
        <w:jc w:val="both"/>
      </w:pPr>
      <w:r>
        <w:t>This report focuses on the economic, policy and benefit payment effects up to August 2020 and does not cover any effect of the second COVID-19 outbreak in New Zealand that was announced on 11 August 2020. This report uses data that was available up to 7 August 2020.</w:t>
      </w:r>
    </w:p>
    <w:p w14:paraId="644EF5A4" w14:textId="77777777" w:rsidR="00120A85" w:rsidRPr="00120A85" w:rsidRDefault="00120A85" w:rsidP="00287567">
      <w:pPr>
        <w:pStyle w:val="Heading2"/>
      </w:pPr>
      <w:bookmarkStart w:id="24" w:name="_Toc51763856"/>
      <w:r w:rsidRPr="00120A85">
        <w:t>COVID-19 has negatively affected New Zealand’s economy in three main phases</w:t>
      </w:r>
      <w:bookmarkEnd w:id="24"/>
    </w:p>
    <w:p w14:paraId="70190E17" w14:textId="77777777" w:rsidR="00120A85" w:rsidRPr="00B60F89" w:rsidRDefault="00120A85" w:rsidP="00EC60A5">
      <w:pPr>
        <w:jc w:val="both"/>
      </w:pPr>
      <w:r w:rsidRPr="00120A85">
        <w:t>COVID-19 has affected New Zealand’s economy in three main phases</w:t>
      </w:r>
      <w:r>
        <w:t xml:space="preserve"> throughout 2020 that we can broadly observe. They are:</w:t>
      </w:r>
    </w:p>
    <w:p w14:paraId="0C3E7D9F" w14:textId="77777777" w:rsidR="00120A85" w:rsidRPr="00CA14D0" w:rsidRDefault="00120A85" w:rsidP="00EC60A5">
      <w:pPr>
        <w:pStyle w:val="ListParagraph"/>
        <w:jc w:val="both"/>
      </w:pPr>
      <w:r w:rsidRPr="00120A85">
        <w:t xml:space="preserve">some early </w:t>
      </w:r>
      <w:r w:rsidRPr="00CA14D0">
        <w:t>effects, before New Zealand went into lockdown</w:t>
      </w:r>
    </w:p>
    <w:p w14:paraId="5465FA94" w14:textId="77777777" w:rsidR="00120A85" w:rsidRPr="00CA14D0" w:rsidRDefault="00120A85" w:rsidP="00EC60A5">
      <w:pPr>
        <w:pStyle w:val="ListParagraph"/>
        <w:jc w:val="both"/>
      </w:pPr>
      <w:r w:rsidRPr="00CA14D0">
        <w:t>effects during the lockdown, resulting in a sharp drop in economic activity</w:t>
      </w:r>
    </w:p>
    <w:p w14:paraId="674AD3FC" w14:textId="77777777" w:rsidR="00120A85" w:rsidRPr="00120A85" w:rsidRDefault="00120A85" w:rsidP="00EC60A5">
      <w:pPr>
        <w:pStyle w:val="ListParagraph"/>
        <w:jc w:val="both"/>
      </w:pPr>
      <w:r w:rsidRPr="00CA14D0">
        <w:t>effects after the lockdown</w:t>
      </w:r>
      <w:r w:rsidRPr="00120A85">
        <w:t>, driven by ongoing restrictions and the global recession.</w:t>
      </w:r>
    </w:p>
    <w:p w14:paraId="3CB34AAE" w14:textId="271EE171" w:rsidR="00120A85" w:rsidRPr="00C3368E" w:rsidRDefault="00120A85" w:rsidP="00EC60A5">
      <w:pPr>
        <w:spacing w:before="0" w:after="0"/>
        <w:jc w:val="both"/>
        <w:rPr>
          <w:rFonts w:eastAsiaTheme="majorEastAsia"/>
          <w:b/>
          <w:iCs/>
          <w:sz w:val="24"/>
          <w:szCs w:val="26"/>
        </w:rPr>
      </w:pPr>
      <w:r>
        <w:t xml:space="preserve">The following sections describe these phases in greater detail. </w:t>
      </w:r>
    </w:p>
    <w:p w14:paraId="154304D5" w14:textId="77777777" w:rsidR="00120A85" w:rsidRPr="001A1B3F" w:rsidRDefault="00120A85" w:rsidP="00EC60A5">
      <w:pPr>
        <w:pStyle w:val="Heading3"/>
        <w:jc w:val="both"/>
      </w:pPr>
      <w:bookmarkStart w:id="25" w:name="_Toc50642929"/>
      <w:bookmarkStart w:id="26" w:name="_Toc51240791"/>
      <w:bookmarkStart w:id="27" w:name="_Toc51763857"/>
      <w:r w:rsidRPr="00783C45">
        <w:t>Before New Zealand went into lockdown, the labour market was</w:t>
      </w:r>
      <w:r>
        <w:t xml:space="preserve"> relatively</w:t>
      </w:r>
      <w:r w:rsidRPr="00783C45">
        <w:t xml:space="preserve"> robust overall</w:t>
      </w:r>
      <w:r>
        <w:t>, but was expected to soften</w:t>
      </w:r>
      <w:bookmarkEnd w:id="25"/>
      <w:bookmarkEnd w:id="26"/>
      <w:bookmarkEnd w:id="27"/>
    </w:p>
    <w:p w14:paraId="67FE56D8" w14:textId="66BB6226" w:rsidR="00120A85" w:rsidRDefault="00120A85" w:rsidP="00EC60A5">
      <w:pPr>
        <w:jc w:val="both"/>
      </w:pPr>
      <w:r>
        <w:t xml:space="preserve">Most parts of our economy were not severely affected by the presence of COVID-19 overseas in January to February 2020. Overall the labour market was in a relatively strong position in the March 2020 </w:t>
      </w:r>
      <w:r w:rsidR="002E0DF4">
        <w:t>quarter</w:t>
      </w:r>
      <w:r>
        <w:t>, with a near historically low unemployment rate at 4.2 percent (this result largely reflected the state of the labour market before COVID-19 was present in New Zealand).</w:t>
      </w:r>
    </w:p>
    <w:p w14:paraId="11CCCE67" w14:textId="284DBFB2" w:rsidR="00120A85" w:rsidRDefault="00120A85" w:rsidP="00EC60A5">
      <w:pPr>
        <w:jc w:val="both"/>
      </w:pPr>
      <w:r>
        <w:t>Even before COVID-19 began affecting the economy, in late 2019 and early 2020 the economy was in an uncertain environment with global trends showing subdued economic growth. This was mainly driven by uncertainty surrounding trade and geopolitical factors.</w:t>
      </w:r>
    </w:p>
    <w:p w14:paraId="21F4EFF3" w14:textId="54890D91" w:rsidR="00120A85" w:rsidRPr="001A1B3F" w:rsidRDefault="00120A85" w:rsidP="00EC60A5">
      <w:pPr>
        <w:pStyle w:val="Heading3"/>
        <w:jc w:val="both"/>
      </w:pPr>
      <w:bookmarkStart w:id="28" w:name="_Toc50642930"/>
      <w:bookmarkStart w:id="29" w:name="_Toc51240792"/>
      <w:bookmarkStart w:id="30" w:name="_Toc51763858"/>
      <w:r w:rsidRPr="00B60F89">
        <w:lastRenderedPageBreak/>
        <w:t xml:space="preserve">However, there were </w:t>
      </w:r>
      <w:r w:rsidRPr="00783C45">
        <w:t>early</w:t>
      </w:r>
      <w:r w:rsidRPr="00B60F89">
        <w:t xml:space="preserve"> signs of COVID-19 </w:t>
      </w:r>
      <w:r>
        <w:t xml:space="preserve">affecting some </w:t>
      </w:r>
      <w:r w:rsidRPr="00B60F89">
        <w:t>parts of the economy before the lockdown</w:t>
      </w:r>
      <w:bookmarkEnd w:id="28"/>
      <w:bookmarkEnd w:id="29"/>
      <w:bookmarkEnd w:id="30"/>
    </w:p>
    <w:p w14:paraId="6B400F39" w14:textId="77777777" w:rsidR="00120A85" w:rsidRDefault="00120A85" w:rsidP="00EC60A5">
      <w:pPr>
        <w:jc w:val="both"/>
      </w:pPr>
      <w:r>
        <w:t>A</w:t>
      </w:r>
      <w:r w:rsidRPr="00FD65D0">
        <w:t>s a small, open economy New Zealand is constantly affected by the global macro-economic environment</w:t>
      </w:r>
      <w:r>
        <w:rPr>
          <w:rStyle w:val="FootnoteReference"/>
        </w:rPr>
        <w:footnoteReference w:id="2"/>
      </w:r>
      <w:r w:rsidRPr="00FD65D0">
        <w:t xml:space="preserve">. </w:t>
      </w:r>
      <w:r>
        <w:t>This means that the international economic scene often has implications for New Zealand’s economy because it affects how much we export. Exports make up around 30 percent of our annual Gross Domestic Product (GDP).</w:t>
      </w:r>
    </w:p>
    <w:p w14:paraId="1394EEED" w14:textId="77777777" w:rsidR="00120A85" w:rsidRPr="00FD65D0" w:rsidRDefault="00120A85" w:rsidP="00EC60A5">
      <w:pPr>
        <w:jc w:val="both"/>
      </w:pPr>
      <w:r w:rsidRPr="00FD65D0">
        <w:t xml:space="preserve">Although COVID-19 was not present in New Zealand until late February 2020, there were some parts of our economy that were </w:t>
      </w:r>
      <w:r>
        <w:t>affected</w:t>
      </w:r>
      <w:r w:rsidRPr="00FD65D0">
        <w:t xml:space="preserve"> </w:t>
      </w:r>
      <w:r>
        <w:t xml:space="preserve">earlier </w:t>
      </w:r>
      <w:r w:rsidRPr="00FD65D0">
        <w:t xml:space="preserve">because </w:t>
      </w:r>
      <w:r>
        <w:t>China had reduced its imports during its lockdown, and both tourists and students stopped arriving from China.</w:t>
      </w:r>
    </w:p>
    <w:p w14:paraId="44825DA8" w14:textId="77777777" w:rsidR="00120A85" w:rsidRPr="00EC60A5" w:rsidRDefault="00120A85" w:rsidP="00EC60A5">
      <w:pPr>
        <w:pStyle w:val="Heading4"/>
      </w:pPr>
      <w:r w:rsidRPr="00EC60A5">
        <w:t>Forestry was one of the first industries to feel the economic effect of COVID-19</w:t>
      </w:r>
    </w:p>
    <w:p w14:paraId="584FDA82" w14:textId="46ED0C0C" w:rsidR="00120A85" w:rsidRPr="00FD65D0" w:rsidRDefault="00292CDC" w:rsidP="00EC60A5">
      <w:pPr>
        <w:jc w:val="both"/>
      </w:pPr>
      <w:r>
        <w:t>On</w:t>
      </w:r>
      <w:r w:rsidR="00120A85" w:rsidRPr="00FD65D0">
        <w:t xml:space="preserve"> 23 January 2020 the first </w:t>
      </w:r>
      <w:r w:rsidR="00382570">
        <w:t xml:space="preserve">lockdown </w:t>
      </w:r>
      <w:r w:rsidR="00120A85" w:rsidRPr="00FD65D0">
        <w:t xml:space="preserve">restrictions in China began, leading to limitations on the amount of forestry products that could </w:t>
      </w:r>
      <w:r>
        <w:t>enter</w:t>
      </w:r>
      <w:r w:rsidR="00120A85" w:rsidRPr="00FD65D0">
        <w:t xml:space="preserve"> China (our main market for log exports). The harvesting of logs in New Zealand slowed in response to the fall in the demand, and prices fell to their lowest level in three years in February 2020</w:t>
      </w:r>
      <w:r w:rsidR="00120A85">
        <w:rPr>
          <w:rStyle w:val="FootnoteReference"/>
        </w:rPr>
        <w:footnoteReference w:id="3"/>
      </w:r>
      <w:r w:rsidR="00120A85" w:rsidRPr="00FD65D0">
        <w:t xml:space="preserve">. The Agriculture, Forestry and Fishing industry contributes around </w:t>
      </w:r>
      <w:r w:rsidR="002E0DF4">
        <w:t>six</w:t>
      </w:r>
      <w:r w:rsidR="002E0DF4" w:rsidRPr="00FD65D0">
        <w:t xml:space="preserve"> </w:t>
      </w:r>
      <w:r w:rsidR="00120A85" w:rsidRPr="00FD65D0">
        <w:t>percent of total</w:t>
      </w:r>
      <w:r w:rsidR="00120A85">
        <w:t xml:space="preserve"> </w:t>
      </w:r>
      <w:r w:rsidR="00120A85" w:rsidRPr="00FD65D0">
        <w:t>GDP</w:t>
      </w:r>
      <w:r w:rsidR="00120A85">
        <w:t xml:space="preserve"> </w:t>
      </w:r>
      <w:r w:rsidR="00120A85" w:rsidRPr="00FD65D0">
        <w:t xml:space="preserve">in New Zealand and employs around 152,000 people across the country. </w:t>
      </w:r>
    </w:p>
    <w:p w14:paraId="0A7E9D53" w14:textId="77777777" w:rsidR="00120A85" w:rsidRPr="00FD65D0" w:rsidRDefault="00120A85" w:rsidP="00EC60A5">
      <w:pPr>
        <w:jc w:val="both"/>
      </w:pPr>
      <w:r>
        <w:t>The</w:t>
      </w:r>
      <w:r w:rsidRPr="00FD65D0">
        <w:t xml:space="preserve"> logging sector is </w:t>
      </w:r>
      <w:r>
        <w:t>a significant employer</w:t>
      </w:r>
      <w:r w:rsidRPr="00FD65D0">
        <w:t xml:space="preserve"> in the East Coast, which may have contributed to the Gisborne/Hawke’s Bay region having the highest unemployment rate in New Zealand in the March 2020 </w:t>
      </w:r>
      <w:r>
        <w:t>q</w:t>
      </w:r>
      <w:r w:rsidRPr="00FD65D0">
        <w:t>uarter, at 5.8 percent.</w:t>
      </w:r>
    </w:p>
    <w:p w14:paraId="36662270" w14:textId="77777777" w:rsidR="00120A85" w:rsidRPr="006838F1" w:rsidRDefault="00120A85" w:rsidP="00EC60A5">
      <w:pPr>
        <w:pStyle w:val="Heading4"/>
      </w:pPr>
      <w:r>
        <w:t>Tourism levels have dampened New Zealand’s largest export industry</w:t>
      </w:r>
    </w:p>
    <w:p w14:paraId="0743FFC1" w14:textId="77777777" w:rsidR="00120A85" w:rsidRPr="00FD65D0" w:rsidRDefault="00120A85" w:rsidP="00EC60A5">
      <w:pPr>
        <w:jc w:val="both"/>
      </w:pPr>
      <w:r w:rsidRPr="00FD65D0">
        <w:t xml:space="preserve">Additionally, a suite of restrictions at the New Zealand border </w:t>
      </w:r>
      <w:r>
        <w:t>from</w:t>
      </w:r>
      <w:r w:rsidRPr="00FD65D0">
        <w:t xml:space="preserve"> February 2020 began to dampen international tourism. Firstly, entry restrictions for foreigners from, or transiting through, China were introduced. In mid-March </w:t>
      </w:r>
      <w:r>
        <w:t>the requirement for</w:t>
      </w:r>
      <w:r w:rsidRPr="00FD65D0">
        <w:t xml:space="preserve"> tourist</w:t>
      </w:r>
      <w:r>
        <w:t>s</w:t>
      </w:r>
      <w:r w:rsidRPr="00FD65D0">
        <w:t xml:space="preserve"> to self-isolate for 14 days</w:t>
      </w:r>
      <w:r>
        <w:t xml:space="preserve"> was introduced</w:t>
      </w:r>
      <w:r w:rsidRPr="00FD65D0">
        <w:t>. By 19 March 2020, the country’s borders were closed to all but New Zealand citizens and residents. These restrictions saw international arrivals in New Zealand plummet by the end of March 2020</w:t>
      </w:r>
      <w:r>
        <w:rPr>
          <w:rStyle w:val="FootnoteReference"/>
        </w:rPr>
        <w:footnoteReference w:id="4"/>
      </w:r>
      <w:r w:rsidRPr="00FD65D0">
        <w:t>.</w:t>
      </w:r>
    </w:p>
    <w:p w14:paraId="56B73327" w14:textId="77777777" w:rsidR="00120A85" w:rsidRDefault="00120A85" w:rsidP="00EC60A5">
      <w:pPr>
        <w:jc w:val="both"/>
      </w:pPr>
      <w:r w:rsidRPr="00FD65D0">
        <w:t xml:space="preserve">Before COVID-19, tourism was New Zealand’s largest export industry (in terms of foreign exchange earnings) and directly employed around 230,000 people </w:t>
      </w:r>
      <w:r>
        <w:t xml:space="preserve">nationally </w:t>
      </w:r>
      <w:r w:rsidRPr="00FD65D0">
        <w:t>(8.4 percent of New Zealand’s workforce)</w:t>
      </w:r>
      <w:r>
        <w:rPr>
          <w:rStyle w:val="FootnoteReference"/>
        </w:rPr>
        <w:footnoteReference w:id="5"/>
      </w:r>
      <w:r w:rsidRPr="00FD65D0">
        <w:t xml:space="preserve">. </w:t>
      </w:r>
    </w:p>
    <w:p w14:paraId="4D32472B" w14:textId="77777777" w:rsidR="00120A85" w:rsidRPr="00264CDF" w:rsidRDefault="00120A85" w:rsidP="00EC60A5">
      <w:pPr>
        <w:pStyle w:val="Heading4"/>
      </w:pPr>
      <w:r>
        <w:t>Border restrictions also negatively affected the international education sector</w:t>
      </w:r>
    </w:p>
    <w:p w14:paraId="1CE11AF5" w14:textId="0EF3F1B8" w:rsidR="00120A85" w:rsidRDefault="00120A85" w:rsidP="00EC60A5">
      <w:pPr>
        <w:jc w:val="both"/>
      </w:pPr>
      <w:r w:rsidRPr="00FD65D0">
        <w:t xml:space="preserve">Another sector that </w:t>
      </w:r>
      <w:r>
        <w:t xml:space="preserve">may have been </w:t>
      </w:r>
      <w:r w:rsidRPr="00FD65D0">
        <w:t>affected before the lockdown was the international education sector, which contributes around $5.1 billion to the economy and supports around 50,000 jobs (based on 2017 data)</w:t>
      </w:r>
      <w:r>
        <w:rPr>
          <w:rStyle w:val="FootnoteReference"/>
        </w:rPr>
        <w:footnoteReference w:id="6"/>
      </w:r>
      <w:r w:rsidRPr="00FD65D0">
        <w:t xml:space="preserve">. Around 21 percent of </w:t>
      </w:r>
      <w:r>
        <w:t xml:space="preserve">people holding </w:t>
      </w:r>
      <w:r w:rsidRPr="00FD65D0">
        <w:t>valid study visas were outside of New Zealand as at 15 March</w:t>
      </w:r>
      <w:r>
        <w:t xml:space="preserve"> 2020. The absence of those </w:t>
      </w:r>
      <w:r>
        <w:lastRenderedPageBreak/>
        <w:t xml:space="preserve">people from New Zealand will have negatively affected revenue growth in the education sector, but we are unable to quantify this effect. </w:t>
      </w:r>
    </w:p>
    <w:p w14:paraId="20AF7ECD" w14:textId="6448255B" w:rsidR="00120A85" w:rsidRPr="004F1288" w:rsidRDefault="00120A85" w:rsidP="00EC60A5">
      <w:pPr>
        <w:pStyle w:val="Heading4"/>
      </w:pPr>
      <w:r>
        <w:t xml:space="preserve">Businesses </w:t>
      </w:r>
      <w:r w:rsidR="0041761A">
        <w:t xml:space="preserve">were </w:t>
      </w:r>
      <w:r>
        <w:t>feeling downbeat about the future</w:t>
      </w:r>
    </w:p>
    <w:p w14:paraId="07A04BBA" w14:textId="77777777" w:rsidR="00120A85" w:rsidRDefault="00120A85" w:rsidP="00EC60A5">
      <w:pPr>
        <w:jc w:val="both"/>
      </w:pPr>
      <w:r w:rsidRPr="00FD65D0">
        <w:t xml:space="preserve">It is difficult to capture the </w:t>
      </w:r>
      <w:r>
        <w:t xml:space="preserve">full </w:t>
      </w:r>
      <w:r w:rsidRPr="00FD65D0">
        <w:t>effect of the events leading up to the lockdown with data, because it is mixed, and the lockdown was announced before most data collection was completed at the end of March</w:t>
      </w:r>
      <w:r>
        <w:t xml:space="preserve"> 2020</w:t>
      </w:r>
      <w:r w:rsidRPr="00FD65D0">
        <w:t xml:space="preserve">. </w:t>
      </w:r>
      <w:r>
        <w:t>For example, the official labour market statistics for the March 2020 quarter covered an average of the weeks from the beginning of January 2020 to the end of March 2020. This means the results range from before there were restrictions in China, to the severe border restrictions in New Zealand, and the beginning of the lockdown in New Zealand.</w:t>
      </w:r>
    </w:p>
    <w:p w14:paraId="2B85DC76" w14:textId="77777777" w:rsidR="00120A85" w:rsidRDefault="00120A85" w:rsidP="00EC60A5">
      <w:pPr>
        <w:jc w:val="both"/>
      </w:pPr>
      <w:r w:rsidRPr="00FD65D0">
        <w:t xml:space="preserve">However, the Quarterly Survey of Business Opinion (from NZIER) </w:t>
      </w:r>
      <w:r>
        <w:t>i</w:t>
      </w:r>
      <w:r w:rsidRPr="00FD65D0">
        <w:t>n April 2020 did not include any business opinions formed after the lockdown was announced</w:t>
      </w:r>
      <w:r>
        <w:t>, so the effects of the lockdown are clearer.</w:t>
      </w:r>
      <w:r w:rsidRPr="00FD65D0">
        <w:t xml:space="preserve"> The release showed that even before the lockdown, businesses were feeling very downbeat about the future</w:t>
      </w:r>
      <w:r>
        <w:t xml:space="preserve"> with </w:t>
      </w:r>
      <w:r w:rsidRPr="00FD65D0">
        <w:t>a sharp decline in business confidence</w:t>
      </w:r>
      <w:r>
        <w:t xml:space="preserve">. However, </w:t>
      </w:r>
      <w:r w:rsidRPr="00FD65D0">
        <w:t xml:space="preserve">in the weeks leading up to the lockdown, </w:t>
      </w:r>
      <w:r>
        <w:t xml:space="preserve">there were </w:t>
      </w:r>
      <w:r w:rsidRPr="00FD65D0">
        <w:t xml:space="preserve">increased sales of groceries, whiteware and IT equipment </w:t>
      </w:r>
      <w:r>
        <w:t xml:space="preserve">which </w:t>
      </w:r>
      <w:r w:rsidRPr="00FD65D0">
        <w:t xml:space="preserve">partly offset the decline in spending in tourism and hospitality-related areas. </w:t>
      </w:r>
    </w:p>
    <w:p w14:paraId="4967760E" w14:textId="77777777" w:rsidR="00120A85" w:rsidRPr="001A1B3F" w:rsidRDefault="00120A85" w:rsidP="00EC60A5">
      <w:pPr>
        <w:jc w:val="both"/>
      </w:pPr>
      <w:r w:rsidRPr="00FD65D0">
        <w:t>This highlighted the unevenness of the effects on different sectors. Notably, manufacturers were also very pessimistic about the economic outlook (with a net 72 percent of manufacturers expecting deterioration in the economy).</w:t>
      </w:r>
    </w:p>
    <w:p w14:paraId="2128D31A" w14:textId="77777777" w:rsidR="00120A85" w:rsidRPr="001A1B3F" w:rsidRDefault="00120A85" w:rsidP="00EC60A5">
      <w:pPr>
        <w:pStyle w:val="Heading3"/>
        <w:jc w:val="both"/>
      </w:pPr>
      <w:bookmarkStart w:id="31" w:name="_Toc50642931"/>
      <w:bookmarkStart w:id="32" w:name="_Toc51240793"/>
      <w:bookmarkStart w:id="33" w:name="_Toc51763859"/>
      <w:r w:rsidRPr="00783C45">
        <w:t>The lockdown severely restricted economic activity with only essential businesses operating as usual</w:t>
      </w:r>
      <w:bookmarkEnd w:id="31"/>
      <w:bookmarkEnd w:id="32"/>
      <w:bookmarkEnd w:id="33"/>
    </w:p>
    <w:p w14:paraId="36374205" w14:textId="77777777" w:rsidR="00120A85" w:rsidRDefault="00120A85" w:rsidP="00EC60A5">
      <w:pPr>
        <w:jc w:val="both"/>
      </w:pPr>
      <w:r>
        <w:t xml:space="preserve">On 23 March 2020 New Zealand went into lockdown (alert level 4) which lasted four and a half weeks. Only essential businesses were operating as usual (such as supermarkets and their suppliers, pharmacies and medical clinics), with some businesses operating from home if they could do so. </w:t>
      </w:r>
      <w:r w:rsidRPr="00E72FE7">
        <w:t>This effectively</w:t>
      </w:r>
      <w:r>
        <w:t xml:space="preserve"> halted much of the economy. New Zealand then spent around two and a half weeks at alert level 3, which opened some parts of the economy, but activity was still considerably below normal levels.</w:t>
      </w:r>
    </w:p>
    <w:p w14:paraId="00EC8ECA" w14:textId="61242959" w:rsidR="00120A85" w:rsidRPr="0036404F" w:rsidRDefault="00120A85" w:rsidP="00EC60A5">
      <w:pPr>
        <w:jc w:val="both"/>
      </w:pPr>
      <w:r>
        <w:t xml:space="preserve">GDP is the official Statistics New Zealand measure of the value of the final goods and services we produce, but it has a publication lag of around twelve weeks after the end of the quarter and so we will not </w:t>
      </w:r>
      <w:r w:rsidR="00356760">
        <w:t xml:space="preserve">know </w:t>
      </w:r>
      <w:r>
        <w:t>how much the economy contracted in the June 2020 quarter until mid-September 2020.</w:t>
      </w:r>
    </w:p>
    <w:p w14:paraId="0E2E8E1D" w14:textId="145BDCE4" w:rsidR="00120A85" w:rsidRPr="00F206BD" w:rsidRDefault="00120A85" w:rsidP="00EC60A5">
      <w:pPr>
        <w:pStyle w:val="Heading4"/>
      </w:pPr>
      <w:r>
        <w:t>Accommodation and Food Services, and Construction were heavily affected during the lockdown</w:t>
      </w:r>
    </w:p>
    <w:p w14:paraId="2B0EA0E4" w14:textId="77777777" w:rsidR="00120A85" w:rsidRDefault="00120A85" w:rsidP="00EC60A5">
      <w:pPr>
        <w:jc w:val="both"/>
      </w:pPr>
      <w:r>
        <w:t>The Reserve Bank of New Zealand (RBNZ) has estimated that GDP was around 37 percent lower during the period of alert level 4 than it would have been without any restrictions, which equates to the lockdown reducing annual GDP by 3.2 percent.</w:t>
      </w:r>
      <w:r>
        <w:rPr>
          <w:rStyle w:val="FootnoteReference"/>
        </w:rPr>
        <w:footnoteReference w:id="7"/>
      </w:r>
      <w:r>
        <w:t xml:space="preserve"> </w:t>
      </w:r>
      <w:r w:rsidRPr="00F206BD">
        <w:t>The</w:t>
      </w:r>
      <w:r>
        <w:t xml:space="preserve"> RBNZ estimated that the time spent under alert level 3 equated to a reduction of annual GDP by a further 1.7 percent. There is significant uncertainty and limitations surrounding the estimates, but they give us a broad indication of the impact the lockdown had on the economy. </w:t>
      </w:r>
    </w:p>
    <w:p w14:paraId="6B3F0C33" w14:textId="77777777" w:rsidR="00120A85" w:rsidRDefault="00120A85" w:rsidP="00EC60A5">
      <w:pPr>
        <w:jc w:val="both"/>
      </w:pPr>
      <w:r>
        <w:t xml:space="preserve">All industries were affected by the lockdown in some way, but the RBNZ estimated that the Accommodation and Food Services and Construction industries were the most </w:t>
      </w:r>
      <w:r>
        <w:lastRenderedPageBreak/>
        <w:t>heavily affected (estimated to be producing at only 11 percent and 19 percent of their normal output levels, respectively). Under alert level 3, those industries were estimated to still be the most affected. Note that restrictions on activity for Accommodation and Food Services was mainly for restaurants, cafes and accommodation as opposed to supermarkets and their suppliers, which were considered essential services.</w:t>
      </w:r>
    </w:p>
    <w:p w14:paraId="6CC40004" w14:textId="2B752FFF" w:rsidR="00120A85" w:rsidRDefault="00120A85" w:rsidP="00EC60A5">
      <w:pPr>
        <w:jc w:val="both"/>
      </w:pPr>
      <w:r>
        <w:t>Economic growth (as measured by GDP) fell</w:t>
      </w:r>
      <w:r w:rsidR="00DD3BFA">
        <w:t xml:space="preserve"> by</w:t>
      </w:r>
      <w:r>
        <w:t xml:space="preserve"> 1.6 percent in the March 2020 quarter, with the largest contributions to this decline coming from the construction, manufacturing, transport, and retail trade and accommodation industries. The fall in March quarter growth only captured around one week of the impact of the lockdown on the economy, but the result for the June 2020 quarter will provide a fuller view (due to be published on 17 September 2020).</w:t>
      </w:r>
      <w:r w:rsidRPr="00393F5E">
        <w:t xml:space="preserve"> </w:t>
      </w:r>
    </w:p>
    <w:p w14:paraId="364188DF" w14:textId="77777777" w:rsidR="00120A85" w:rsidRDefault="00120A85" w:rsidP="00EC60A5">
      <w:pPr>
        <w:jc w:val="both"/>
      </w:pPr>
      <w:r w:rsidRPr="00783C45">
        <w:t>Consumer spending</w:t>
      </w:r>
      <w:r>
        <w:t xml:space="preserve"> also </w:t>
      </w:r>
      <w:r w:rsidRPr="00783C45">
        <w:t>slowed significantly over the lockdown period. Electronic card spending (seasonally adjusted) was around 53 percent lower in April 2020 than it was in February 2020 (pre-lockdown comparison), and around 15 percent lower in May 2020.</w:t>
      </w:r>
    </w:p>
    <w:p w14:paraId="0B2CB0C0" w14:textId="77777777" w:rsidR="00120A85" w:rsidRDefault="00120A85" w:rsidP="00EC60A5">
      <w:pPr>
        <w:jc w:val="both"/>
      </w:pPr>
      <w:r>
        <w:t>From an international perspective, it has been estimated</w:t>
      </w:r>
      <w:r>
        <w:rPr>
          <w:rStyle w:val="FootnoteReference"/>
        </w:rPr>
        <w:footnoteReference w:id="8"/>
      </w:r>
      <w:r>
        <w:t xml:space="preserve"> that economic growth in New Zealand for the June 2020 quarter has fared better than most OECD countries. However, it has been noted that the negative effect COVID-19 has had on economies is not only driven by the stringency of lockdowns (which was among the highest for New Zealand), but also public confidence in limiting the spread of COVID-19.</w:t>
      </w:r>
    </w:p>
    <w:p w14:paraId="2DF410DF" w14:textId="77777777" w:rsidR="00120A85" w:rsidRPr="001A1B3F" w:rsidRDefault="00120A85" w:rsidP="00EC60A5">
      <w:pPr>
        <w:pStyle w:val="Heading3"/>
        <w:jc w:val="both"/>
      </w:pPr>
      <w:bookmarkStart w:id="34" w:name="_Toc50642932"/>
      <w:bookmarkStart w:id="35" w:name="_Toc51240794"/>
      <w:bookmarkStart w:id="36" w:name="_Toc51763860"/>
      <w:r w:rsidRPr="00783C45">
        <w:t>After the lockdown, economic activity bounced back</w:t>
      </w:r>
      <w:r>
        <w:t xml:space="preserve"> partially with signs of</w:t>
      </w:r>
      <w:r w:rsidRPr="00783C45">
        <w:t xml:space="preserve"> better labour market conditions</w:t>
      </w:r>
      <w:bookmarkEnd w:id="34"/>
      <w:bookmarkEnd w:id="35"/>
      <w:bookmarkEnd w:id="36"/>
    </w:p>
    <w:p w14:paraId="0738136E" w14:textId="77777777" w:rsidR="00120A85" w:rsidRDefault="00120A85" w:rsidP="00EC60A5">
      <w:pPr>
        <w:jc w:val="both"/>
      </w:pPr>
      <w:r>
        <w:t xml:space="preserve">While alert levels 4 and 3 clearly reduced GDP levels, economic activity was able to resume closer to pre-lockdown levels as the restrictions were relaxed by moving to alert level 2 (beginning on 14 May 2020) and alert level 1 (beginning on 8 June 2020). </w:t>
      </w:r>
    </w:p>
    <w:p w14:paraId="0D4E2354" w14:textId="77777777" w:rsidR="00120A85" w:rsidRDefault="00120A85" w:rsidP="00EC60A5">
      <w:pPr>
        <w:jc w:val="both"/>
      </w:pPr>
      <w:r>
        <w:t>Economic conditions for the June 2020 quarter were expected to contract substantially (by around 19 percent)</w:t>
      </w:r>
      <w:r>
        <w:rPr>
          <w:rStyle w:val="FootnoteReference"/>
        </w:rPr>
        <w:footnoteReference w:id="9"/>
      </w:r>
      <w:r>
        <w:t>, but seem to have fared better than expected coming out of alert levels 3 and 4, which means that people are more likely to have stayed in employment.</w:t>
      </w:r>
    </w:p>
    <w:p w14:paraId="09AE021E" w14:textId="77777777" w:rsidR="00120A85" w:rsidRDefault="00120A85" w:rsidP="00EC60A5">
      <w:pPr>
        <w:jc w:val="both"/>
      </w:pPr>
      <w:r>
        <w:t>Moving down the alert levels relatively quickly is likely to have increased certainty for businesses and therefore have had an effect on their intentions to retain employees. Some of the indicators of this are that:</w:t>
      </w:r>
    </w:p>
    <w:p w14:paraId="73940001" w14:textId="359A1E78" w:rsidR="00120A85" w:rsidRDefault="00120A85" w:rsidP="00EC60A5">
      <w:pPr>
        <w:pStyle w:val="ListParagraph"/>
        <w:jc w:val="both"/>
      </w:pPr>
      <w:r>
        <w:t>The number of monthly filled jobs in May 2020 (seasonally adjusted) increased by around 17,000, after a reduction of around 35,000 filled jobs in April 2020</w:t>
      </w:r>
      <w:r w:rsidR="00245C28">
        <w:t>,</w:t>
      </w:r>
      <w:r>
        <w:t xml:space="preserve"> which was spent in lockdown.</w:t>
      </w:r>
    </w:p>
    <w:p w14:paraId="0FD10EAB" w14:textId="77777777" w:rsidR="00120A85" w:rsidRDefault="00120A85" w:rsidP="00EC60A5">
      <w:pPr>
        <w:pStyle w:val="ListParagraph"/>
        <w:jc w:val="both"/>
      </w:pPr>
      <w:r>
        <w:t>The June 2020 ANZ New Zealand Business Outlook</w:t>
      </w:r>
      <w:r>
        <w:rPr>
          <w:rStyle w:val="FootnoteReference"/>
        </w:rPr>
        <w:footnoteReference w:id="10"/>
      </w:r>
      <w:r>
        <w:t xml:space="preserve"> shows that headline business confidence stabilised over June, with a net 26 percent of firms expecting weaker activity for their own business.</w:t>
      </w:r>
    </w:p>
    <w:p w14:paraId="622C639A" w14:textId="3F8CCCA7" w:rsidR="00120A85" w:rsidRDefault="00120A85" w:rsidP="00EC60A5">
      <w:pPr>
        <w:jc w:val="both"/>
      </w:pPr>
      <w:r>
        <w:lastRenderedPageBreak/>
        <w:t>The Treasury’s New Zealand Activity Index</w:t>
      </w:r>
      <w:r>
        <w:rPr>
          <w:rStyle w:val="FootnoteReference"/>
        </w:rPr>
        <w:footnoteReference w:id="11"/>
      </w:r>
      <w:r>
        <w:t>,</w:t>
      </w:r>
      <w:r>
        <w:rPr>
          <w:rStyle w:val="FootnoteReference"/>
        </w:rPr>
        <w:footnoteReference w:id="12"/>
      </w:r>
      <w:r>
        <w:t xml:space="preserve"> shows that while activity fell sharply in April 2020, by June 2020 it had recovered somewhat </w:t>
      </w:r>
      <w:r w:rsidR="00245C28">
        <w:t xml:space="preserve">although it </w:t>
      </w:r>
      <w:r>
        <w:t xml:space="preserve">was still well below pre-COVID 19 levels. This trend is </w:t>
      </w:r>
      <w:r w:rsidRPr="00FD0B9C">
        <w:t xml:space="preserve">shown </w:t>
      </w:r>
      <w:r>
        <w:t xml:space="preserve">below </w:t>
      </w:r>
      <w:r w:rsidRPr="00FD0B9C">
        <w:t>in</w:t>
      </w:r>
      <w:r>
        <w:t xml:space="preserve"> </w:t>
      </w:r>
      <w:r>
        <w:fldChar w:fldCharType="begin"/>
      </w:r>
      <w:r>
        <w:instrText xml:space="preserve"> REF _Ref48046857 \h </w:instrText>
      </w:r>
      <w:r w:rsidR="00382570">
        <w:instrText xml:space="preserve"> \* MERGEFORMAT </w:instrText>
      </w:r>
      <w:r>
        <w:fldChar w:fldCharType="separate"/>
      </w:r>
      <w:r w:rsidR="0057304A">
        <w:t xml:space="preserve">Figure </w:t>
      </w:r>
      <w:r w:rsidR="0057304A">
        <w:rPr>
          <w:noProof/>
        </w:rPr>
        <w:t>1</w:t>
      </w:r>
      <w:r>
        <w:fldChar w:fldCharType="end"/>
      </w:r>
      <w:r w:rsidRPr="00FD0B9C">
        <w:t>.</w:t>
      </w:r>
      <w:r>
        <w:t xml:space="preserve"> </w:t>
      </w:r>
    </w:p>
    <w:p w14:paraId="43FBF14A" w14:textId="0578430D" w:rsidR="00F75919" w:rsidRDefault="00F75919" w:rsidP="00EC60A5">
      <w:pPr>
        <w:pStyle w:val="Caption"/>
        <w:keepNext/>
        <w:jc w:val="both"/>
      </w:pPr>
      <w:bookmarkStart w:id="37" w:name="_Ref48046857"/>
      <w:bookmarkStart w:id="38" w:name="_Toc51766315"/>
      <w:r>
        <w:t xml:space="preserve">Figure </w:t>
      </w:r>
      <w:fldSimple w:instr=" SEQ Figure \* ARABIC ">
        <w:r w:rsidR="0057304A">
          <w:rPr>
            <w:noProof/>
          </w:rPr>
          <w:t>1</w:t>
        </w:r>
      </w:fldSimple>
      <w:bookmarkEnd w:id="37"/>
      <w:r>
        <w:t xml:space="preserve"> </w:t>
      </w:r>
      <w:r w:rsidR="00AC0949">
        <w:t>–</w:t>
      </w:r>
      <w:r>
        <w:t xml:space="preserve"> Annual change in the New Zealand Activity Index dropped sharply due to the lockdown but partially rebounded in June 2020</w:t>
      </w:r>
      <w:bookmarkEnd w:id="38"/>
    </w:p>
    <w:p w14:paraId="523C2E8D" w14:textId="5CBCE561" w:rsidR="00F75919" w:rsidRDefault="00F75919" w:rsidP="00EC60A5">
      <w:pPr>
        <w:jc w:val="both"/>
        <w:rPr>
          <w:lang w:eastAsia="en-NZ"/>
        </w:rPr>
      </w:pPr>
      <w:r w:rsidRPr="003D1CE8">
        <w:rPr>
          <w:noProof/>
        </w:rPr>
        <w:drawing>
          <wp:inline distT="0" distB="0" distL="0" distR="0" wp14:anchorId="55B8B4D2" wp14:editId="29FDBC6C">
            <wp:extent cx="5314950" cy="346682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8437" cy="3469103"/>
                    </a:xfrm>
                    <a:prstGeom prst="rect">
                      <a:avLst/>
                    </a:prstGeom>
                    <a:noFill/>
                    <a:ln>
                      <a:noFill/>
                    </a:ln>
                  </pic:spPr>
                </pic:pic>
              </a:graphicData>
            </a:graphic>
          </wp:inline>
        </w:drawing>
      </w:r>
    </w:p>
    <w:p w14:paraId="56A838E7" w14:textId="77777777" w:rsidR="00F75919" w:rsidRPr="00F75919" w:rsidRDefault="00F75919" w:rsidP="00EC60A5">
      <w:pPr>
        <w:jc w:val="both"/>
        <w:rPr>
          <w:lang w:eastAsia="en-NZ"/>
        </w:rPr>
      </w:pPr>
    </w:p>
    <w:p w14:paraId="21E93326" w14:textId="0DDCCB3E" w:rsidR="00F75919" w:rsidRDefault="00245C28" w:rsidP="00EC60A5">
      <w:pPr>
        <w:jc w:val="both"/>
      </w:pPr>
      <w:bookmarkStart w:id="39" w:name="_Toc24109080"/>
      <w:bookmarkStart w:id="40" w:name="_Toc24109404"/>
      <w:bookmarkStart w:id="41" w:name="_Toc24109439"/>
      <w:bookmarkEnd w:id="20"/>
      <w:bookmarkEnd w:id="21"/>
      <w:bookmarkEnd w:id="22"/>
      <w:bookmarkEnd w:id="23"/>
      <w:r>
        <w:t xml:space="preserve">Note: </w:t>
      </w:r>
      <w:r w:rsidR="00F75919">
        <w:t>While the series summarises several monthly indicators of economic activity, it is only intended to be interpreted as a broad measure of economic activity and it should not be treated as a high-frequency version of GDP</w:t>
      </w:r>
      <w:r w:rsidR="00F75919">
        <w:rPr>
          <w:rStyle w:val="FootnoteReference"/>
        </w:rPr>
        <w:footnoteReference w:id="13"/>
      </w:r>
      <w:r w:rsidR="00F75919">
        <w:t>.</w:t>
      </w:r>
    </w:p>
    <w:p w14:paraId="0A5C0097" w14:textId="1793EDF9" w:rsidR="00F75919" w:rsidRDefault="00F75919" w:rsidP="00EC60A5">
      <w:pPr>
        <w:jc w:val="both"/>
      </w:pPr>
      <w:r>
        <w:t>The labour market statistics (as measured by the Household Labour Force Survey) for the June 2020 quarter show that the unemployment rate fell to 4.0 percent (from 4.2 percent), which was a surprising result on the face of it. However, this was a consequence of a reduction in the number of people actively seeking work during April 2020</w:t>
      </w:r>
      <w:r>
        <w:rPr>
          <w:rStyle w:val="FootnoteReference"/>
        </w:rPr>
        <w:footnoteReference w:id="14"/>
      </w:r>
      <w:r>
        <w:t xml:space="preserve"> because of the level 4 lockdown</w:t>
      </w:r>
      <w:r w:rsidR="00245C28">
        <w:t>,</w:t>
      </w:r>
      <w:r>
        <w:t xml:space="preserve"> and the mitigating effects from the Wage Subsidy. This can be seen in the underlying details of the results</w:t>
      </w:r>
      <w:r w:rsidR="00245C28">
        <w:t>, which reveal</w:t>
      </w:r>
      <w:r>
        <w:t>:</w:t>
      </w:r>
    </w:p>
    <w:p w14:paraId="068F54C9" w14:textId="77777777" w:rsidR="00F75919" w:rsidRDefault="00F75919" w:rsidP="00EC60A5">
      <w:pPr>
        <w:pStyle w:val="ListParagraph"/>
        <w:jc w:val="both"/>
      </w:pPr>
      <w:r>
        <w:t>The number of people employed fell by only 0.4 percent in the quarter</w:t>
      </w:r>
    </w:p>
    <w:p w14:paraId="43B451C6" w14:textId="638EFC15" w:rsidR="00F75919" w:rsidRDefault="00F75919" w:rsidP="00EC60A5">
      <w:pPr>
        <w:pStyle w:val="ListParagraph"/>
        <w:jc w:val="both"/>
      </w:pPr>
      <w:r>
        <w:t>But there was a 10.3 percent quarterly drop in the total number of hours worked</w:t>
      </w:r>
      <w:r w:rsidR="00245C28">
        <w:t>.</w:t>
      </w:r>
    </w:p>
    <w:p w14:paraId="77B1FFF4" w14:textId="211D31FD" w:rsidR="00F75919" w:rsidRPr="001A1B3F" w:rsidRDefault="00F75919" w:rsidP="00EC60A5">
      <w:pPr>
        <w:jc w:val="both"/>
      </w:pPr>
      <w:r>
        <w:t xml:space="preserve">More people worked fewer hours than they would have liked, reflecting a 1.6 percentage points rise in the underutilisation rate to 12.0 percent. Some people are likely to have been discouraged from seeking work due to weaker economic conditions, </w:t>
      </w:r>
      <w:r>
        <w:lastRenderedPageBreak/>
        <w:t xml:space="preserve">with a fall in the proportion of people who </w:t>
      </w:r>
      <w:r w:rsidR="00245C28">
        <w:t xml:space="preserve">were </w:t>
      </w:r>
      <w:r>
        <w:t>actively in the labour force of 0.8 percentage points. There was also a significant increase in the group of people in the potential labour force – those wanting work but not currently available – though the increase in this group was not as large as the increase in people wanting more hours.</w:t>
      </w:r>
    </w:p>
    <w:p w14:paraId="73D59516" w14:textId="77777777" w:rsidR="00F75919" w:rsidRPr="00783C45" w:rsidRDefault="00F75919" w:rsidP="00EC60A5">
      <w:pPr>
        <w:pStyle w:val="Heading3"/>
        <w:jc w:val="both"/>
        <w:rPr>
          <w:i/>
        </w:rPr>
      </w:pPr>
      <w:bookmarkStart w:id="42" w:name="_Toc50642933"/>
      <w:bookmarkStart w:id="43" w:name="_Toc51240795"/>
      <w:bookmarkStart w:id="44" w:name="_Toc51763861"/>
      <w:r w:rsidRPr="00783C45">
        <w:t xml:space="preserve">However, economic </w:t>
      </w:r>
      <w:r>
        <w:t>conditions are still subdued</w:t>
      </w:r>
      <w:r w:rsidRPr="00783C45">
        <w:t>, particularly in sectors affected by border restrictions</w:t>
      </w:r>
      <w:bookmarkEnd w:id="42"/>
      <w:bookmarkEnd w:id="43"/>
      <w:bookmarkEnd w:id="44"/>
    </w:p>
    <w:p w14:paraId="63C55B96" w14:textId="77777777" w:rsidR="00F75919" w:rsidRDefault="00F75919" w:rsidP="00EC60A5">
      <w:pPr>
        <w:jc w:val="both"/>
      </w:pPr>
      <w:r>
        <w:t xml:space="preserve">Although there has been a resumption in economic activity, some sectors of the economy have been hit harder than others and may struggle when the wage subsidies run out. This is because ongoing border restrictions continue to affect tourism and industries that indirectly rely on tourism, such as Accommodation and Food services. Under alert level 1, New Zealand’s border is still closed to international tourists and it is highly uncertain how long this will continue for. </w:t>
      </w:r>
    </w:p>
    <w:p w14:paraId="2557673B" w14:textId="20A7F2CE" w:rsidR="00F75919" w:rsidRDefault="00F75919" w:rsidP="00EC60A5">
      <w:pPr>
        <w:jc w:val="both"/>
      </w:pPr>
      <w:r>
        <w:t xml:space="preserve">On the other hand, export industries like livestock, forestry and horticulture </w:t>
      </w:r>
      <w:r w:rsidR="003507A8">
        <w:t>were</w:t>
      </w:r>
      <w:r>
        <w:t xml:space="preserve"> resilient throughout the COVID-19 lockdown</w:t>
      </w:r>
      <w:r>
        <w:rPr>
          <w:rStyle w:val="FootnoteReference"/>
        </w:rPr>
        <w:footnoteReference w:id="15"/>
      </w:r>
      <w:r>
        <w:t>. Aside from the initial lockdown in China that disrupted supply chains there has been strong demand for our exports to Asia and flexible supply chains are contributing to this.</w:t>
      </w:r>
    </w:p>
    <w:p w14:paraId="251FFED4" w14:textId="2C30387D" w:rsidR="00F75919" w:rsidRDefault="00F75919" w:rsidP="00EC60A5">
      <w:pPr>
        <w:jc w:val="both"/>
      </w:pPr>
      <w:r>
        <w:t xml:space="preserve">To some extent, the regional picture is driven by the sectoral story, with areas like Queenstown and Rotorua heavily affected by the economic impacts of COVID-19. There are also likely to have been negative flow-on effects </w:t>
      </w:r>
      <w:r w:rsidR="00356760">
        <w:t>in</w:t>
      </w:r>
      <w:r>
        <w:t xml:space="preserve"> sectors related to tourism including retail. On the other hand, Wellington has not seen much change in labour market outcomes, which is partly due to public sector employment.</w:t>
      </w:r>
    </w:p>
    <w:p w14:paraId="577FCDED" w14:textId="17440EE2" w:rsidR="00F75919" w:rsidRPr="00503D82" w:rsidRDefault="00F75919" w:rsidP="00EC60A5">
      <w:pPr>
        <w:jc w:val="both"/>
      </w:pPr>
      <w:r>
        <w:t xml:space="preserve">Uncertainty about the </w:t>
      </w:r>
      <w:r w:rsidR="00245C28">
        <w:t xml:space="preserve">economic </w:t>
      </w:r>
      <w:r>
        <w:t>outlook is likely to be one of the main issues for businesses because it makes investment decisions more difficult and limits them in the short term.</w:t>
      </w:r>
    </w:p>
    <w:p w14:paraId="5D0BDECD" w14:textId="77777777" w:rsidR="00F75919" w:rsidRPr="00783C45" w:rsidRDefault="00F75919" w:rsidP="00EC60A5">
      <w:pPr>
        <w:pStyle w:val="Heading3"/>
        <w:jc w:val="both"/>
        <w:rPr>
          <w:i/>
        </w:rPr>
      </w:pPr>
      <w:bookmarkStart w:id="45" w:name="_Toc50642934"/>
      <w:bookmarkStart w:id="46" w:name="_Toc51240796"/>
      <w:bookmarkStart w:id="47" w:name="_Toc51763862"/>
      <w:r>
        <w:t xml:space="preserve">Looking forward the main </w:t>
      </w:r>
      <w:r w:rsidRPr="00783C45">
        <w:t>risk</w:t>
      </w:r>
      <w:r>
        <w:t>s</w:t>
      </w:r>
      <w:r w:rsidRPr="00783C45">
        <w:t xml:space="preserve"> </w:t>
      </w:r>
      <w:r>
        <w:t>are global uncertainty, when border restrictions are loosened and how the pandemic plays out</w:t>
      </w:r>
      <w:bookmarkEnd w:id="45"/>
      <w:bookmarkEnd w:id="46"/>
      <w:bookmarkEnd w:id="47"/>
    </w:p>
    <w:p w14:paraId="2B6F5948" w14:textId="23AF3D40" w:rsidR="00F75919" w:rsidRDefault="00F75919" w:rsidP="00EC60A5">
      <w:pPr>
        <w:jc w:val="both"/>
      </w:pPr>
      <w:r>
        <w:t xml:space="preserve">New Zealand’s economic outlook remains highly uncertain, mainly because the </w:t>
      </w:r>
      <w:r w:rsidR="00245C28">
        <w:t xml:space="preserve">world </w:t>
      </w:r>
      <w:r>
        <w:t>economy is dependent on how the COVID-19 pandemic plays out globally, and because domestic fiscal supports have almost run their course. A global recession would have significant flow-on risks to New Zealand as we are a small, open economy.</w:t>
      </w:r>
    </w:p>
    <w:p w14:paraId="69C0EDD4" w14:textId="77777777" w:rsidR="00F75919" w:rsidRDefault="00F75919" w:rsidP="00EC60A5">
      <w:pPr>
        <w:jc w:val="both"/>
      </w:pPr>
      <w:r>
        <w:t>One perspective on global uncertainty is illustrated in the OECD’s economic outlook for June 2020</w:t>
      </w:r>
      <w:r>
        <w:rPr>
          <w:rStyle w:val="FootnoteReference"/>
        </w:rPr>
        <w:footnoteReference w:id="16"/>
      </w:r>
      <w:r>
        <w:t xml:space="preserve"> which outlines two (equally probable) economic scenarios. In their worst-case scenario, there is a second wave of infections with renewed lockdowns before the end of 2020. The other scenario is one in which another major outbreak is avoided. They estimate that New Zealand would rank 12</w:t>
      </w:r>
      <w:r w:rsidRPr="00D1679B">
        <w:rPr>
          <w:vertAlign w:val="superscript"/>
        </w:rPr>
        <w:t>th</w:t>
      </w:r>
      <w:r>
        <w:t xml:space="preserve"> most heavily impacted by the worst-case scenario out of the 36 OECD countries in terms of the projected negative change in GDP in 2020.</w:t>
      </w:r>
    </w:p>
    <w:p w14:paraId="2970D394" w14:textId="77777777" w:rsidR="00F75919" w:rsidRDefault="00F75919" w:rsidP="00EC60A5">
      <w:pPr>
        <w:jc w:val="both"/>
      </w:pPr>
      <w:r w:rsidRPr="00D1679B">
        <w:t>The global economy affects the N</w:t>
      </w:r>
      <w:r>
        <w:t>ew Zealand</w:t>
      </w:r>
      <w:r w:rsidRPr="00D1679B">
        <w:t xml:space="preserve"> economy through a variety of channels.  The impact on our terms of trade (export and import prices) and on demand for exports are </w:t>
      </w:r>
      <w:r>
        <w:t xml:space="preserve">key. However, </w:t>
      </w:r>
      <w:r w:rsidRPr="00D1679B">
        <w:t>border restrictions and judgements about the speed at which international tourism will rebound once borders are re-opened</w:t>
      </w:r>
      <w:r>
        <w:t>,</w:t>
      </w:r>
      <w:r w:rsidRPr="00D1679B">
        <w:t xml:space="preserve"> are </w:t>
      </w:r>
      <w:r>
        <w:t xml:space="preserve">currently </w:t>
      </w:r>
      <w:r w:rsidRPr="00D1679B">
        <w:t xml:space="preserve">particularly </w:t>
      </w:r>
      <w:r>
        <w:t>relevant</w:t>
      </w:r>
      <w:r w:rsidRPr="00D1679B">
        <w:t>.</w:t>
      </w:r>
      <w:r>
        <w:t xml:space="preserve"> </w:t>
      </w:r>
    </w:p>
    <w:p w14:paraId="6871AE61" w14:textId="77777777" w:rsidR="00F75919" w:rsidRDefault="00F75919" w:rsidP="00EC60A5">
      <w:pPr>
        <w:jc w:val="both"/>
      </w:pPr>
      <w:r>
        <w:lastRenderedPageBreak/>
        <w:t>Aside from the impacts on tourism, loosening of border restrictions is important because it will affect the timing of returning migrants and students, who also contribute to our economy.</w:t>
      </w:r>
    </w:p>
    <w:p w14:paraId="6C3BA25E" w14:textId="3AD297D3" w:rsidR="00F75919" w:rsidRDefault="00F75919" w:rsidP="00EC60A5">
      <w:pPr>
        <w:jc w:val="both"/>
      </w:pPr>
      <w:r>
        <w:t xml:space="preserve">Uncertainty leads to businesses being tentative about investment and hiring, potentially creating a significant negative impact on the labour market. There is still a high level of uncertainty regarding how the pandemic will play out domestically and any subsequent policy actions </w:t>
      </w:r>
      <w:r w:rsidR="00AD5531">
        <w:t xml:space="preserve">arising </w:t>
      </w:r>
      <w:r>
        <w:t>from any potential outbreaks in New Zealand.</w:t>
      </w:r>
    </w:p>
    <w:p w14:paraId="47775991" w14:textId="5B9B0A2A" w:rsidR="00F75919" w:rsidRDefault="00AA3DBF" w:rsidP="00287567">
      <w:pPr>
        <w:pStyle w:val="Heading2"/>
      </w:pPr>
      <w:bookmarkStart w:id="48" w:name="_Toc51763863"/>
      <w:r>
        <w:t>P</w:t>
      </w:r>
      <w:r w:rsidR="00F75919">
        <w:t>olicies</w:t>
      </w:r>
      <w:r w:rsidR="00DB3FBB">
        <w:t xml:space="preserve"> were</w:t>
      </w:r>
      <w:r w:rsidR="00F75919">
        <w:t xml:space="preserve"> implemented in response to the negative economic effects of COVID-19</w:t>
      </w:r>
      <w:bookmarkEnd w:id="48"/>
    </w:p>
    <w:p w14:paraId="48B3FD4C" w14:textId="14CD86C3" w:rsidR="00F75919" w:rsidRDefault="00F75919" w:rsidP="00EC60A5">
      <w:pPr>
        <w:jc w:val="both"/>
      </w:pPr>
      <w:r>
        <w:t xml:space="preserve">The welfare system </w:t>
      </w:r>
      <w:r w:rsidR="00AD5531">
        <w:t>exists</w:t>
      </w:r>
      <w:r>
        <w:t xml:space="preserve"> to protect New Zealanders during</w:t>
      </w:r>
      <w:r w:rsidRPr="00F8565E">
        <w:t xml:space="preserve"> adverse events such as sickness and unemployment. The need for income-support payments is </w:t>
      </w:r>
      <w:r>
        <w:t>obviously heightened</w:t>
      </w:r>
      <w:r w:rsidRPr="00F8565E">
        <w:t xml:space="preserve"> during a major recession or pandemic, when a large proportion of the population is affected by these adverse events. </w:t>
      </w:r>
      <w:r>
        <w:t>In response to COVID-19 there have been several policy initiatives designed to help minimise disruption to the economy and buffer New Zealanders from the full effects of the income shock that COVID-19 is causing.</w:t>
      </w:r>
    </w:p>
    <w:p w14:paraId="3C091C7C" w14:textId="3D37CC24" w:rsidR="00F75919" w:rsidRDefault="00F75919" w:rsidP="00EC60A5">
      <w:pPr>
        <w:jc w:val="both"/>
      </w:pPr>
      <w:r w:rsidRPr="00F8565E">
        <w:t>From a macro</w:t>
      </w:r>
      <w:r>
        <w:t>-</w:t>
      </w:r>
      <w:r w:rsidRPr="00F8565E">
        <w:t xml:space="preserve">economic perspective, the welfare system </w:t>
      </w:r>
      <w:r w:rsidR="00AD5531">
        <w:t>plays</w:t>
      </w:r>
      <w:r w:rsidRPr="00F8565E">
        <w:t xml:space="preserve"> an important economic stabilisation role</w:t>
      </w:r>
      <w:r>
        <w:t xml:space="preserve">, </w:t>
      </w:r>
      <w:r w:rsidRPr="00F8565E">
        <w:t xml:space="preserve">which </w:t>
      </w:r>
      <w:r>
        <w:t>is</w:t>
      </w:r>
      <w:r w:rsidRPr="00F8565E">
        <w:t xml:space="preserve"> </w:t>
      </w:r>
      <w:r>
        <w:t>automatic</w:t>
      </w:r>
      <w:r w:rsidRPr="000E46ED">
        <w:t xml:space="preserve"> </w:t>
      </w:r>
      <w:r>
        <w:t xml:space="preserve">and can </w:t>
      </w:r>
      <w:r w:rsidR="00AD5531">
        <w:t xml:space="preserve">also </w:t>
      </w:r>
      <w:r>
        <w:t xml:space="preserve">be </w:t>
      </w:r>
      <w:r w:rsidRPr="00F8565E">
        <w:t>discretionary.</w:t>
      </w:r>
      <w:r>
        <w:t xml:space="preserve"> An example of an automatic economic stabiliser was the rise in w</w:t>
      </w:r>
      <w:r w:rsidRPr="00F8565E">
        <w:t>elfare expenditure as more people require</w:t>
      </w:r>
      <w:r>
        <w:t>d</w:t>
      </w:r>
      <w:r w:rsidRPr="00F8565E">
        <w:t xml:space="preserve"> income</w:t>
      </w:r>
      <w:r>
        <w:t xml:space="preserve"> </w:t>
      </w:r>
      <w:r w:rsidRPr="00F8565E">
        <w:t xml:space="preserve">support. </w:t>
      </w:r>
    </w:p>
    <w:p w14:paraId="44968CA6" w14:textId="77777777" w:rsidR="00F75919" w:rsidRDefault="00F75919" w:rsidP="00EC60A5">
      <w:pPr>
        <w:jc w:val="both"/>
      </w:pPr>
      <w:r>
        <w:t>Examples of discretionary economic stabilisers were the rapid implementation of the Wage Subsidy (including the Wage Subsidy Extension) and the COVID-19 Income Relief Payment (CIRP). These were the two main new policies that affected the number of people on benefits.</w:t>
      </w:r>
    </w:p>
    <w:p w14:paraId="5E9EA0B5" w14:textId="386F1270" w:rsidR="00F75919" w:rsidRDefault="00F75919" w:rsidP="00EC60A5">
      <w:pPr>
        <w:jc w:val="both"/>
      </w:pPr>
      <w:r>
        <w:t xml:space="preserve">The Wage Subsidy may have prevented some people from coming onto the benefit system </w:t>
      </w:r>
      <w:r w:rsidR="00AD5531">
        <w:t>by supporting</w:t>
      </w:r>
      <w:r>
        <w:t xml:space="preserve"> employers</w:t>
      </w:r>
      <w:r w:rsidR="00AD5531">
        <w:t xml:space="preserve"> to continue paying their staff</w:t>
      </w:r>
      <w:r>
        <w:t>. Over 1.7 million jobs have been covered by the scheme so far. The Wage Subsidy also provided fiscal stimulus, which is important in a recession.</w:t>
      </w:r>
    </w:p>
    <w:p w14:paraId="068828E2" w14:textId="77777777" w:rsidR="00F75919" w:rsidRDefault="00F75919" w:rsidP="00EC60A5">
      <w:pPr>
        <w:jc w:val="both"/>
      </w:pPr>
      <w:r>
        <w:t>The CIRP affected benefit demand because it meant that some people who would have otherwise come onto Jobseeker Support (JS) received the CIRP payment instead. The CIRP was introduced to provide up to 12 weeks of financial support to people who lost their job (between 1 March and 30 October 2020) due to the impacts of COVID-19.</w:t>
      </w:r>
    </w:p>
    <w:p w14:paraId="30951382" w14:textId="77777777" w:rsidR="00F75919" w:rsidRPr="000E46ED" w:rsidRDefault="00F75919" w:rsidP="00EC60A5">
      <w:pPr>
        <w:pStyle w:val="Heading3"/>
        <w:jc w:val="both"/>
        <w:rPr>
          <w:i/>
        </w:rPr>
      </w:pPr>
      <w:bookmarkStart w:id="49" w:name="_Toc50642936"/>
      <w:bookmarkStart w:id="50" w:name="_Toc51240798"/>
      <w:bookmarkStart w:id="51" w:name="_Toc51763864"/>
      <w:r>
        <w:t>The policy response was important in helping minimise economic disruption</w:t>
      </w:r>
      <w:bookmarkEnd w:id="49"/>
      <w:bookmarkEnd w:id="50"/>
      <w:bookmarkEnd w:id="51"/>
      <w:r w:rsidRPr="00F8565E">
        <w:t xml:space="preserve"> </w:t>
      </w:r>
    </w:p>
    <w:p w14:paraId="621A3EE9" w14:textId="04B10763" w:rsidR="00F75919" w:rsidRPr="00905C06" w:rsidRDefault="00F75919" w:rsidP="00EC60A5">
      <w:pPr>
        <w:jc w:val="both"/>
        <w:rPr>
          <w:rFonts w:eastAsiaTheme="majorEastAsia"/>
        </w:rPr>
      </w:pPr>
      <w:r>
        <w:t xml:space="preserve">In addition to the Wage Subsidy and CIRP, the $25 increase to main benefit payment rates and the temporary doubling of the Winter Energy Payment (WEP) were other important discretionary stabilisers of the economy. These initiatives </w:t>
      </w:r>
      <w:r w:rsidR="00AD5531">
        <w:t>bolstered</w:t>
      </w:r>
      <w:r>
        <w:t xml:space="preserve"> people’s incomes, and therefore </w:t>
      </w:r>
      <w:r w:rsidR="00AD5531">
        <w:t xml:space="preserve">provided further immediate fiscal stimulus for </w:t>
      </w:r>
      <w:r>
        <w:t>the economy</w:t>
      </w:r>
      <w:r w:rsidR="00AD5531">
        <w:t>.</w:t>
      </w:r>
    </w:p>
    <w:p w14:paraId="3EE8FB11" w14:textId="31385579" w:rsidR="00F75919" w:rsidRDefault="00F75919" w:rsidP="00EC60A5">
      <w:pPr>
        <w:jc w:val="both"/>
      </w:pPr>
      <w:r>
        <w:t xml:space="preserve">There have also been various changes to the way that income support payments are being administered. For example, renewals of benefits that usually require a re-application process are being cleared automatically. This means that some people who might leave the benefit system or transfer to another payment under normal circumstances will continue to </w:t>
      </w:r>
      <w:r w:rsidR="00AD5531">
        <w:t>receive their benefit payment</w:t>
      </w:r>
      <w:r w:rsidR="007C06AC">
        <w:t>s</w:t>
      </w:r>
      <w:r>
        <w:t>.</w:t>
      </w:r>
    </w:p>
    <w:p w14:paraId="0AF497A4" w14:textId="22B99518" w:rsidR="00F75919" w:rsidRDefault="00F75919" w:rsidP="00EC60A5">
      <w:pPr>
        <w:jc w:val="both"/>
      </w:pPr>
      <w:r>
        <w:fldChar w:fldCharType="begin"/>
      </w:r>
      <w:r>
        <w:instrText xml:space="preserve"> REF _Ref48047626 \h  \* MERGEFORMAT </w:instrText>
      </w:r>
      <w:r>
        <w:fldChar w:fldCharType="separate"/>
      </w:r>
      <w:r w:rsidR="0057304A" w:rsidRPr="00EF3369">
        <w:t xml:space="preserve">Table </w:t>
      </w:r>
      <w:r w:rsidR="0057304A">
        <w:rPr>
          <w:noProof/>
        </w:rPr>
        <w:t>1</w:t>
      </w:r>
      <w:r>
        <w:fldChar w:fldCharType="end"/>
      </w:r>
      <w:r>
        <w:t xml:space="preserve"> in </w:t>
      </w:r>
      <w:r>
        <w:fldChar w:fldCharType="begin"/>
      </w:r>
      <w:r>
        <w:instrText xml:space="preserve"> REF _Ref48047769 \h  \* MERGEFORMAT </w:instrText>
      </w:r>
      <w:r>
        <w:fldChar w:fldCharType="separate"/>
      </w:r>
      <w:r w:rsidR="0057304A">
        <w:t xml:space="preserve">Appendix </w:t>
      </w:r>
      <w:r w:rsidR="0057304A">
        <w:rPr>
          <w:noProof/>
        </w:rPr>
        <w:t>1</w:t>
      </w:r>
      <w:r>
        <w:fldChar w:fldCharType="end"/>
      </w:r>
      <w:r>
        <w:t xml:space="preserve"> outlines the key MSD</w:t>
      </w:r>
      <w:r w:rsidR="00C50E6B">
        <w:t>-</w:t>
      </w:r>
      <w:r>
        <w:t>related policy and temporary operational initiatives that have been put in place, directly relating to some form of income support. Some of these initiatives were established in response to the negative economic effects of COVID-19 while others assisted MSD to deal with the increase in demand.</w:t>
      </w:r>
    </w:p>
    <w:p w14:paraId="646A2799" w14:textId="77777777" w:rsidR="00F75919" w:rsidRPr="001A1B3F" w:rsidRDefault="00F75919" w:rsidP="00287567">
      <w:pPr>
        <w:pStyle w:val="Heading2"/>
      </w:pPr>
      <w:bookmarkStart w:id="52" w:name="_Toc50642937"/>
      <w:bookmarkStart w:id="53" w:name="_Toc51763865"/>
      <w:r w:rsidRPr="001A1B3F">
        <w:lastRenderedPageBreak/>
        <w:t xml:space="preserve">Both weakening economic conditions and the COVID-19 policy responses </w:t>
      </w:r>
      <w:r>
        <w:t>have</w:t>
      </w:r>
      <w:r w:rsidRPr="001A1B3F">
        <w:t xml:space="preserve"> affect</w:t>
      </w:r>
      <w:r>
        <w:t>ed</w:t>
      </w:r>
      <w:r w:rsidRPr="001A1B3F">
        <w:t xml:space="preserve"> demand for benefit payments</w:t>
      </w:r>
      <w:bookmarkEnd w:id="52"/>
      <w:bookmarkEnd w:id="53"/>
    </w:p>
    <w:p w14:paraId="577DFB30" w14:textId="222A9415" w:rsidR="00F75919" w:rsidRDefault="00F75919" w:rsidP="00EC60A5">
      <w:pPr>
        <w:jc w:val="both"/>
      </w:pPr>
      <w:r>
        <w:t xml:space="preserve">There is a lot of uncertainty around what effect the suite of new policy and operational changes has had on benefit numbers. The effect of some changes is difficult to quantify because benefit numbers are also driven by changes in labour market conditions and this factor cannot </w:t>
      </w:r>
      <w:r w:rsidR="007C06AC">
        <w:t xml:space="preserve">easily </w:t>
      </w:r>
      <w:r>
        <w:t>be disentangled.</w:t>
      </w:r>
    </w:p>
    <w:p w14:paraId="171A3BC7" w14:textId="77777777" w:rsidR="00F75919" w:rsidRDefault="00F75919" w:rsidP="00EC60A5">
      <w:pPr>
        <w:jc w:val="both"/>
      </w:pPr>
      <w:r>
        <w:t xml:space="preserve">Modelling of policy and operational changes was mainly completed during the early stages of the COVID-19 pandemic lockdown when uncertainty was particularly high, so the risk of forecast variance was greater than normal. </w:t>
      </w:r>
    </w:p>
    <w:p w14:paraId="647404E0" w14:textId="567FBAA0" w:rsidR="00F75919" w:rsidRDefault="00F75919" w:rsidP="00EC60A5">
      <w:pPr>
        <w:jc w:val="both"/>
      </w:pPr>
      <w:r>
        <w:t>The demand for income support, particularly JS</w:t>
      </w:r>
      <w:r w:rsidR="007C06AC">
        <w:t>,</w:t>
      </w:r>
      <w:r>
        <w:t xml:space="preserve"> has risen significantly, which is linked to both the initial lockdown and weakening economic conditions, and the subsequent policy response.</w:t>
      </w:r>
    </w:p>
    <w:p w14:paraId="51EBFF6F" w14:textId="216BA48D" w:rsidR="00F75919" w:rsidRPr="00DE1075" w:rsidRDefault="00F75919" w:rsidP="00EC60A5">
      <w:pPr>
        <w:jc w:val="both"/>
      </w:pPr>
      <w:r>
        <w:t xml:space="preserve">The rest of this report explains how the trends in demand for benefit payments have changed due to both weakening economic conditions and </w:t>
      </w:r>
      <w:r w:rsidR="007C06AC">
        <w:t xml:space="preserve">the </w:t>
      </w:r>
      <w:r>
        <w:t>subsequent policy response.</w:t>
      </w:r>
    </w:p>
    <w:p w14:paraId="65B31B0A" w14:textId="77777777" w:rsidR="00F75919" w:rsidRPr="001A1B3F" w:rsidRDefault="00F75919" w:rsidP="00EC60A5">
      <w:pPr>
        <w:pStyle w:val="Heading3"/>
        <w:jc w:val="both"/>
      </w:pPr>
      <w:bookmarkStart w:id="54" w:name="_Toc50642938"/>
      <w:bookmarkStart w:id="55" w:name="_Toc51240800"/>
      <w:bookmarkStart w:id="56" w:name="_Toc51763866"/>
      <w:r w:rsidRPr="00692D75">
        <w:t>Most of the growth in Jobseeker Support Work-Ready occurred during the lockdown due to restrictions on economic activity</w:t>
      </w:r>
      <w:bookmarkEnd w:id="54"/>
      <w:bookmarkEnd w:id="55"/>
      <w:bookmarkEnd w:id="56"/>
    </w:p>
    <w:p w14:paraId="2321470B" w14:textId="70E24686" w:rsidR="00F75919" w:rsidRDefault="00F75919" w:rsidP="00EC60A5">
      <w:pPr>
        <w:jc w:val="both"/>
      </w:pPr>
      <w:r>
        <w:t>The number of people on a main benefit, particularly JS Work-Ready, increased sharply in April 2020 under alert level 4, due to the severe restrictions on economic activity. Some businesses may have permanently shut, or reduced output activity, due</w:t>
      </w:r>
      <w:r w:rsidR="009C7073">
        <w:t xml:space="preserve"> to</w:t>
      </w:r>
      <w:r>
        <w:t xml:space="preserve"> lockdown restrictions, resulting in job losses.</w:t>
      </w:r>
    </w:p>
    <w:p w14:paraId="4EAF46DD" w14:textId="39947609" w:rsidR="00F75919" w:rsidRDefault="00F75919" w:rsidP="00EC60A5">
      <w:pPr>
        <w:jc w:val="both"/>
      </w:pPr>
      <w:r>
        <w:t xml:space="preserve">Lockdown restrictions also meant that it was difficult for people to move into employment, and so the increase in people on JS Work-Ready was driven by both a sharp increase in the number of people coming onto the benefit, as well as significantly fewer numbers of people leaving compared </w:t>
      </w:r>
      <w:r w:rsidR="007C06AC">
        <w:t xml:space="preserve">with </w:t>
      </w:r>
      <w:r>
        <w:t>usual levels.</w:t>
      </w:r>
    </w:p>
    <w:p w14:paraId="353E6C45" w14:textId="0F8115AF" w:rsidR="00F75919" w:rsidRPr="001A1B3F" w:rsidRDefault="00F75919" w:rsidP="00EC60A5">
      <w:pPr>
        <w:jc w:val="both"/>
      </w:pPr>
      <w:r>
        <w:t xml:space="preserve">It is important to note that even though the most common reason for being granted JS is because of job loss, some of the other reasons for the grant can also be related to a weaker labour market. For example, people returning to New Zealand or who are released from prison may come onto JS because they are entering a labour market in which it is more difficult to find employment. </w:t>
      </w:r>
      <w:r w:rsidR="007C06AC">
        <w:t>In these cases</w:t>
      </w:r>
      <w:r>
        <w:t>, their officially recorded reason for coming onto JS may not be due to ceased work.</w:t>
      </w:r>
    </w:p>
    <w:p w14:paraId="36CC60B1" w14:textId="7DCF4D37" w:rsidR="00F75919" w:rsidRPr="001A1B3F" w:rsidRDefault="00F75919" w:rsidP="00EC60A5">
      <w:pPr>
        <w:pStyle w:val="Heading3"/>
        <w:jc w:val="both"/>
      </w:pPr>
      <w:bookmarkStart w:id="57" w:name="_Toc50642939"/>
      <w:bookmarkStart w:id="58" w:name="_Toc51240801"/>
      <w:bookmarkStart w:id="59" w:name="_Toc51763867"/>
      <w:r w:rsidRPr="00692D75">
        <w:t>The number of people on J</w:t>
      </w:r>
      <w:r w:rsidR="00B26814">
        <w:t>obseeker Support</w:t>
      </w:r>
      <w:r w:rsidRPr="00692D75">
        <w:t xml:space="preserve"> Work-Ready during the lockdown increased much faster than </w:t>
      </w:r>
      <w:r>
        <w:t xml:space="preserve">in </w:t>
      </w:r>
      <w:r w:rsidRPr="00692D75">
        <w:t>past recessions</w:t>
      </w:r>
      <w:bookmarkEnd w:id="57"/>
      <w:bookmarkEnd w:id="58"/>
      <w:bookmarkEnd w:id="59"/>
    </w:p>
    <w:p w14:paraId="59A64708" w14:textId="77777777" w:rsidR="00F75919" w:rsidRDefault="00F75919" w:rsidP="00EC60A5">
      <w:pPr>
        <w:jc w:val="both"/>
      </w:pPr>
      <w:r>
        <w:t>The impact of the lockdown caused an acceleration in demand for benefit payments at a scale much faster than we have seen in past recessions, such as the Global Financial Crisis (GFC) or Asian Crisis.</w:t>
      </w:r>
    </w:p>
    <w:p w14:paraId="5AFFEADA" w14:textId="608A6D29" w:rsidR="00F75919" w:rsidRDefault="00F75919" w:rsidP="00EC60A5">
      <w:pPr>
        <w:jc w:val="both"/>
      </w:pPr>
      <w:r>
        <w:t xml:space="preserve">The </w:t>
      </w:r>
      <w:r w:rsidR="007C06AC">
        <w:t xml:space="preserve">rapid rise in the </w:t>
      </w:r>
      <w:r>
        <w:t xml:space="preserve">number of people on JS Work-Ready was one of the earliest labour market indicators that </w:t>
      </w:r>
      <w:r w:rsidR="007C06AC">
        <w:t xml:space="preserve">reflected </w:t>
      </w:r>
      <w:r>
        <w:t>the impact of the lockdown on job</w:t>
      </w:r>
      <w:r w:rsidR="007C06AC">
        <w:t>s</w:t>
      </w:r>
      <w:r>
        <w:t>, with around a 31,000 person increase (35 percent increase) from March 2020 to April 2020.</w:t>
      </w:r>
    </w:p>
    <w:p w14:paraId="26E18B15" w14:textId="77777777" w:rsidR="00F75919" w:rsidRDefault="00F75919" w:rsidP="00EC60A5">
      <w:pPr>
        <w:jc w:val="both"/>
      </w:pPr>
      <w:r>
        <w:t xml:space="preserve">The scale of the increase in JS Work-Ready numbers over April 2020, which covers most of the lockdown period, was much faster than that experienced during the beginning of the GFC. The 31,000 person increase in April 2020 was almost as much as the equivalent Unemployment Benefit (UB) grew in the entire first year of the GFC, </w:t>
      </w:r>
      <w:r>
        <w:lastRenderedPageBreak/>
        <w:t>when the number of people on UB increased from around 18,000 people in June 2008 to around 51,000 people in June 2009 (a 33,000 person increase).</w:t>
      </w:r>
    </w:p>
    <w:p w14:paraId="35A16EF5" w14:textId="7772921F" w:rsidR="00F75919" w:rsidRDefault="00F75919" w:rsidP="00EC60A5">
      <w:pPr>
        <w:jc w:val="both"/>
      </w:pPr>
      <w:r w:rsidRPr="002E05A0">
        <w:fldChar w:fldCharType="begin"/>
      </w:r>
      <w:r w:rsidRPr="002E05A0">
        <w:instrText xml:space="preserve"> REF _Ref47618018 \h  \* MERGEFORMAT </w:instrText>
      </w:r>
      <w:r w:rsidRPr="002E05A0">
        <w:fldChar w:fldCharType="separate"/>
      </w:r>
      <w:r w:rsidR="0057304A" w:rsidRPr="00226EC5">
        <w:t xml:space="preserve">Figure </w:t>
      </w:r>
      <w:r w:rsidR="0057304A">
        <w:rPr>
          <w:noProof/>
        </w:rPr>
        <w:t>2</w:t>
      </w:r>
      <w:r w:rsidRPr="002E05A0">
        <w:fldChar w:fldCharType="end"/>
      </w:r>
      <w:r>
        <w:t xml:space="preserve"> shows that the magnitude of the increase in JS Work-Ready was larger and faster compared to increases in the number of people on UB during different phases of the GFC and Asian Crisis, as the lockdown caused a sharp shock to the economy.</w:t>
      </w:r>
      <w:r w:rsidR="00E36035">
        <w:br/>
      </w:r>
    </w:p>
    <w:p w14:paraId="1A11670F" w14:textId="21A52803" w:rsidR="00E36035" w:rsidRPr="00226EC5" w:rsidRDefault="00E36035" w:rsidP="00EC60A5">
      <w:pPr>
        <w:pStyle w:val="Caption"/>
        <w:keepNext/>
        <w:spacing w:after="0"/>
        <w:jc w:val="both"/>
      </w:pPr>
      <w:bookmarkStart w:id="60" w:name="_Ref47618018"/>
      <w:bookmarkStart w:id="61" w:name="_Toc51766316"/>
      <w:r w:rsidRPr="00226EC5">
        <w:t xml:space="preserve">Figure </w:t>
      </w:r>
      <w:fldSimple w:instr=" SEQ Figure \* ARABIC ">
        <w:r w:rsidR="0057304A">
          <w:rPr>
            <w:noProof/>
          </w:rPr>
          <w:t>2</w:t>
        </w:r>
      </w:fldSimple>
      <w:bookmarkEnd w:id="60"/>
      <w:r w:rsidRPr="00226EC5">
        <w:t xml:space="preserve"> – The number of people on JS Work-Ready grew much faster than the Unemployment Benefit grew in previous recessions</w:t>
      </w:r>
      <w:r w:rsidRPr="00226EC5">
        <w:rPr>
          <w:rStyle w:val="FootnoteReference"/>
        </w:rPr>
        <w:footnoteReference w:id="17"/>
      </w:r>
      <w:bookmarkEnd w:id="61"/>
    </w:p>
    <w:p w14:paraId="43C97062" w14:textId="1E8E33B4" w:rsidR="00F75919" w:rsidRPr="00F75919" w:rsidRDefault="00E36035" w:rsidP="00EC60A5">
      <w:pPr>
        <w:jc w:val="both"/>
      </w:pPr>
      <w:r w:rsidRPr="004219F7">
        <w:rPr>
          <w:noProof/>
        </w:rPr>
        <w:drawing>
          <wp:inline distT="0" distB="0" distL="0" distR="0" wp14:anchorId="50625522" wp14:editId="6DEA868E">
            <wp:extent cx="5396230" cy="3519894"/>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230" cy="3519894"/>
                    </a:xfrm>
                    <a:prstGeom prst="rect">
                      <a:avLst/>
                    </a:prstGeom>
                    <a:noFill/>
                    <a:ln>
                      <a:noFill/>
                    </a:ln>
                  </pic:spPr>
                </pic:pic>
              </a:graphicData>
            </a:graphic>
          </wp:inline>
        </w:drawing>
      </w:r>
    </w:p>
    <w:p w14:paraId="07343DDA" w14:textId="2CF6D443" w:rsidR="00E36035" w:rsidRDefault="00E36035" w:rsidP="00EC60A5">
      <w:pPr>
        <w:jc w:val="both"/>
      </w:pPr>
      <w:r w:rsidRPr="00A32644">
        <w:fldChar w:fldCharType="begin"/>
      </w:r>
      <w:r w:rsidRPr="00A32644">
        <w:instrText xml:space="preserve"> REF _Ref47618018 \h  \* MERGEFORMAT </w:instrText>
      </w:r>
      <w:r w:rsidRPr="00A32644">
        <w:fldChar w:fldCharType="separate"/>
      </w:r>
      <w:r w:rsidR="0057304A" w:rsidRPr="00226EC5">
        <w:t xml:space="preserve">Figure </w:t>
      </w:r>
      <w:r w:rsidR="0057304A">
        <w:rPr>
          <w:noProof/>
        </w:rPr>
        <w:t>2</w:t>
      </w:r>
      <w:r w:rsidRPr="00A32644">
        <w:fldChar w:fldCharType="end"/>
      </w:r>
      <w:r w:rsidRPr="00A32644">
        <w:t xml:space="preserve"> also</w:t>
      </w:r>
      <w:r>
        <w:t xml:space="preserve"> shows that as we moved down alert levels, growth in JS Work-Ready numbers began to ease, in</w:t>
      </w:r>
      <w:r w:rsidR="00C50E6B">
        <w:t xml:space="preserve"> </w:t>
      </w:r>
      <w:r>
        <w:t>line with economic activity resuming as restrictions were relaxed.</w:t>
      </w:r>
    </w:p>
    <w:p w14:paraId="7A358319" w14:textId="77777777" w:rsidR="00E36035" w:rsidRPr="001A1B3F" w:rsidRDefault="00E36035" w:rsidP="00EC60A5">
      <w:pPr>
        <w:jc w:val="both"/>
      </w:pPr>
      <w:r>
        <w:t>A more detailed view of benefit numbers compared to significant economic downturns since the Depression in the 1930s is discussed further in a published MSD report.</w:t>
      </w:r>
      <w:r>
        <w:rPr>
          <w:rStyle w:val="FootnoteReference"/>
        </w:rPr>
        <w:footnoteReference w:id="18"/>
      </w:r>
    </w:p>
    <w:p w14:paraId="71F34B0B" w14:textId="176CDC22" w:rsidR="00E36035" w:rsidRPr="001A1B3F" w:rsidRDefault="00DB3FBB" w:rsidP="00EC60A5">
      <w:pPr>
        <w:pStyle w:val="Heading3"/>
        <w:jc w:val="both"/>
      </w:pPr>
      <w:bookmarkStart w:id="62" w:name="_Toc50642940"/>
      <w:bookmarkStart w:id="63" w:name="_Toc51240802"/>
      <w:bookmarkStart w:id="64" w:name="_Toc51763868"/>
      <w:r>
        <w:t>P</w:t>
      </w:r>
      <w:r w:rsidR="00E36035">
        <w:t>eople affected have mainly been consistent with past recessions</w:t>
      </w:r>
      <w:bookmarkEnd w:id="62"/>
      <w:bookmarkEnd w:id="63"/>
      <w:bookmarkEnd w:id="64"/>
    </w:p>
    <w:p w14:paraId="1D92D3AB" w14:textId="4645B91A" w:rsidR="00E36035" w:rsidRDefault="00E36035" w:rsidP="00EC60A5">
      <w:pPr>
        <w:jc w:val="both"/>
      </w:pPr>
      <w:r>
        <w:t xml:space="preserve">While the pace of demand for benefits surpassed the level seen during the GFC, the groups of people who came onto </w:t>
      </w:r>
      <w:r w:rsidR="00E358E4">
        <w:t>JS</w:t>
      </w:r>
      <w:r>
        <w:t xml:space="preserve"> have been largely consistent with those affected in past recessions.</w:t>
      </w:r>
    </w:p>
    <w:p w14:paraId="24CF058A" w14:textId="4169BBCA" w:rsidR="00E36035" w:rsidRDefault="00E36035" w:rsidP="00EC60A5">
      <w:pPr>
        <w:jc w:val="both"/>
      </w:pPr>
      <w:r>
        <w:t xml:space="preserve">In past recessions, people who were lower skilled and paid less while employed </w:t>
      </w:r>
      <w:r w:rsidRPr="00E8648F">
        <w:t xml:space="preserve">were the most vulnerable to job loss. This </w:t>
      </w:r>
      <w:r>
        <w:t>pattern</w:t>
      </w:r>
      <w:r w:rsidRPr="00E8648F">
        <w:t xml:space="preserve"> is likely to be similar </w:t>
      </w:r>
      <w:r>
        <w:t>in the</w:t>
      </w:r>
      <w:r w:rsidRPr="00E8648F">
        <w:t xml:space="preserve"> </w:t>
      </w:r>
      <w:r>
        <w:t>current</w:t>
      </w:r>
      <w:r w:rsidRPr="00E8648F">
        <w:t xml:space="preserve"> </w:t>
      </w:r>
      <w:r w:rsidRPr="00E8648F">
        <w:lastRenderedPageBreak/>
        <w:t>economic conditions</w:t>
      </w:r>
      <w:r>
        <w:t xml:space="preserve">. However, there is a risk that people in higher skilled roles </w:t>
      </w:r>
      <w:r w:rsidR="007C06AC">
        <w:t xml:space="preserve">may also </w:t>
      </w:r>
      <w:r>
        <w:t>be affected, for example management roles in the tourism sector.</w:t>
      </w:r>
    </w:p>
    <w:p w14:paraId="35143E60" w14:textId="77777777" w:rsidR="00E36035" w:rsidRDefault="00E36035" w:rsidP="00EC60A5">
      <w:pPr>
        <w:jc w:val="both"/>
      </w:pPr>
      <w:r>
        <w:t>MSD’s Evidence Brief</w:t>
      </w:r>
      <w:r>
        <w:rPr>
          <w:rStyle w:val="FootnoteReference"/>
        </w:rPr>
        <w:footnoteReference w:id="19"/>
      </w:r>
      <w:r>
        <w:t xml:space="preserve"> describes trends in the number and composition of people coming onto JS Work-Ready during the lockdown. Some key points from the Evidence Brief are that:</w:t>
      </w:r>
    </w:p>
    <w:p w14:paraId="64A9A80A" w14:textId="77777777" w:rsidR="00E36035" w:rsidRDefault="00E36035" w:rsidP="00EC60A5">
      <w:pPr>
        <w:pStyle w:val="ListParagraph"/>
        <w:jc w:val="both"/>
      </w:pPr>
      <w:r>
        <w:t>While all regions experienced a rise in the number of people coming onto JS Work-Ready, the Nelson, Southern and Auckland Metro regions saw the highest proportional increases.</w:t>
      </w:r>
    </w:p>
    <w:p w14:paraId="5BA06631" w14:textId="77777777" w:rsidR="00E36035" w:rsidRDefault="00E36035" w:rsidP="00EC60A5">
      <w:pPr>
        <w:pStyle w:val="ListParagraph"/>
        <w:jc w:val="both"/>
      </w:pPr>
      <w:r>
        <w:t>There was a relative increase in JS Work-Ready being granted for people who were younger, NZ European, with little or no benefit history, and with higher amounts of lost income.</w:t>
      </w:r>
    </w:p>
    <w:p w14:paraId="337D487C" w14:textId="77777777" w:rsidR="00E36035" w:rsidRDefault="00E36035" w:rsidP="00EC60A5">
      <w:pPr>
        <w:pStyle w:val="ListParagraph"/>
        <w:jc w:val="both"/>
      </w:pPr>
      <w:r>
        <w:t>Job loss continued to be the most common reason for a person coming onto JS Work-Ready.</w:t>
      </w:r>
    </w:p>
    <w:p w14:paraId="685278FD" w14:textId="77777777" w:rsidR="00E36035" w:rsidRPr="002A0D63" w:rsidRDefault="00E36035" w:rsidP="00EC60A5">
      <w:pPr>
        <w:pStyle w:val="Heading4"/>
      </w:pPr>
      <w:r>
        <w:t>NZ Europeans drive the overall change in Jobseeker Support during recessions</w:t>
      </w:r>
    </w:p>
    <w:p w14:paraId="3EF867BD" w14:textId="10561977" w:rsidR="00E36035" w:rsidRDefault="00E36035" w:rsidP="00EC60A5">
      <w:pPr>
        <w:jc w:val="both"/>
      </w:pPr>
      <w:r>
        <w:t xml:space="preserve">As seen in </w:t>
      </w:r>
      <w:r>
        <w:fldChar w:fldCharType="begin"/>
      </w:r>
      <w:r>
        <w:instrText xml:space="preserve"> REF _Ref48731685 \h </w:instrText>
      </w:r>
      <w:r w:rsidR="00382570">
        <w:instrText xml:space="preserve"> \* MERGEFORMAT </w:instrText>
      </w:r>
      <w:r>
        <w:fldChar w:fldCharType="separate"/>
      </w:r>
      <w:r w:rsidR="0057304A">
        <w:t xml:space="preserve">Figure </w:t>
      </w:r>
      <w:r w:rsidR="0057304A">
        <w:rPr>
          <w:noProof/>
        </w:rPr>
        <w:t>3</w:t>
      </w:r>
      <w:r>
        <w:fldChar w:fldCharType="end"/>
      </w:r>
      <w:r>
        <w:rPr>
          <w:rStyle w:val="FootnoteReference"/>
        </w:rPr>
        <w:footnoteReference w:id="20"/>
      </w:r>
      <w:r>
        <w:t xml:space="preserve">, </w:t>
      </w:r>
      <w:r w:rsidRPr="00E8648F">
        <w:t>NZ European</w:t>
      </w:r>
      <w:r w:rsidR="00264A30">
        <w:t>s</w:t>
      </w:r>
      <w:r w:rsidRPr="00E8648F">
        <w:t xml:space="preserve"> have </w:t>
      </w:r>
      <w:r>
        <w:t>historically</w:t>
      </w:r>
      <w:r w:rsidRPr="00E8648F">
        <w:t xml:space="preserve"> been the largest group o</w:t>
      </w:r>
      <w:r>
        <w:t>f people on</w:t>
      </w:r>
      <w:r w:rsidRPr="00E8648F">
        <w:t xml:space="preserve"> J</w:t>
      </w:r>
      <w:r>
        <w:t xml:space="preserve">S </w:t>
      </w:r>
      <w:r w:rsidRPr="00E8648F">
        <w:t>(or the equivalent Unemployment Benefit before July 2013)</w:t>
      </w:r>
      <w:r>
        <w:t>. While NZ Europeans accounted for most of the increase in the Unemployment Benefit during the GFC, they also tend to drive most of the decline</w:t>
      </w:r>
      <w:r w:rsidR="007C06AC">
        <w:t xml:space="preserve"> in beneficiary numbers</w:t>
      </w:r>
      <w:r>
        <w:t xml:space="preserve"> during economic recovery.</w:t>
      </w:r>
    </w:p>
    <w:p w14:paraId="5AB091BA" w14:textId="77777777" w:rsidR="00E36035" w:rsidRDefault="00E36035" w:rsidP="00EC60A5">
      <w:pPr>
        <w:jc w:val="both"/>
      </w:pPr>
      <w:r>
        <w:t>In late 2017, the number of people on JS who are M</w:t>
      </w:r>
      <w:r w:rsidRPr="000D7841">
        <w:t>ā</w:t>
      </w:r>
      <w:r>
        <w:t>ori surpassed the number who are NZ European. This may be partially related to the age-structure differences in ethnicities, with M</w:t>
      </w:r>
      <w:r w:rsidRPr="000D7841">
        <w:t>ā</w:t>
      </w:r>
      <w:r>
        <w:t xml:space="preserve">ori having a younger population compared to NZ Europeans. </w:t>
      </w:r>
    </w:p>
    <w:p w14:paraId="42D38521" w14:textId="112625E7" w:rsidR="00E36035" w:rsidRDefault="00E36035" w:rsidP="00EC60A5">
      <w:pPr>
        <w:pStyle w:val="Caption"/>
        <w:keepNext/>
        <w:spacing w:after="0"/>
        <w:jc w:val="both"/>
      </w:pPr>
      <w:bookmarkStart w:id="65" w:name="_Ref48731685"/>
      <w:bookmarkStart w:id="66" w:name="_Toc51766317"/>
      <w:r>
        <w:lastRenderedPageBreak/>
        <w:t xml:space="preserve">Figure </w:t>
      </w:r>
      <w:fldSimple w:instr=" SEQ Figure \* ARABIC ">
        <w:r w:rsidR="0057304A">
          <w:rPr>
            <w:noProof/>
          </w:rPr>
          <w:t>3</w:t>
        </w:r>
      </w:fldSimple>
      <w:bookmarkEnd w:id="65"/>
      <w:r>
        <w:t xml:space="preserve"> </w:t>
      </w:r>
      <w:r w:rsidR="00AC0949">
        <w:t>–</w:t>
      </w:r>
      <w:r>
        <w:t xml:space="preserve"> </w:t>
      </w:r>
      <w:r w:rsidRPr="00226EC5">
        <w:t xml:space="preserve">Historically NZ European has been the largest ethnic group on Jobseeker Support (or the equivalent Unemployment Benefit plus Sickness Benefit) until late 2017 when </w:t>
      </w:r>
      <w:r>
        <w:t>M</w:t>
      </w:r>
      <w:r w:rsidRPr="000D7841">
        <w:t>ā</w:t>
      </w:r>
      <w:r>
        <w:t xml:space="preserve">ori </w:t>
      </w:r>
      <w:r w:rsidRPr="00226EC5">
        <w:t>overtook as the largest group of people to receive the payment</w:t>
      </w:r>
      <w:r>
        <w:t>.</w:t>
      </w:r>
      <w:bookmarkEnd w:id="66"/>
    </w:p>
    <w:bookmarkEnd w:id="39"/>
    <w:bookmarkEnd w:id="40"/>
    <w:bookmarkEnd w:id="41"/>
    <w:p w14:paraId="53CAE098" w14:textId="352EDA39" w:rsidR="00CD5E9E" w:rsidRDefault="00E36035" w:rsidP="00EC60A5">
      <w:pPr>
        <w:jc w:val="both"/>
      </w:pPr>
      <w:r w:rsidRPr="00970D6A">
        <w:rPr>
          <w:noProof/>
        </w:rPr>
        <w:drawing>
          <wp:inline distT="0" distB="0" distL="0" distR="0" wp14:anchorId="61768131" wp14:editId="4B5B8FE6">
            <wp:extent cx="5490845" cy="3589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0845" cy="3589984"/>
                    </a:xfrm>
                    <a:prstGeom prst="rect">
                      <a:avLst/>
                    </a:prstGeom>
                    <a:noFill/>
                    <a:ln>
                      <a:noFill/>
                    </a:ln>
                  </pic:spPr>
                </pic:pic>
              </a:graphicData>
            </a:graphic>
          </wp:inline>
        </w:drawing>
      </w:r>
    </w:p>
    <w:p w14:paraId="47440EA2" w14:textId="77777777" w:rsidR="00E36035" w:rsidRPr="00A4109E" w:rsidRDefault="00E36035" w:rsidP="00EC60A5">
      <w:pPr>
        <w:pStyle w:val="Heading4"/>
      </w:pPr>
      <w:r>
        <w:t xml:space="preserve">However, </w:t>
      </w:r>
      <w:r w:rsidRPr="00970D6A">
        <w:t>M</w:t>
      </w:r>
      <w:r w:rsidRPr="000D7841">
        <w:t>ā</w:t>
      </w:r>
      <w:r w:rsidRPr="00970D6A">
        <w:t>ori</w:t>
      </w:r>
      <w:r>
        <w:t xml:space="preserve"> are over-represented in benefit statistics and stay on benefit for longer</w:t>
      </w:r>
    </w:p>
    <w:p w14:paraId="18F22649" w14:textId="7BB9C8F3" w:rsidR="00E36035" w:rsidRDefault="00E36035" w:rsidP="00EC60A5">
      <w:pPr>
        <w:jc w:val="both"/>
      </w:pPr>
      <w:bookmarkStart w:id="67" w:name="_Hlk49408702"/>
      <w:r>
        <w:t>While NZ Europeans have driven most of the increase in JS since March 2020 at around 35 percent, M</w:t>
      </w:r>
      <w:r w:rsidR="000E4D4C" w:rsidRPr="000D7841">
        <w:t>ā</w:t>
      </w:r>
      <w:r>
        <w:t>ori are close behind with a 32 percent contribution to total growth.</w:t>
      </w:r>
    </w:p>
    <w:bookmarkEnd w:id="67"/>
    <w:p w14:paraId="1CB3724C" w14:textId="36AA0921" w:rsidR="00E36035" w:rsidRDefault="00E36035" w:rsidP="00EC60A5">
      <w:pPr>
        <w:jc w:val="both"/>
      </w:pPr>
      <w:r>
        <w:t>It is important to note that a</w:t>
      </w:r>
      <w:r w:rsidRPr="00E8648F">
        <w:t xml:space="preserve">s a proportion of </w:t>
      </w:r>
      <w:r>
        <w:t>the</w:t>
      </w:r>
      <w:r w:rsidRPr="00E8648F">
        <w:t xml:space="preserve"> population in New Zealand, </w:t>
      </w:r>
      <w:r>
        <w:t>M</w:t>
      </w:r>
      <w:r w:rsidRPr="000D7841">
        <w:t>ā</w:t>
      </w:r>
      <w:r>
        <w:t xml:space="preserve">ori </w:t>
      </w:r>
      <w:r w:rsidRPr="00E8648F">
        <w:t>are over-represented in benefit statistics. For example, around 37</w:t>
      </w:r>
      <w:r w:rsidR="00DB3FBB">
        <w:t xml:space="preserve"> percent</w:t>
      </w:r>
      <w:r w:rsidRPr="00E8648F">
        <w:t xml:space="preserve"> of people on </w:t>
      </w:r>
      <w:r w:rsidR="00CC15AC">
        <w:t>JS</w:t>
      </w:r>
      <w:r w:rsidRPr="00E8648F">
        <w:t xml:space="preserve"> identified as </w:t>
      </w:r>
      <w:r>
        <w:t>M</w:t>
      </w:r>
      <w:r w:rsidRPr="000D7841">
        <w:t>ā</w:t>
      </w:r>
      <w:r>
        <w:t xml:space="preserve">ori </w:t>
      </w:r>
      <w:r w:rsidRPr="00E8648F">
        <w:t xml:space="preserve">in June 2020 while </w:t>
      </w:r>
      <w:r>
        <w:t>they make up</w:t>
      </w:r>
      <w:r w:rsidRPr="00E8648F">
        <w:t xml:space="preserve"> 16.5</w:t>
      </w:r>
      <w:r w:rsidR="00DB3FBB">
        <w:t xml:space="preserve"> percent</w:t>
      </w:r>
      <w:r w:rsidRPr="00E8648F">
        <w:t xml:space="preserve"> of the New Zealand population.</w:t>
      </w:r>
    </w:p>
    <w:p w14:paraId="2B3494CB" w14:textId="45E0CB9C" w:rsidR="00E36035" w:rsidRDefault="00E36035" w:rsidP="00EC60A5">
      <w:pPr>
        <w:jc w:val="both"/>
      </w:pPr>
      <w:r>
        <w:t>So, while people who are NZ European may drive the increase in overall volumes of people coming onto JS Work-Ready during recessions, they also tend to drive volumes of people leaving JS Work-Ready as the labour market becomes stronger in the economic recovery</w:t>
      </w:r>
      <w:r w:rsidR="007C06AC">
        <w:t xml:space="preserve"> phase</w:t>
      </w:r>
      <w:r>
        <w:t>. Māori on the other hand tend to benefit less from an economic recovery.</w:t>
      </w:r>
    </w:p>
    <w:p w14:paraId="1B3CF8A7" w14:textId="7812418B" w:rsidR="00E36035" w:rsidRDefault="002445BF" w:rsidP="00EC60A5">
      <w:pPr>
        <w:jc w:val="both"/>
      </w:pPr>
      <w:r>
        <w:t>Actuarial m</w:t>
      </w:r>
      <w:r w:rsidR="00E36035">
        <w:t>odelling</w:t>
      </w:r>
      <w:r w:rsidR="00E36035">
        <w:rPr>
          <w:rStyle w:val="FootnoteReference"/>
        </w:rPr>
        <w:footnoteReference w:id="21"/>
      </w:r>
      <w:r w:rsidR="00E36035">
        <w:t xml:space="preserve"> shows that the likelihood of people staying on benefit for longer is associated with certain ‘risk factors’ in their life</w:t>
      </w:r>
      <w:r w:rsidR="007C06AC">
        <w:t>, for</w:t>
      </w:r>
      <w:r w:rsidR="00E36035">
        <w:t xml:space="preserve"> example, having recently earned no income or accessing a mental health service in the last year (among others). </w:t>
      </w:r>
      <w:r w:rsidR="007C06AC">
        <w:t xml:space="preserve">The </w:t>
      </w:r>
      <w:r w:rsidR="00E36035">
        <w:t>likelihood of a person staying on benefit for longer is also increased for people with multiple associated risks. M</w:t>
      </w:r>
      <w:r w:rsidR="00E36035" w:rsidRPr="000D7841">
        <w:t>ā</w:t>
      </w:r>
      <w:r w:rsidR="00E36035">
        <w:t>ori are generally more likely to have one or more of these risk factors compared to NZ Europeans, therefore increasing their comparative predicted average years on benefit.</w:t>
      </w:r>
    </w:p>
    <w:p w14:paraId="0D1BEE65" w14:textId="6F6973F2" w:rsidR="00E36035" w:rsidRDefault="00E36035" w:rsidP="00EC60A5">
      <w:pPr>
        <w:jc w:val="both"/>
      </w:pPr>
      <w:r>
        <w:t>This trend is likely to continue after economic recovery because M</w:t>
      </w:r>
      <w:r w:rsidRPr="000D7841">
        <w:t>ā</w:t>
      </w:r>
      <w:r>
        <w:t>ori tend to have a higher average number of future years on benefit. On average, we expect M</w:t>
      </w:r>
      <w:r w:rsidRPr="000D7841">
        <w:t>ā</w:t>
      </w:r>
      <w:r>
        <w:t xml:space="preserve">ori currently on a benefit to stay on benefit for a further 13.1 years while for NZ Europeans </w:t>
      </w:r>
      <w:r w:rsidR="008E5F23">
        <w:t>this figure is</w:t>
      </w:r>
      <w:r>
        <w:t xml:space="preserve"> 10.3 years. M</w:t>
      </w:r>
      <w:r w:rsidRPr="000D7841">
        <w:t>ā</w:t>
      </w:r>
      <w:r>
        <w:t xml:space="preserve">ori are also more likely to have multiple spells of time on </w:t>
      </w:r>
      <w:r>
        <w:lastRenderedPageBreak/>
        <w:t>benefit.</w:t>
      </w:r>
      <w:bookmarkStart w:id="68" w:name="_Hlk48901851"/>
      <w:r>
        <w:t xml:space="preserve"> This is exacerbated for younger people, with the expected average further years on benefit for M</w:t>
      </w:r>
      <w:r w:rsidR="000E4D4C" w:rsidRPr="000D7841">
        <w:t>ā</w:t>
      </w:r>
      <w:r>
        <w:t>ori under 30 years (who are currently receiving a benefit) at 17.0 years compared to 14.3 years for people who are NZ European.</w:t>
      </w:r>
    </w:p>
    <w:p w14:paraId="0395565D" w14:textId="13D35504" w:rsidR="00E36035" w:rsidRDefault="00E36035" w:rsidP="00EC60A5">
      <w:pPr>
        <w:pStyle w:val="Heading3"/>
        <w:jc w:val="both"/>
      </w:pPr>
      <w:bookmarkStart w:id="69" w:name="_Toc50642941"/>
      <w:bookmarkStart w:id="70" w:name="_Toc51240803"/>
      <w:bookmarkStart w:id="71" w:name="_Toc51763869"/>
      <w:r>
        <w:t>Women</w:t>
      </w:r>
      <w:r w:rsidR="00523263">
        <w:t xml:space="preserve"> seem to</w:t>
      </w:r>
      <w:r>
        <w:t xml:space="preserve"> have been more adversely affected in the labour market compared to men</w:t>
      </w:r>
      <w:bookmarkEnd w:id="69"/>
      <w:bookmarkEnd w:id="70"/>
      <w:bookmarkEnd w:id="71"/>
    </w:p>
    <w:p w14:paraId="131ECDB5" w14:textId="5EAFD252" w:rsidR="00E36035" w:rsidRDefault="00E36035" w:rsidP="00EC60A5">
      <w:pPr>
        <w:jc w:val="both"/>
      </w:pPr>
      <w:r>
        <w:t xml:space="preserve">So far, </w:t>
      </w:r>
      <w:r w:rsidR="00D854E7">
        <w:t xml:space="preserve">some </w:t>
      </w:r>
      <w:r>
        <w:t xml:space="preserve">women seem to have been more adversely affected in the labour market due to COVID-19 compared to men, as seen in the June 2020 quarter Household Labour Force Survey (HLFS). </w:t>
      </w:r>
    </w:p>
    <w:p w14:paraId="1FC65AC5" w14:textId="77777777" w:rsidR="00E36035" w:rsidRPr="0042633C" w:rsidRDefault="00E36035" w:rsidP="00EC60A5">
      <w:pPr>
        <w:pStyle w:val="Heading4"/>
      </w:pPr>
      <w:r>
        <w:t>Women tend to be employed in sectors more exposed to the border restrictions</w:t>
      </w:r>
    </w:p>
    <w:p w14:paraId="1794EC05" w14:textId="77777777" w:rsidR="00E36035" w:rsidRDefault="00E36035" w:rsidP="00EC60A5">
      <w:pPr>
        <w:jc w:val="both"/>
      </w:pPr>
      <w:r>
        <w:t>This may be because those sectors affected by alert level 3 and 4 lockdowns tended to have a higher proportion of female employees. These exposed sectors may also be less likely to recover under lower alert levels as they are more affected by the border restrictions and rules associated with the various alert levels, such as physical distancing and limits on the number of people who can be in a certain area. Examples include jobs related to tourism, such as hospitality, accommodation, retail, and private sector administrative and support services. Women are also more likely to be in casual or other forms of insecure employment.</w:t>
      </w:r>
    </w:p>
    <w:p w14:paraId="472F34FD" w14:textId="77777777" w:rsidR="00E36035" w:rsidRDefault="00E36035" w:rsidP="00EC60A5">
      <w:pPr>
        <w:jc w:val="both"/>
      </w:pPr>
      <w:r>
        <w:t>Some key statistics on women being adversely affected in the labour market (from the June 2020 quarter HLFS) are that:</w:t>
      </w:r>
    </w:p>
    <w:p w14:paraId="0CA77D74" w14:textId="3B91EDE5" w:rsidR="00E36035" w:rsidRDefault="00E36035" w:rsidP="00EC60A5">
      <w:pPr>
        <w:pStyle w:val="ListParagraph"/>
        <w:jc w:val="both"/>
      </w:pPr>
      <w:r>
        <w:t xml:space="preserve">Underutilisation of women in the potential workforce rose by around 29,000, compared </w:t>
      </w:r>
      <w:r w:rsidR="008E5F23">
        <w:t xml:space="preserve">with </w:t>
      </w:r>
      <w:r>
        <w:t xml:space="preserve">a rise of 16,000 for men. The main driver of the female increase was a 20,000 rise in </w:t>
      </w:r>
      <w:r w:rsidR="008E5F23">
        <w:t xml:space="preserve">the number of </w:t>
      </w:r>
      <w:r>
        <w:t>women working part-time but wanting to work more hours.</w:t>
      </w:r>
    </w:p>
    <w:p w14:paraId="10848F8E" w14:textId="77777777" w:rsidR="00E36035" w:rsidRDefault="00E36035" w:rsidP="00EC60A5">
      <w:pPr>
        <w:pStyle w:val="ListParagraph"/>
        <w:jc w:val="both"/>
      </w:pPr>
      <w:r>
        <w:t>There were 206,000 women who were either unemployed, underemployed (wanting more hours), or wanting to work but not currently seeking or available to work.</w:t>
      </w:r>
    </w:p>
    <w:p w14:paraId="38B8F59E" w14:textId="77777777" w:rsidR="004F0415" w:rsidRDefault="004F0415" w:rsidP="004F0415">
      <w:pPr>
        <w:pStyle w:val="ListParagraph"/>
        <w:jc w:val="both"/>
      </w:pPr>
      <w:r>
        <w:t>The unemployment rate rose slightly for women to 4.4 percent (from 4.3 percent in the March 2020 quarter), while the male unemployment rate fell from 4.0 percent to 3.6 percent. This equated to around 1,000 more unemployed women and around 7,000 fewer unemployed men.</w:t>
      </w:r>
    </w:p>
    <w:p w14:paraId="4883E7D8" w14:textId="597E90E0" w:rsidR="00E36035" w:rsidRDefault="00E36035" w:rsidP="00EC60A5">
      <w:pPr>
        <w:pStyle w:val="ListParagraph"/>
        <w:jc w:val="both"/>
      </w:pPr>
      <w:r>
        <w:t>The drop in the employment rate for women was twice that of the drop for men (f</w:t>
      </w:r>
      <w:r w:rsidRPr="00A0458A">
        <w:t>emale employment rate dropped 0.8% from 62.8 percent to 62.0 percent</w:t>
      </w:r>
      <w:r>
        <w:t xml:space="preserve">, compared </w:t>
      </w:r>
      <w:r w:rsidR="008D234A">
        <w:t xml:space="preserve">with </w:t>
      </w:r>
      <w:r>
        <w:t>the m</w:t>
      </w:r>
      <w:r w:rsidRPr="00A0458A">
        <w:t>ale employment rate</w:t>
      </w:r>
      <w:r>
        <w:t xml:space="preserve"> which</w:t>
      </w:r>
      <w:r w:rsidRPr="00A0458A">
        <w:t xml:space="preserve"> dropped 0.4% from 72.5 percent to 72.1 percent</w:t>
      </w:r>
      <w:r>
        <w:t xml:space="preserve">). </w:t>
      </w:r>
      <w:r w:rsidRPr="006253E5">
        <w:t xml:space="preserve">This </w:t>
      </w:r>
      <w:r>
        <w:t>corresponded</w:t>
      </w:r>
      <w:r w:rsidRPr="006253E5">
        <w:t xml:space="preserve"> to around 10,000 fewer women employed, compared </w:t>
      </w:r>
      <w:r w:rsidR="008D234A">
        <w:t>with</w:t>
      </w:r>
      <w:r w:rsidR="008D234A" w:rsidRPr="006253E5">
        <w:t xml:space="preserve"> </w:t>
      </w:r>
      <w:r w:rsidRPr="006253E5">
        <w:t>1,000 fewer men</w:t>
      </w:r>
      <w:r>
        <w:t>.</w:t>
      </w:r>
      <w:r w:rsidR="00523263">
        <w:t xml:space="preserve"> However, this change was not statistically significant and was within normal seasonal patterns.</w:t>
      </w:r>
    </w:p>
    <w:p w14:paraId="07621839" w14:textId="320CAA7C" w:rsidR="00E36035" w:rsidRDefault="00E36035" w:rsidP="00EC60A5">
      <w:pPr>
        <w:pStyle w:val="ListParagraph"/>
        <w:jc w:val="both"/>
      </w:pPr>
      <w:r>
        <w:t xml:space="preserve">Full-time jobs for women in the Retail and Trade industry fell by 3,200 jobs, compared </w:t>
      </w:r>
      <w:r w:rsidR="008D234A">
        <w:t xml:space="preserve">with </w:t>
      </w:r>
      <w:r>
        <w:t>only 200 fewer jobs for men.</w:t>
      </w:r>
      <w:r>
        <w:rPr>
          <w:rStyle w:val="FootnoteReference"/>
        </w:rPr>
        <w:footnoteReference w:id="22"/>
      </w:r>
      <w:r>
        <w:t xml:space="preserve"> </w:t>
      </w:r>
    </w:p>
    <w:p w14:paraId="5947F283" w14:textId="2AF531A3" w:rsidR="00E36035" w:rsidRDefault="00E36035" w:rsidP="00EC60A5">
      <w:pPr>
        <w:pStyle w:val="ListParagraph"/>
        <w:jc w:val="both"/>
      </w:pPr>
      <w:r w:rsidRPr="003D5C74">
        <w:t xml:space="preserve">In the Accommodation and Food Service industry, total jobs for women fell by 6,900, compared </w:t>
      </w:r>
      <w:r w:rsidR="008D234A">
        <w:t>with</w:t>
      </w:r>
      <w:r w:rsidR="008D234A" w:rsidRPr="003D5C74">
        <w:t xml:space="preserve"> </w:t>
      </w:r>
      <w:r w:rsidRPr="003D5C74">
        <w:t>3,000 fewer jobs for men</w:t>
      </w:r>
      <w:r>
        <w:t>.</w:t>
      </w:r>
    </w:p>
    <w:p w14:paraId="382F6115" w14:textId="1B7E04D9" w:rsidR="00E36035" w:rsidRDefault="00E36035" w:rsidP="00EC60A5">
      <w:pPr>
        <w:pStyle w:val="ListParagraph"/>
        <w:jc w:val="both"/>
      </w:pPr>
      <w:r w:rsidRPr="003D5C74">
        <w:t>There were about 1</w:t>
      </w:r>
      <w:r>
        <w:t>,</w:t>
      </w:r>
      <w:r w:rsidRPr="003D5C74">
        <w:t xml:space="preserve">800 fewer jobs in Arts, Recreation and Other Services for women, compared </w:t>
      </w:r>
      <w:r w:rsidR="008D234A">
        <w:t>with</w:t>
      </w:r>
      <w:r w:rsidR="008D234A" w:rsidRPr="003D5C74">
        <w:t xml:space="preserve"> </w:t>
      </w:r>
      <w:r w:rsidRPr="003D5C74">
        <w:t>no change for men.</w:t>
      </w:r>
    </w:p>
    <w:p w14:paraId="0CAC4623" w14:textId="77777777" w:rsidR="00E36035" w:rsidRDefault="00E36035" w:rsidP="00EC60A5">
      <w:pPr>
        <w:jc w:val="both"/>
      </w:pPr>
      <w:r>
        <w:lastRenderedPageBreak/>
        <w:t>It is important to note that quarterly movements in the HLFS can be volatile, so we have not yet seen sustained worse outcomes for women in the labour market.</w:t>
      </w:r>
    </w:p>
    <w:p w14:paraId="480B6895" w14:textId="4B3CAA10" w:rsidR="00E36035" w:rsidRDefault="00E36035" w:rsidP="00EC60A5">
      <w:pPr>
        <w:jc w:val="both"/>
      </w:pPr>
      <w:r>
        <w:t xml:space="preserve">These trends seen in the labour market statistics for women have not fully aligned with what we are seeing in demand for income support. Demand for JS, while up by around 27 percent between March 2020 and July 2020, shows a slightly larger rise for males (at 29 percent) than for females (at 24 percent). There are also slightly more people on the CIRP who are male </w:t>
      </w:r>
      <w:r w:rsidR="002347F6">
        <w:t xml:space="preserve">(55 percent) </w:t>
      </w:r>
      <w:r>
        <w:t xml:space="preserve">than female in July 2020. The number of people on Sole Parent Support (SPS), where a large majority are female, has increased by around </w:t>
      </w:r>
      <w:r w:rsidR="00B5640C">
        <w:t xml:space="preserve">six </w:t>
      </w:r>
      <w:r>
        <w:t>percent from March 2020 to July 2020, nowhere near the levels seen for JS or CIRP.</w:t>
      </w:r>
    </w:p>
    <w:p w14:paraId="78B7FAFC" w14:textId="63898838" w:rsidR="00E36035" w:rsidRDefault="00E36035" w:rsidP="00EC60A5">
      <w:pPr>
        <w:jc w:val="both"/>
      </w:pPr>
      <w:r>
        <w:t xml:space="preserve">The lower overall growth in </w:t>
      </w:r>
      <w:r w:rsidR="008D234A">
        <w:t xml:space="preserve">the number of </w:t>
      </w:r>
      <w:r>
        <w:t xml:space="preserve">female beneficiaries may be partially explained by many women not being eligible or not requiring income support. A person may not be eligible or require income support </w:t>
      </w:r>
      <w:r w:rsidR="00B5640C">
        <w:t>if, for example,</w:t>
      </w:r>
      <w:r>
        <w:t xml:space="preserve"> they lose employment </w:t>
      </w:r>
      <w:r w:rsidR="00B5640C">
        <w:t xml:space="preserve">but </w:t>
      </w:r>
      <w:r>
        <w:t>their still</w:t>
      </w:r>
      <w:r w:rsidR="00C50E6B">
        <w:t>-</w:t>
      </w:r>
      <w:r>
        <w:t>working partner’s earnings are enough to exceed the income threshold for JS or even CIRP.</w:t>
      </w:r>
    </w:p>
    <w:p w14:paraId="4524941A" w14:textId="15BE52A3" w:rsidR="00E36035" w:rsidRPr="001A1B3F" w:rsidRDefault="00E36035" w:rsidP="00EC60A5">
      <w:pPr>
        <w:pStyle w:val="Heading3"/>
        <w:jc w:val="both"/>
      </w:pPr>
      <w:bookmarkStart w:id="72" w:name="_Toc50642942"/>
      <w:bookmarkStart w:id="73" w:name="_Toc51240804"/>
      <w:bookmarkStart w:id="74" w:name="_Toc51763870"/>
      <w:bookmarkEnd w:id="68"/>
      <w:r>
        <w:t>After the lockdown, growth in Jobseeker Support eased as economic activity resumed</w:t>
      </w:r>
      <w:bookmarkEnd w:id="72"/>
      <w:bookmarkEnd w:id="73"/>
      <w:bookmarkEnd w:id="74"/>
    </w:p>
    <w:p w14:paraId="27527B58" w14:textId="2E3BBFF6" w:rsidR="00E36035" w:rsidRPr="005F780A" w:rsidRDefault="00E36035" w:rsidP="00EC60A5">
      <w:pPr>
        <w:jc w:val="both"/>
      </w:pPr>
      <w:r w:rsidRPr="005F780A">
        <w:t>Economic conditions after the lockdown, and therefore the state of the labour market, seem</w:t>
      </w:r>
      <w:r w:rsidR="004F2383">
        <w:t>ed</w:t>
      </w:r>
      <w:r w:rsidRPr="005F780A">
        <w:t xml:space="preserve"> to have fared better than initially expected </w:t>
      </w:r>
      <w:r>
        <w:t>in</w:t>
      </w:r>
      <w:r w:rsidRPr="005F780A">
        <w:t xml:space="preserve"> Treasury’s macro-economic forecasts from </w:t>
      </w:r>
      <w:r w:rsidR="002A1DA0">
        <w:t>the Budget Economic and Fiscal Update (</w:t>
      </w:r>
      <w:r w:rsidRPr="005F780A">
        <w:t>BEFU</w:t>
      </w:r>
      <w:r w:rsidR="002A1DA0">
        <w:t>)</w:t>
      </w:r>
      <w:r w:rsidRPr="005F780A">
        <w:t xml:space="preserve"> 2020. Moving down alert levels relatively quickly is likely to have played a part in the rebound in economic activity. This has made it more likely for businesses to retain employees, and therefore less likely for people to enter the benefit system.</w:t>
      </w:r>
    </w:p>
    <w:p w14:paraId="2252A6E7" w14:textId="77777777" w:rsidR="00E36035" w:rsidRPr="005F780A" w:rsidRDefault="00E36035" w:rsidP="00EC60A5">
      <w:pPr>
        <w:jc w:val="both"/>
      </w:pPr>
      <w:r w:rsidRPr="005F780A">
        <w:t>The better</w:t>
      </w:r>
      <w:r>
        <w:t>-</w:t>
      </w:r>
      <w:r w:rsidRPr="005F780A">
        <w:t>than</w:t>
      </w:r>
      <w:r>
        <w:t>-</w:t>
      </w:r>
      <w:r w:rsidRPr="005F780A">
        <w:t>expected economic conditions have led to slowing growth in the number of people on JS</w:t>
      </w:r>
      <w:r>
        <w:t xml:space="preserve"> </w:t>
      </w:r>
      <w:r w:rsidRPr="005F780A">
        <w:t xml:space="preserve">since around the time New Zealand entered </w:t>
      </w:r>
      <w:r>
        <w:t>a</w:t>
      </w:r>
      <w:r w:rsidRPr="005F780A">
        <w:t xml:space="preserve">lert </w:t>
      </w:r>
      <w:r>
        <w:t>l</w:t>
      </w:r>
      <w:r w:rsidRPr="005F780A">
        <w:t>evel 2</w:t>
      </w:r>
      <w:r>
        <w:t>.</w:t>
      </w:r>
    </w:p>
    <w:p w14:paraId="57D9ADC7" w14:textId="430A052A" w:rsidR="00E36035" w:rsidRPr="005F780A" w:rsidRDefault="00E36035" w:rsidP="00EC60A5">
      <w:pPr>
        <w:jc w:val="both"/>
      </w:pPr>
      <w:r w:rsidRPr="005F780A">
        <w:fldChar w:fldCharType="begin"/>
      </w:r>
      <w:r w:rsidRPr="005F780A">
        <w:instrText xml:space="preserve"> REF _Ref47621898 \h  \* MERGEFORMAT </w:instrText>
      </w:r>
      <w:r w:rsidRPr="005F780A">
        <w:fldChar w:fldCharType="separate"/>
      </w:r>
      <w:r w:rsidR="0057304A" w:rsidRPr="00226EC5">
        <w:t xml:space="preserve">Figure </w:t>
      </w:r>
      <w:r w:rsidR="0057304A">
        <w:t>4</w:t>
      </w:r>
      <w:r w:rsidRPr="005F780A">
        <w:fldChar w:fldCharType="end"/>
      </w:r>
      <w:r w:rsidRPr="005F780A">
        <w:t xml:space="preserve"> shows that there was a sharp rise in the number of people coming onto JS from outside the benefit system (inflows from non-benefit) as New Zealand moved to alert level </w:t>
      </w:r>
      <w:r>
        <w:t>4</w:t>
      </w:r>
      <w:r w:rsidRPr="005F780A">
        <w:t xml:space="preserve">. At the same time, the number of people </w:t>
      </w:r>
      <w:r>
        <w:t>moving</w:t>
      </w:r>
      <w:r w:rsidRPr="005F780A">
        <w:t xml:space="preserve"> off benefit (outflows to non-benefit) fell. As we moved down the alert levels, there was a corresponding fall in the number of inflows from </w:t>
      </w:r>
      <w:r w:rsidR="004F2383">
        <w:t>off</w:t>
      </w:r>
      <w:r w:rsidRPr="005F780A">
        <w:t>-benefit, and a slight increase in outflows off</w:t>
      </w:r>
      <w:r w:rsidR="008D234A">
        <w:t>-</w:t>
      </w:r>
      <w:r w:rsidRPr="005F780A">
        <w:t>benefit as economic activity resumed.</w:t>
      </w:r>
    </w:p>
    <w:p w14:paraId="35C2538F" w14:textId="3EFE9CCA" w:rsidR="00E36035" w:rsidRPr="00226EC5" w:rsidRDefault="00E36035" w:rsidP="00EC60A5">
      <w:pPr>
        <w:pStyle w:val="Caption"/>
        <w:keepNext/>
        <w:spacing w:after="0"/>
        <w:jc w:val="both"/>
      </w:pPr>
      <w:bookmarkStart w:id="75" w:name="_Ref47621898"/>
      <w:bookmarkStart w:id="76" w:name="_Toc51766318"/>
      <w:r w:rsidRPr="00226EC5">
        <w:lastRenderedPageBreak/>
        <w:t xml:space="preserve">Figure </w:t>
      </w:r>
      <w:fldSimple w:instr=" SEQ Figure \* ARABIC ">
        <w:r w:rsidR="0057304A">
          <w:rPr>
            <w:noProof/>
          </w:rPr>
          <w:t>4</w:t>
        </w:r>
      </w:fldSimple>
      <w:bookmarkEnd w:id="75"/>
      <w:r w:rsidRPr="00226EC5">
        <w:t xml:space="preserve"> – The increase in the number of people on Jobseeker Support Work-Ready has been driven by more people coming onto the payment (inflows from non-benefit) and a low number of people leaving (outflows to non-benefit).</w:t>
      </w:r>
      <w:bookmarkEnd w:id="76"/>
    </w:p>
    <w:p w14:paraId="29171477" w14:textId="29E11656" w:rsidR="00CD5E9E" w:rsidRDefault="00E36035" w:rsidP="00EC60A5">
      <w:pPr>
        <w:jc w:val="both"/>
      </w:pPr>
      <w:r w:rsidRPr="007B1C2C">
        <w:rPr>
          <w:noProof/>
        </w:rPr>
        <w:drawing>
          <wp:inline distT="0" distB="0" distL="0" distR="0" wp14:anchorId="3B229F82" wp14:editId="6C7C6D6D">
            <wp:extent cx="5490845" cy="35857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0845" cy="3585797"/>
                    </a:xfrm>
                    <a:prstGeom prst="rect">
                      <a:avLst/>
                    </a:prstGeom>
                    <a:noFill/>
                    <a:ln>
                      <a:noFill/>
                    </a:ln>
                  </pic:spPr>
                </pic:pic>
              </a:graphicData>
            </a:graphic>
          </wp:inline>
        </w:drawing>
      </w:r>
    </w:p>
    <w:p w14:paraId="0D8843B6" w14:textId="0C654B02" w:rsidR="00E36035" w:rsidRDefault="00E36035" w:rsidP="00EC60A5">
      <w:pPr>
        <w:jc w:val="both"/>
      </w:pPr>
      <w:bookmarkStart w:id="77" w:name="_Toc24109406"/>
      <w:bookmarkStart w:id="78" w:name="_Toc24109442"/>
      <w:r>
        <w:t xml:space="preserve">Note that even during alert levels 4 and 3 people </w:t>
      </w:r>
      <w:r w:rsidR="00B5640C">
        <w:t xml:space="preserve">were still </w:t>
      </w:r>
      <w:r>
        <w:t>exiting JS Work</w:t>
      </w:r>
      <w:r w:rsidR="00C50E6B">
        <w:t>-</w:t>
      </w:r>
      <w:r>
        <w:t>Ready due to obtaining work as some new jobs were being created.</w:t>
      </w:r>
    </w:p>
    <w:p w14:paraId="3F9A4B93" w14:textId="77777777" w:rsidR="00E36035" w:rsidRPr="005F780A" w:rsidRDefault="00E36035" w:rsidP="00EC60A5">
      <w:pPr>
        <w:jc w:val="both"/>
      </w:pPr>
      <w:r w:rsidRPr="005F780A">
        <w:t>The flow of people between JS and outside the benefit system (non-benefit) captures changes in economic conditions more accurately than the changing trend of total flows to and from JS. Total flows include transfers to other benefits, which may reflect policy or operational changes within the benefit system.</w:t>
      </w:r>
    </w:p>
    <w:p w14:paraId="1D52118F" w14:textId="77777777" w:rsidR="00E36035" w:rsidRPr="00EC6F84" w:rsidRDefault="00E36035" w:rsidP="00EC60A5">
      <w:pPr>
        <w:pStyle w:val="Heading3"/>
        <w:jc w:val="both"/>
      </w:pPr>
      <w:bookmarkStart w:id="79" w:name="_Toc50642943"/>
      <w:bookmarkStart w:id="80" w:name="_Toc51240805"/>
      <w:bookmarkStart w:id="81" w:name="_Toc51763871"/>
      <w:r w:rsidRPr="00EC6F84">
        <w:t>The rate of people going into work rose after the lockdown</w:t>
      </w:r>
      <w:bookmarkEnd w:id="79"/>
      <w:bookmarkEnd w:id="80"/>
      <w:bookmarkEnd w:id="81"/>
    </w:p>
    <w:p w14:paraId="7078558A" w14:textId="24FB3A69" w:rsidR="00E36035" w:rsidRPr="00EC6F84" w:rsidRDefault="00E36035" w:rsidP="00EC60A5">
      <w:pPr>
        <w:jc w:val="both"/>
      </w:pPr>
      <w:r w:rsidRPr="00EC6F84">
        <w:t xml:space="preserve">Taking a wider view of the rate of people moving into work from all working-age benefits (mainly Jobseeker Support, Sole Parent Support and Supported Living Payment) is </w:t>
      </w:r>
      <w:r>
        <w:t>a</w:t>
      </w:r>
      <w:r w:rsidRPr="00EC6F84">
        <w:t xml:space="preserve"> measure that</w:t>
      </w:r>
      <w:r>
        <w:t xml:space="preserve"> helps</w:t>
      </w:r>
      <w:r w:rsidRPr="00EC6F84">
        <w:t xml:space="preserve"> indicate the </w:t>
      </w:r>
      <w:r>
        <w:t>rate</w:t>
      </w:r>
      <w:r w:rsidRPr="00EC6F84">
        <w:t xml:space="preserve"> at which people </w:t>
      </w:r>
      <w:r w:rsidR="008D234A">
        <w:t>are able to</w:t>
      </w:r>
      <w:r w:rsidR="008D234A" w:rsidRPr="00EC6F84">
        <w:t xml:space="preserve"> </w:t>
      </w:r>
      <w:r w:rsidRPr="00EC6F84">
        <w:t>find employment</w:t>
      </w:r>
      <w:r>
        <w:t>.</w:t>
      </w:r>
    </w:p>
    <w:p w14:paraId="537690FC" w14:textId="409BE238" w:rsidR="00E36035" w:rsidRPr="00EC6F84" w:rsidRDefault="00E36035" w:rsidP="00EC60A5">
      <w:pPr>
        <w:jc w:val="both"/>
      </w:pPr>
      <w:r w:rsidRPr="00EC6F84">
        <w:t>While the majority of people on a benefit who move into work come from JS Work</w:t>
      </w:r>
      <w:r w:rsidR="00E07B22">
        <w:t>-</w:t>
      </w:r>
      <w:r w:rsidRPr="00EC6F84">
        <w:t xml:space="preserve">Ready, there are also flows from the other working-age benefits that are important to consider. </w:t>
      </w:r>
      <w:r w:rsidR="00E07B22">
        <w:t>Sole</w:t>
      </w:r>
      <w:r w:rsidRPr="00EC6F84">
        <w:t xml:space="preserve"> parents</w:t>
      </w:r>
      <w:r w:rsidR="00E07B22">
        <w:t xml:space="preserve"> in particular</w:t>
      </w:r>
      <w:r w:rsidRPr="00EC6F84">
        <w:t xml:space="preserve"> tend to have a higher likelihood of staying on a benefit for longer compared to people on JS Work</w:t>
      </w:r>
      <w:r w:rsidR="00E07B22">
        <w:t>-</w:t>
      </w:r>
      <w:r w:rsidRPr="00EC6F84">
        <w:t>Ready</w:t>
      </w:r>
      <w:r w:rsidRPr="00EC6F84">
        <w:rPr>
          <w:rStyle w:val="FootnoteReference"/>
        </w:rPr>
        <w:footnoteReference w:id="23"/>
      </w:r>
      <w:r w:rsidRPr="00EC6F84">
        <w:t xml:space="preserve">. For example, </w:t>
      </w:r>
      <w:r>
        <w:t xml:space="preserve">of </w:t>
      </w:r>
      <w:r w:rsidRPr="00EC6F84">
        <w:t xml:space="preserve">people who </w:t>
      </w:r>
      <w:r>
        <w:t>are under 25 years old and who first came onto benefit before the age of 20, those who are currently receiving</w:t>
      </w:r>
      <w:r w:rsidRPr="00EC6F84">
        <w:t xml:space="preserve"> SPS are estimated to spend 13 percent more time on a benefit in the future compared to </w:t>
      </w:r>
      <w:r>
        <w:t xml:space="preserve">those currently receiving </w:t>
      </w:r>
      <w:r w:rsidRPr="00EC6F84">
        <w:t>JS Work</w:t>
      </w:r>
      <w:r w:rsidR="00E07B22">
        <w:t>-</w:t>
      </w:r>
      <w:r w:rsidRPr="00EC6F84">
        <w:t>Ready (16.4 years compared to 14.5 years respectively).</w:t>
      </w:r>
    </w:p>
    <w:p w14:paraId="06A4E526" w14:textId="202AFC8A" w:rsidR="00E36035" w:rsidRPr="00EC6F84" w:rsidRDefault="00E36035" w:rsidP="00EC60A5">
      <w:pPr>
        <w:jc w:val="both"/>
      </w:pPr>
      <w:r w:rsidRPr="00EC6F84">
        <w:t xml:space="preserve">The rate </w:t>
      </w:r>
      <w:r w:rsidR="00B5640C">
        <w:t xml:space="preserve">over time </w:t>
      </w:r>
      <w:r w:rsidRPr="00EC6F84">
        <w:t xml:space="preserve">of people </w:t>
      </w:r>
      <w:r w:rsidR="00B5640C">
        <w:t xml:space="preserve">who </w:t>
      </w:r>
      <w:r w:rsidR="00B5640C" w:rsidRPr="00EC6F84">
        <w:t xml:space="preserve">exit </w:t>
      </w:r>
      <w:r w:rsidRPr="00EC6F84">
        <w:t xml:space="preserve">a working-age benefit </w:t>
      </w:r>
      <w:r w:rsidR="00B5640C">
        <w:t xml:space="preserve">because they have obtained work </w:t>
      </w:r>
      <w:r w:rsidRPr="00EC6F84">
        <w:t xml:space="preserve">is shown in </w:t>
      </w:r>
      <w:r w:rsidRPr="00EC6F84">
        <w:fldChar w:fldCharType="begin"/>
      </w:r>
      <w:r w:rsidRPr="00EC6F84">
        <w:instrText xml:space="preserve"> REF _Ref49944563 \h  \* MERGEFORMAT </w:instrText>
      </w:r>
      <w:r w:rsidRPr="00EC6F84">
        <w:fldChar w:fldCharType="separate"/>
      </w:r>
      <w:r w:rsidR="0057304A" w:rsidRPr="00226EC5">
        <w:t xml:space="preserve">Figure </w:t>
      </w:r>
      <w:r w:rsidR="0057304A">
        <w:rPr>
          <w:noProof/>
        </w:rPr>
        <w:t>5</w:t>
      </w:r>
      <w:r w:rsidRPr="00EC6F84">
        <w:fldChar w:fldCharType="end"/>
      </w:r>
      <w:r w:rsidRPr="00EC6F84">
        <w:t>. Th</w:t>
      </w:r>
      <w:r w:rsidR="004F2383">
        <w:t>e</w:t>
      </w:r>
      <w:r w:rsidRPr="00EC6F84">
        <w:t xml:space="preserve"> </w:t>
      </w:r>
      <w:r w:rsidR="00B5640C">
        <w:t>‘</w:t>
      </w:r>
      <w:r w:rsidRPr="00EC6F84">
        <w:t>obtained work</w:t>
      </w:r>
      <w:r w:rsidR="00B5640C">
        <w:t>’</w:t>
      </w:r>
      <w:r w:rsidRPr="00EC6F84">
        <w:t xml:space="preserve"> exit rate for people who were on a working-age benefit </w:t>
      </w:r>
      <w:r>
        <w:t xml:space="preserve">dropped below </w:t>
      </w:r>
      <w:r w:rsidRPr="00EC6F84">
        <w:t>GFC levels during the lockdown when economic activity was severely reduced, but bounced back by July 2020.</w:t>
      </w:r>
    </w:p>
    <w:p w14:paraId="7EF78EDC" w14:textId="2C26EE22" w:rsidR="00E36035" w:rsidRPr="00226EC5" w:rsidRDefault="00E36035" w:rsidP="00EC60A5">
      <w:pPr>
        <w:pStyle w:val="Caption"/>
        <w:keepNext/>
        <w:spacing w:after="0"/>
        <w:jc w:val="both"/>
      </w:pPr>
      <w:bookmarkStart w:id="82" w:name="_Ref49944563"/>
      <w:bookmarkStart w:id="83" w:name="_Toc51766319"/>
      <w:r w:rsidRPr="00226EC5">
        <w:lastRenderedPageBreak/>
        <w:t xml:space="preserve">Figure </w:t>
      </w:r>
      <w:fldSimple w:instr=" SEQ Figure \* ARABIC ">
        <w:r w:rsidR="0057304A">
          <w:rPr>
            <w:noProof/>
          </w:rPr>
          <w:t>5</w:t>
        </w:r>
      </w:fldSimple>
      <w:bookmarkEnd w:id="82"/>
      <w:r w:rsidRPr="00226EC5">
        <w:t xml:space="preserve"> – The exit rate for </w:t>
      </w:r>
      <w:r>
        <w:t xml:space="preserve">people going into work from a working-age benefit dropped to near-GFC levels during the lockdown but bounced back by July 2020 as economic activity resumed and some capacity pressures </w:t>
      </w:r>
      <w:r w:rsidR="006F4E2A">
        <w:t>on MSD</w:t>
      </w:r>
      <w:r>
        <w:t xml:space="preserve"> frontline </w:t>
      </w:r>
      <w:r w:rsidR="006F4E2A">
        <w:t xml:space="preserve">employment support staff </w:t>
      </w:r>
      <w:r>
        <w:t>were alleviated.</w:t>
      </w:r>
      <w:bookmarkEnd w:id="83"/>
    </w:p>
    <w:p w14:paraId="27D9370E" w14:textId="33007CF1" w:rsidR="00E36035" w:rsidRDefault="00E36035" w:rsidP="00EC60A5">
      <w:pPr>
        <w:spacing w:after="0"/>
        <w:jc w:val="both"/>
      </w:pPr>
      <w:r w:rsidRPr="007E6A27">
        <w:rPr>
          <w:noProof/>
        </w:rPr>
        <w:drawing>
          <wp:inline distT="0" distB="0" distL="0" distR="0" wp14:anchorId="34C5FC6C" wp14:editId="3A8B5EA2">
            <wp:extent cx="5490845" cy="35816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0845" cy="3581610"/>
                    </a:xfrm>
                    <a:prstGeom prst="rect">
                      <a:avLst/>
                    </a:prstGeom>
                    <a:noFill/>
                    <a:ln>
                      <a:noFill/>
                    </a:ln>
                  </pic:spPr>
                </pic:pic>
              </a:graphicData>
            </a:graphic>
          </wp:inline>
        </w:drawing>
      </w:r>
    </w:p>
    <w:p w14:paraId="56138164" w14:textId="0FBA3503" w:rsidR="00E36035" w:rsidRDefault="00E36035" w:rsidP="00EC60A5">
      <w:pPr>
        <w:spacing w:after="0"/>
        <w:jc w:val="both"/>
      </w:pPr>
    </w:p>
    <w:p w14:paraId="38851AE9" w14:textId="1C0E9A1F" w:rsidR="00E36035" w:rsidRDefault="00E36035" w:rsidP="00EC60A5">
      <w:pPr>
        <w:jc w:val="both"/>
      </w:pPr>
      <w:r>
        <w:t xml:space="preserve">In July 2020, the number of exits into work from </w:t>
      </w:r>
      <w:r w:rsidR="00082A60">
        <w:t>a working-age benefit</w:t>
      </w:r>
      <w:r>
        <w:t xml:space="preserve"> was around 7,500, which was higher compared to the same time last year when there were around 5,300 exits into work from </w:t>
      </w:r>
      <w:r w:rsidR="00082A60">
        <w:t>a working-age benefit.</w:t>
      </w:r>
    </w:p>
    <w:p w14:paraId="65661F67" w14:textId="77777777" w:rsidR="00E36035" w:rsidRPr="00EC6F84" w:rsidRDefault="00E36035" w:rsidP="00EC60A5">
      <w:pPr>
        <w:pStyle w:val="Heading3"/>
        <w:jc w:val="both"/>
      </w:pPr>
      <w:bookmarkStart w:id="84" w:name="_Toc50642944"/>
      <w:bookmarkStart w:id="85" w:name="_Toc51240806"/>
      <w:bookmarkStart w:id="86" w:name="_Toc51763872"/>
      <w:r>
        <w:t>There are a number of factors that influence people to go into work when they are on a benefit</w:t>
      </w:r>
      <w:bookmarkEnd w:id="84"/>
      <w:bookmarkEnd w:id="85"/>
      <w:bookmarkEnd w:id="86"/>
    </w:p>
    <w:p w14:paraId="19CFAC8E" w14:textId="7BEB912C" w:rsidR="00E36035" w:rsidRDefault="00E36035" w:rsidP="00EC60A5">
      <w:pPr>
        <w:jc w:val="both"/>
      </w:pPr>
      <w:r w:rsidRPr="00EC6F84">
        <w:t xml:space="preserve">It is difficult to quantify how much of the change in the exit rate is due to changes in economic conditions </w:t>
      </w:r>
      <w:r>
        <w:t xml:space="preserve">because there are a number of other factors </w:t>
      </w:r>
      <w:r w:rsidR="00D21336">
        <w:t>at play</w:t>
      </w:r>
      <w:r>
        <w:t xml:space="preserve">. Some of these include </w:t>
      </w:r>
      <w:r w:rsidRPr="00EC6F84">
        <w:t>MSD’s focus on case management to support people into work</w:t>
      </w:r>
      <w:r>
        <w:t>, people’s resilience and confidence to be able to enter and stay in work, the potential costs of going into work (such as transport or childcare), and stable housing.</w:t>
      </w:r>
    </w:p>
    <w:p w14:paraId="4F1B79E9" w14:textId="6A57ABF8" w:rsidR="00E36035" w:rsidRDefault="00E36035" w:rsidP="00EC60A5">
      <w:pPr>
        <w:jc w:val="both"/>
      </w:pPr>
      <w:r>
        <w:t xml:space="preserve">MSD’s focus on both income support and employment has at times meant frontline staff </w:t>
      </w:r>
      <w:r w:rsidR="00D21336">
        <w:t xml:space="preserve">have </w:t>
      </w:r>
      <w:r>
        <w:t>had to prioritise providing immediate and urgent income support over proactive employment</w:t>
      </w:r>
      <w:r w:rsidR="00E07B22">
        <w:t xml:space="preserve"> </w:t>
      </w:r>
      <w:r>
        <w:t>focused interventions.</w:t>
      </w:r>
    </w:p>
    <w:p w14:paraId="3CAF9048" w14:textId="78AFB4BF" w:rsidR="00E36035" w:rsidRPr="00EC6F84" w:rsidRDefault="00E36035" w:rsidP="00EC60A5">
      <w:pPr>
        <w:jc w:val="both"/>
      </w:pPr>
      <w:r>
        <w:t xml:space="preserve">Employment focused case management staff </w:t>
      </w:r>
      <w:r w:rsidR="00D21336">
        <w:t xml:space="preserve">can play </w:t>
      </w:r>
      <w:r>
        <w:t xml:space="preserve">a key </w:t>
      </w:r>
      <w:r w:rsidR="00D21336">
        <w:t xml:space="preserve">role </w:t>
      </w:r>
      <w:r>
        <w:t>in supporting exits into employment</w:t>
      </w:r>
      <w:r w:rsidR="009C610B">
        <w:t xml:space="preserve">, </w:t>
      </w:r>
      <w:r w:rsidR="00D21336">
        <w:t xml:space="preserve">and while </w:t>
      </w:r>
      <w:r>
        <w:t>the COVID-19 lockdown meant there was significantly higher demand for immediate income support, MSD was still running employment services</w:t>
      </w:r>
      <w:r w:rsidR="00D21336">
        <w:t xml:space="preserve">. </w:t>
      </w:r>
      <w:r>
        <w:t xml:space="preserve"> </w:t>
      </w:r>
      <w:r w:rsidR="00D21336">
        <w:t>The</w:t>
      </w:r>
      <w:r>
        <w:t xml:space="preserve"> demand for essential workers </w:t>
      </w:r>
      <w:r w:rsidR="00D21336">
        <w:t xml:space="preserve">during lockdown </w:t>
      </w:r>
      <w:r>
        <w:t>increased, resulting in some people who were on benefit obtaining work.</w:t>
      </w:r>
    </w:p>
    <w:p w14:paraId="363EF6B2" w14:textId="07B60ED5" w:rsidR="00E36035" w:rsidRPr="00EC6F84" w:rsidRDefault="00E36035" w:rsidP="00EC60A5">
      <w:pPr>
        <w:jc w:val="both"/>
      </w:pPr>
      <w:r>
        <w:t>However, d</w:t>
      </w:r>
      <w:r w:rsidRPr="00EC6F84">
        <w:t xml:space="preserve">uring the lockdown, economic activity was severely reduced </w:t>
      </w:r>
      <w:r>
        <w:t xml:space="preserve">with the complexity of some clients’ needs resulting in </w:t>
      </w:r>
      <w:r w:rsidRPr="00EC6F84">
        <w:t>further pressures at MSD’s frontline</w:t>
      </w:r>
      <w:r>
        <w:t xml:space="preserve">. </w:t>
      </w:r>
      <w:r w:rsidRPr="00EC6F84">
        <w:t xml:space="preserve">As economic activity resumed however, </w:t>
      </w:r>
      <w:r>
        <w:t>and as the complexity of clients’ needs eased</w:t>
      </w:r>
      <w:r w:rsidRPr="00EC6F84">
        <w:t>,</w:t>
      </w:r>
      <w:r>
        <w:t xml:space="preserve"> growth</w:t>
      </w:r>
      <w:r w:rsidRPr="00EC6F84">
        <w:t xml:space="preserve"> in the </w:t>
      </w:r>
      <w:r>
        <w:t xml:space="preserve">immediate </w:t>
      </w:r>
      <w:r w:rsidR="00D21336">
        <w:t>demand</w:t>
      </w:r>
      <w:r w:rsidR="00D21336" w:rsidRPr="00EC6F84">
        <w:t xml:space="preserve"> </w:t>
      </w:r>
      <w:r w:rsidRPr="00EC6F84">
        <w:t>for income support slowed.</w:t>
      </w:r>
    </w:p>
    <w:p w14:paraId="288ACAA8" w14:textId="6E63B633" w:rsidR="00E36035" w:rsidRDefault="00E36035" w:rsidP="00EC60A5">
      <w:pPr>
        <w:jc w:val="both"/>
      </w:pPr>
      <w:r w:rsidRPr="00EC6F84">
        <w:t xml:space="preserve">Despite </w:t>
      </w:r>
      <w:r>
        <w:t>some</w:t>
      </w:r>
      <w:r w:rsidRPr="00EC6F84">
        <w:t xml:space="preserve"> pressures</w:t>
      </w:r>
      <w:r>
        <w:t xml:space="preserve"> at the frontline being prevalent even after the lockdown</w:t>
      </w:r>
      <w:r w:rsidRPr="00EC6F84">
        <w:t xml:space="preserve">, MSD </w:t>
      </w:r>
      <w:r>
        <w:t xml:space="preserve">has retained a strong focus on employment, with over 500 case managers dedicated </w:t>
      </w:r>
      <w:r>
        <w:lastRenderedPageBreak/>
        <w:t>to employment or intensive support. They are supported by work brokers and a suite of employment, education and training support initiatives for clients.</w:t>
      </w:r>
    </w:p>
    <w:p w14:paraId="19EF7EE2" w14:textId="77777777" w:rsidR="00E36035" w:rsidRPr="001A1B3F" w:rsidRDefault="00E36035" w:rsidP="00EC60A5">
      <w:pPr>
        <w:pStyle w:val="Heading3"/>
        <w:jc w:val="both"/>
      </w:pPr>
      <w:bookmarkStart w:id="87" w:name="_Toc50642945"/>
      <w:bookmarkStart w:id="88" w:name="_Toc51240807"/>
      <w:bookmarkStart w:id="89" w:name="_Toc51763873"/>
      <w:r w:rsidRPr="003474CD">
        <w:t xml:space="preserve">The combined number of people on Jobseeker Support and </w:t>
      </w:r>
      <w:r>
        <w:t>CIRP</w:t>
      </w:r>
      <w:r w:rsidRPr="003474CD">
        <w:t xml:space="preserve"> is a more complete labour market indicator</w:t>
      </w:r>
      <w:bookmarkEnd w:id="87"/>
      <w:bookmarkEnd w:id="88"/>
      <w:bookmarkEnd w:id="89"/>
    </w:p>
    <w:p w14:paraId="13E3642B" w14:textId="09EB788B" w:rsidR="00E36035" w:rsidRDefault="00E36035" w:rsidP="00EC60A5">
      <w:pPr>
        <w:jc w:val="both"/>
      </w:pPr>
      <w:r>
        <w:t xml:space="preserve">While Jobseeker Support, Sole Parent Support and Supported Living Payment </w:t>
      </w:r>
      <w:r w:rsidR="00D21336">
        <w:t xml:space="preserve">comprise New Zealand’s </w:t>
      </w:r>
      <w:r>
        <w:t xml:space="preserve">main </w:t>
      </w:r>
      <w:r w:rsidR="00D21336">
        <w:t xml:space="preserve">working-age </w:t>
      </w:r>
      <w:r>
        <w:t xml:space="preserve">benefits, </w:t>
      </w:r>
      <w:r w:rsidR="00D21336">
        <w:t>including</w:t>
      </w:r>
      <w:r w:rsidRPr="00F8565E">
        <w:t xml:space="preserve"> the COVID-19 Income Relief Payment (CIRP) </w:t>
      </w:r>
      <w:r>
        <w:t xml:space="preserve">gives a wider view of the demand for income support. </w:t>
      </w:r>
    </w:p>
    <w:p w14:paraId="158684B7" w14:textId="297C1C3A" w:rsidR="00E36035" w:rsidRPr="00F8565E" w:rsidRDefault="00E36035" w:rsidP="00EC60A5">
      <w:pPr>
        <w:jc w:val="both"/>
      </w:pPr>
      <w:r>
        <w:t>The combined number of people on JS and CIRP</w:t>
      </w:r>
      <w:r w:rsidRPr="00F8565E">
        <w:t xml:space="preserve"> tell</w:t>
      </w:r>
      <w:r w:rsidR="00D21336">
        <w:t>s</w:t>
      </w:r>
      <w:r w:rsidRPr="00F8565E">
        <w:t xml:space="preserve"> a more complete labour market story, compared to the number of people on each payment in isolation. This is because for people needing income support </w:t>
      </w:r>
      <w:r>
        <w:t>since 8 June 2020</w:t>
      </w:r>
      <w:r w:rsidRPr="00F8565E">
        <w:t xml:space="preserve">, there </w:t>
      </w:r>
      <w:r>
        <w:t>have been</w:t>
      </w:r>
      <w:r w:rsidR="004B3983">
        <w:t xml:space="preserve"> people</w:t>
      </w:r>
      <w:r w:rsidRPr="00F8565E">
        <w:t>:</w:t>
      </w:r>
    </w:p>
    <w:p w14:paraId="649E11B5" w14:textId="39EACDD8" w:rsidR="00E36035" w:rsidRDefault="00E36035" w:rsidP="00EC60A5">
      <w:pPr>
        <w:pStyle w:val="ListParagraph"/>
        <w:jc w:val="both"/>
      </w:pPr>
      <w:r w:rsidRPr="002C3D6C">
        <w:t>coming onto CIRP who would have otherwise come onto JS</w:t>
      </w:r>
    </w:p>
    <w:p w14:paraId="1F1A338F" w14:textId="7FE7B952" w:rsidR="00E36035" w:rsidRDefault="00E36035" w:rsidP="00EC60A5">
      <w:pPr>
        <w:pStyle w:val="ListParagraph"/>
        <w:jc w:val="both"/>
      </w:pPr>
      <w:r>
        <w:t>who transferred</w:t>
      </w:r>
      <w:r w:rsidRPr="002C3D6C">
        <w:t xml:space="preserve"> from JS to CIRP because they are ‘better off’ on CIR</w:t>
      </w:r>
      <w:r>
        <w:t>P</w:t>
      </w:r>
    </w:p>
    <w:p w14:paraId="4B38B084" w14:textId="77BD8788" w:rsidR="00E36035" w:rsidRDefault="00E36035" w:rsidP="00EC60A5">
      <w:pPr>
        <w:pStyle w:val="ListParagraph"/>
        <w:jc w:val="both"/>
      </w:pPr>
      <w:r>
        <w:t>who have come onto</w:t>
      </w:r>
      <w:r w:rsidRPr="002C3D6C">
        <w:t xml:space="preserve"> CIRP who would not have been eligible for JS because the threshold for partner income is higher than for JS.</w:t>
      </w:r>
    </w:p>
    <w:p w14:paraId="58D8A14D" w14:textId="77777777" w:rsidR="00E36035" w:rsidRDefault="00E36035" w:rsidP="00EC60A5">
      <w:pPr>
        <w:jc w:val="both"/>
      </w:pPr>
      <w:r>
        <w:t xml:space="preserve">However, there are some differences between the two payments and so the combined number </w:t>
      </w:r>
      <w:r w:rsidRPr="00216929">
        <w:t>of</w:t>
      </w:r>
      <w:r>
        <w:t xml:space="preserve"> people on CIRP and JS is not directly comparable to JS over time. The main differences are that:</w:t>
      </w:r>
    </w:p>
    <w:p w14:paraId="09B0EFA7" w14:textId="77777777" w:rsidR="00E36035" w:rsidRDefault="00E36035" w:rsidP="00EC60A5">
      <w:pPr>
        <w:pStyle w:val="ListParagraph"/>
        <w:jc w:val="both"/>
      </w:pPr>
      <w:r>
        <w:t>There are different eligibility criteria for JS and CIRP which means that the combined numbers will be higher than JS numbers alone would have been. For example, CIRP has a higher partner income threshold than JS, so some people coming onto CIRP may not have otherwise qualified for JS.</w:t>
      </w:r>
    </w:p>
    <w:p w14:paraId="63E683A0" w14:textId="77777777" w:rsidR="00E36035" w:rsidRDefault="00E36035" w:rsidP="00EC60A5">
      <w:pPr>
        <w:pStyle w:val="ListParagraph"/>
        <w:jc w:val="both"/>
      </w:pPr>
      <w:r>
        <w:t>Officially reported JS numbers are working-age while reported CIRP numbers include people of all ages and can include New Zealand Superannuation (NZS) recipients.</w:t>
      </w:r>
    </w:p>
    <w:p w14:paraId="1D54868A" w14:textId="7ADBC090" w:rsidR="00E36035" w:rsidRDefault="00E36035" w:rsidP="00EC60A5">
      <w:pPr>
        <w:pStyle w:val="ListParagraph"/>
        <w:jc w:val="both"/>
      </w:pPr>
      <w:r>
        <w:t>Officially reported CIRP numbers include people’s partners who are also on CIRP, which is inconsistent with the way JS numbers are officially reported (which only include the primary recipient – essentially treating one person on JS with a partner and/or dependent as a ‘household’ rather than</w:t>
      </w:r>
      <w:r w:rsidR="0046142B">
        <w:t xml:space="preserve"> as</w:t>
      </w:r>
      <w:r>
        <w:t xml:space="preserve"> individuals).</w:t>
      </w:r>
    </w:p>
    <w:p w14:paraId="4EBA27CF" w14:textId="3D055947" w:rsidR="00E36035" w:rsidRPr="001A1B3F" w:rsidRDefault="00E36035" w:rsidP="00EC60A5">
      <w:pPr>
        <w:jc w:val="both"/>
      </w:pPr>
      <w:r>
        <w:t xml:space="preserve">It is estimated that around 25 percent of people on CIRP are not eligible for JS, with around 20 percent likely ineligible because their partner’s income is too high. There are also other factors which affect entitlement for JS such as receiving NZS or getting a Student Allowance. These people are not eligible for a main benefit but </w:t>
      </w:r>
      <w:r w:rsidR="0046142B">
        <w:t>qualify for</w:t>
      </w:r>
      <w:r>
        <w:t xml:space="preserve"> CIRP if they lost their job due to COVID-19.</w:t>
      </w:r>
    </w:p>
    <w:p w14:paraId="56961B92" w14:textId="011D1952" w:rsidR="00E36035" w:rsidRPr="001A1B3F" w:rsidRDefault="00E36035" w:rsidP="00EC60A5">
      <w:pPr>
        <w:pStyle w:val="Heading3"/>
        <w:jc w:val="both"/>
      </w:pPr>
      <w:bookmarkStart w:id="90" w:name="_Toc50642946"/>
      <w:bookmarkStart w:id="91" w:name="_Toc51240808"/>
      <w:bookmarkStart w:id="92" w:name="_Toc51763874"/>
      <w:r w:rsidRPr="007F6A37">
        <w:t>The number of people on Jobseeker Support and the CIRP is still increasing overall as economic conditions are weak</w:t>
      </w:r>
      <w:bookmarkEnd w:id="90"/>
      <w:bookmarkEnd w:id="91"/>
      <w:bookmarkEnd w:id="92"/>
    </w:p>
    <w:p w14:paraId="57AC950B" w14:textId="27ED3012" w:rsidR="00E36035" w:rsidRDefault="00E36035" w:rsidP="00EC60A5">
      <w:pPr>
        <w:jc w:val="both"/>
      </w:pPr>
      <w:r>
        <w:fldChar w:fldCharType="begin"/>
      </w:r>
      <w:r>
        <w:instrText xml:space="preserve"> REF _Ref48051481 \h </w:instrText>
      </w:r>
      <w:r w:rsidR="00382570">
        <w:instrText xml:space="preserve"> \* MERGEFORMAT </w:instrText>
      </w:r>
      <w:r>
        <w:fldChar w:fldCharType="separate"/>
      </w:r>
      <w:r w:rsidR="0057304A" w:rsidRPr="00226EC5">
        <w:t xml:space="preserve">Figure </w:t>
      </w:r>
      <w:r w:rsidR="0057304A">
        <w:rPr>
          <w:noProof/>
        </w:rPr>
        <w:t>6</w:t>
      </w:r>
      <w:r>
        <w:fldChar w:fldCharType="end"/>
      </w:r>
      <w:r>
        <w:t xml:space="preserve"> shows the total number of people receiving JS and CIRP over time (dotted green line) and the weekly growth (grey and red bars). It shows that the combined number of </w:t>
      </w:r>
      <w:r w:rsidRPr="00216929">
        <w:t>people</w:t>
      </w:r>
      <w:r>
        <w:t xml:space="preserve"> on JS and CIRP continued to increase in July 2020 as economic conditions remained relatively weak. </w:t>
      </w:r>
    </w:p>
    <w:p w14:paraId="12DE9B25" w14:textId="1906F1CC" w:rsidR="00E36035" w:rsidRPr="00226EC5" w:rsidRDefault="00E36035" w:rsidP="00EC60A5">
      <w:pPr>
        <w:pStyle w:val="Caption"/>
        <w:keepNext/>
        <w:spacing w:after="0"/>
        <w:jc w:val="both"/>
      </w:pPr>
      <w:bookmarkStart w:id="93" w:name="_Ref48051481"/>
      <w:bookmarkStart w:id="94" w:name="_Toc51766320"/>
      <w:r w:rsidRPr="00226EC5">
        <w:lastRenderedPageBreak/>
        <w:t xml:space="preserve">Figure </w:t>
      </w:r>
      <w:fldSimple w:instr=" SEQ Figure \* ARABIC ">
        <w:r w:rsidR="0057304A">
          <w:rPr>
            <w:noProof/>
          </w:rPr>
          <w:t>6</w:t>
        </w:r>
      </w:fldSimple>
      <w:bookmarkEnd w:id="93"/>
      <w:r w:rsidRPr="00226EC5">
        <w:t xml:space="preserve"> – While the (combined) number of people on JS and CIRP has increased over time, the weekly growth slowed throughout July.</w:t>
      </w:r>
      <w:bookmarkEnd w:id="94"/>
    </w:p>
    <w:p w14:paraId="7590647E" w14:textId="7B9CEC70" w:rsidR="00E36035" w:rsidRDefault="00E36035" w:rsidP="00EC60A5">
      <w:pPr>
        <w:spacing w:after="0"/>
        <w:jc w:val="both"/>
      </w:pPr>
      <w:r w:rsidRPr="003B6375">
        <w:rPr>
          <w:noProof/>
        </w:rPr>
        <w:drawing>
          <wp:inline distT="0" distB="0" distL="0" distR="0" wp14:anchorId="4E27887C" wp14:editId="7AEEAABB">
            <wp:extent cx="5490845" cy="35840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0845" cy="3584003"/>
                    </a:xfrm>
                    <a:prstGeom prst="rect">
                      <a:avLst/>
                    </a:prstGeom>
                    <a:noFill/>
                    <a:ln>
                      <a:noFill/>
                    </a:ln>
                  </pic:spPr>
                </pic:pic>
              </a:graphicData>
            </a:graphic>
          </wp:inline>
        </w:drawing>
      </w:r>
    </w:p>
    <w:p w14:paraId="1C5CF193" w14:textId="113ECFCA" w:rsidR="00E36035" w:rsidRDefault="00E36035" w:rsidP="00EC60A5">
      <w:pPr>
        <w:jc w:val="both"/>
      </w:pPr>
      <w:r>
        <w:t xml:space="preserve">While the number of people on CIRP increased throughout July 2020, </w:t>
      </w:r>
      <w:r w:rsidR="00E07B22">
        <w:t xml:space="preserve">it is interesting to </w:t>
      </w:r>
      <w:r>
        <w:t>note that demand for CIRP has not been as high as originally anticipated. The modelling for CIRP was done at BEFU 2020 when the outlook was highly uncertain. The original forecasts for CIRP anticipated that there would be 230,000 people accessing the payment across the entire period, with around 125,000 people expected to be receiving the payment by July 2020. Some reasons that take-up of CIRP is lower than expected may be that:</w:t>
      </w:r>
    </w:p>
    <w:p w14:paraId="34AC4675" w14:textId="77777777" w:rsidR="00E36035" w:rsidRDefault="00E36035" w:rsidP="00EC60A5">
      <w:pPr>
        <w:pStyle w:val="ListParagraph"/>
        <w:jc w:val="both"/>
      </w:pPr>
      <w:r>
        <w:t>The Wage Subsidy Extension has preserved some jobs and reduced unemployment (at least in the short-term). The Wage Subsidy Extension was not factored into the BEFU 2020 forecasts for CIRP as the two initiatives were developed at the same time.</w:t>
      </w:r>
    </w:p>
    <w:p w14:paraId="5017B6DE" w14:textId="54BD7AEF" w:rsidR="00E36035" w:rsidRDefault="00E36035" w:rsidP="00EC60A5">
      <w:pPr>
        <w:pStyle w:val="ListParagraph"/>
        <w:jc w:val="both"/>
      </w:pPr>
      <w:r>
        <w:t xml:space="preserve">The economy has fared better than originally expected to date, </w:t>
      </w:r>
      <w:r w:rsidR="0046142B">
        <w:t>meaning fewer</w:t>
      </w:r>
      <w:r>
        <w:t xml:space="preserve"> people require CIRP </w:t>
      </w:r>
      <w:r w:rsidR="0046142B">
        <w:t>than would have otherwise been the case</w:t>
      </w:r>
      <w:r>
        <w:t>.</w:t>
      </w:r>
    </w:p>
    <w:p w14:paraId="38CF3D9D" w14:textId="5C49ED5A" w:rsidR="00E36035" w:rsidRDefault="00E36035" w:rsidP="00EC60A5">
      <w:pPr>
        <w:pStyle w:val="ListParagraph"/>
        <w:jc w:val="both"/>
      </w:pPr>
      <w:r>
        <w:t>There have been fewer people transferring from JS Work</w:t>
      </w:r>
      <w:r w:rsidR="00A05EE0">
        <w:t>-</w:t>
      </w:r>
      <w:r>
        <w:t>Ready to CIRP than expected</w:t>
      </w:r>
      <w:r w:rsidR="0046142B">
        <w:t xml:space="preserve">. </w:t>
      </w:r>
      <w:r w:rsidR="006F4E2A">
        <w:t>There may be</w:t>
      </w:r>
      <w:r>
        <w:t xml:space="preserve"> multiple underlying reasons </w:t>
      </w:r>
      <w:r w:rsidR="006F4E2A">
        <w:t xml:space="preserve">for this, </w:t>
      </w:r>
      <w:r>
        <w:t>ranging from a lack of awareness of CIRP, to people not being eligible, and people choosing not to transfer to CIRP (among other possible reasons).</w:t>
      </w:r>
    </w:p>
    <w:p w14:paraId="017B7725" w14:textId="77777777" w:rsidR="00E36035" w:rsidRDefault="00E36035" w:rsidP="00EC60A5">
      <w:pPr>
        <w:pStyle w:val="Heading3"/>
        <w:jc w:val="both"/>
      </w:pPr>
      <w:bookmarkStart w:id="95" w:name="_Toc50642947"/>
      <w:bookmarkStart w:id="96" w:name="_Toc51240809"/>
      <w:bookmarkStart w:id="97" w:name="_Toc51763875"/>
      <w:r w:rsidRPr="007F6A37">
        <w:t>The Wage Subsidy Extension is likely to be delaying some growth in CIRP</w:t>
      </w:r>
      <w:bookmarkEnd w:id="95"/>
      <w:bookmarkEnd w:id="96"/>
      <w:bookmarkEnd w:id="97"/>
    </w:p>
    <w:p w14:paraId="78968860" w14:textId="77777777" w:rsidR="00E36035" w:rsidRPr="00216929" w:rsidRDefault="00E36035" w:rsidP="00EC60A5">
      <w:pPr>
        <w:jc w:val="both"/>
      </w:pPr>
      <w:r w:rsidRPr="00216929">
        <w:t>Although weekly growth</w:t>
      </w:r>
      <w:r>
        <w:t xml:space="preserve"> of JS and CIRP</w:t>
      </w:r>
      <w:r w:rsidRPr="00216929">
        <w:t xml:space="preserve"> slowed throughout July, the number of people requiring income support due to job loss at the time of writing this report was expected to increase as coverage from the Wage Subsidy Extension comes to an end from 5 August 2020 through to October 2020. </w:t>
      </w:r>
    </w:p>
    <w:p w14:paraId="41FAC516" w14:textId="77777777" w:rsidR="00E36035" w:rsidRPr="00216929" w:rsidRDefault="00E36035" w:rsidP="00EC60A5">
      <w:pPr>
        <w:jc w:val="both"/>
      </w:pPr>
      <w:r w:rsidRPr="00216929">
        <w:t xml:space="preserve">It is important to note that while economic conditions after the lockdown were better than </w:t>
      </w:r>
      <w:r>
        <w:t>predicted</w:t>
      </w:r>
      <w:r w:rsidRPr="00216929">
        <w:t xml:space="preserve"> </w:t>
      </w:r>
      <w:r>
        <w:t>in</w:t>
      </w:r>
      <w:r w:rsidRPr="00216929">
        <w:t xml:space="preserve"> BEFU 2020, the economy was still weak. A significant number of people were still covered by the Wage Subsidy Extension in July and August, so it is </w:t>
      </w:r>
      <w:r w:rsidRPr="00216929">
        <w:lastRenderedPageBreak/>
        <w:t xml:space="preserve">likely that growth in the number of people coming onto CIRP will accelerate in October 2020 when the Wage Subsidy Extension ends. </w:t>
      </w:r>
    </w:p>
    <w:p w14:paraId="4C67A5E6" w14:textId="0660C5D5" w:rsidR="00E36035" w:rsidRPr="00216929" w:rsidRDefault="00E36035" w:rsidP="00EC60A5">
      <w:pPr>
        <w:jc w:val="both"/>
      </w:pPr>
      <w:r w:rsidRPr="00216929">
        <w:t xml:space="preserve">So far, we can see that the Wage Subsidy and Wage Subsidy Extension has </w:t>
      </w:r>
      <w:r w:rsidR="0046142B">
        <w:t>succeeded in keeping</w:t>
      </w:r>
      <w:r w:rsidR="0046142B" w:rsidRPr="00216929">
        <w:t xml:space="preserve"> </w:t>
      </w:r>
      <w:r w:rsidRPr="00216929">
        <w:t xml:space="preserve">people attached to their employers </w:t>
      </w:r>
      <w:r>
        <w:t>according</w:t>
      </w:r>
      <w:r w:rsidRPr="00216929">
        <w:t xml:space="preserve"> to the labour market statistics for the June 2020 quarter. </w:t>
      </w:r>
      <w:r w:rsidR="00A05EE0">
        <w:t>The</w:t>
      </w:r>
      <w:r w:rsidRPr="00216929">
        <w:t xml:space="preserve"> results showed that there was a relatively small fall in the number of people employed (a 0.4 percent fall in the quarter) </w:t>
      </w:r>
      <w:r w:rsidR="00B3656B">
        <w:t xml:space="preserve">but </w:t>
      </w:r>
      <w:r w:rsidR="006F4E2A">
        <w:t xml:space="preserve">there was </w:t>
      </w:r>
      <w:r w:rsidR="00B3656B">
        <w:t>a</w:t>
      </w:r>
      <w:r w:rsidRPr="00216929">
        <w:t xml:space="preserve"> prominent drop in the total number of hours worked (which fell by 10.3 percent in the quarter).</w:t>
      </w:r>
    </w:p>
    <w:p w14:paraId="3F543847" w14:textId="77777777" w:rsidR="00E36035" w:rsidRDefault="00E36035" w:rsidP="00EC60A5">
      <w:pPr>
        <w:pStyle w:val="Heading3"/>
        <w:jc w:val="both"/>
      </w:pPr>
      <w:bookmarkStart w:id="98" w:name="_Toc50642948"/>
      <w:bookmarkStart w:id="99" w:name="_Toc51240810"/>
      <w:bookmarkStart w:id="100" w:name="_Toc51763876"/>
      <w:r>
        <w:t>Changes to the way income support is being administered are playing less of a role in increasing demand for main benefits</w:t>
      </w:r>
      <w:bookmarkEnd w:id="98"/>
      <w:bookmarkEnd w:id="99"/>
      <w:bookmarkEnd w:id="100"/>
    </w:p>
    <w:p w14:paraId="1CFFDFD3" w14:textId="10DA350A" w:rsidR="00E36035" w:rsidRPr="00F8565E" w:rsidRDefault="00E36035" w:rsidP="00EC60A5">
      <w:pPr>
        <w:jc w:val="both"/>
      </w:pPr>
      <w:r w:rsidRPr="00F8565E">
        <w:t>Since March 2020, MSD has announced various changes to the way main benefits are administered</w:t>
      </w:r>
      <w:r>
        <w:t>, through both policy and operational changes</w:t>
      </w:r>
      <w:r w:rsidRPr="00F8565E">
        <w:t xml:space="preserve">. The main changes impacting benefit numbers were removing the stand-down period for people coming onto a main benefit, and deferrals </w:t>
      </w:r>
      <w:r>
        <w:t>in relation to</w:t>
      </w:r>
      <w:r w:rsidRPr="00F8565E">
        <w:t xml:space="preserve"> needing a medical certificate for JS Health Condition or Disability and Supported Living Payment. A comprehensive </w:t>
      </w:r>
      <w:r>
        <w:t>summary</w:t>
      </w:r>
      <w:r w:rsidRPr="00F8565E">
        <w:t xml:space="preserve"> of MSD</w:t>
      </w:r>
      <w:r w:rsidR="009C610B">
        <w:t xml:space="preserve">’s </w:t>
      </w:r>
      <w:r w:rsidRPr="00F8565E">
        <w:t>change</w:t>
      </w:r>
      <w:r w:rsidR="009C610B">
        <w:t>s to</w:t>
      </w:r>
      <w:r w:rsidRPr="00F8565E">
        <w:t xml:space="preserve"> the way benefit payments </w:t>
      </w:r>
      <w:r w:rsidR="009C610B">
        <w:t>were</w:t>
      </w:r>
      <w:r w:rsidRPr="00F8565E">
        <w:t xml:space="preserve"> administered </w:t>
      </w:r>
      <w:r>
        <w:t>is</w:t>
      </w:r>
      <w:r w:rsidRPr="00F8565E">
        <w:t xml:space="preserve"> outlined in </w:t>
      </w:r>
      <w:r w:rsidRPr="00F8565E">
        <w:fldChar w:fldCharType="begin"/>
      </w:r>
      <w:r w:rsidRPr="00F8565E">
        <w:instrText xml:space="preserve"> REF _Ref48745369 \h </w:instrText>
      </w:r>
      <w:r>
        <w:instrText xml:space="preserve"> \* MERGEFORMAT </w:instrText>
      </w:r>
      <w:r w:rsidRPr="00F8565E">
        <w:fldChar w:fldCharType="separate"/>
      </w:r>
      <w:r w:rsidR="0057304A">
        <w:t>Appendix 1</w:t>
      </w:r>
      <w:r w:rsidRPr="00F8565E">
        <w:fldChar w:fldCharType="end"/>
      </w:r>
      <w:r w:rsidRPr="00F8565E">
        <w:t xml:space="preserve"> </w:t>
      </w:r>
      <w:r w:rsidRPr="00F8565E">
        <w:fldChar w:fldCharType="begin"/>
      </w:r>
      <w:r w:rsidRPr="00F8565E">
        <w:instrText xml:space="preserve"> REF _Ref48047626 \h </w:instrText>
      </w:r>
      <w:r>
        <w:instrText xml:space="preserve"> \* MERGEFORMAT </w:instrText>
      </w:r>
      <w:r w:rsidRPr="00F8565E">
        <w:fldChar w:fldCharType="separate"/>
      </w:r>
      <w:r w:rsidR="0057304A" w:rsidRPr="00EF3369">
        <w:t xml:space="preserve">Table </w:t>
      </w:r>
      <w:r w:rsidR="0057304A">
        <w:t>1</w:t>
      </w:r>
      <w:r w:rsidRPr="00F8565E">
        <w:fldChar w:fldCharType="end"/>
      </w:r>
      <w:r w:rsidRPr="00F8565E">
        <w:t>.</w:t>
      </w:r>
    </w:p>
    <w:p w14:paraId="1F3A67F0" w14:textId="77777777" w:rsidR="00E36035" w:rsidRPr="002C3CE9" w:rsidRDefault="00E36035" w:rsidP="00EC60A5">
      <w:pPr>
        <w:pStyle w:val="Heading4"/>
      </w:pPr>
      <w:r>
        <w:t>Removing the stand-down period does not affect the official number of people on benefit</w:t>
      </w:r>
    </w:p>
    <w:p w14:paraId="1EB22434" w14:textId="78D7F93A" w:rsidR="00E36035" w:rsidRDefault="00E36035" w:rsidP="00EC60A5">
      <w:pPr>
        <w:jc w:val="both"/>
      </w:pPr>
      <w:r w:rsidRPr="00F8565E">
        <w:t xml:space="preserve">The announcement </w:t>
      </w:r>
      <w:r>
        <w:t xml:space="preserve">about </w:t>
      </w:r>
      <w:r w:rsidRPr="00F8565E">
        <w:t xml:space="preserve">removing stand-downs </w:t>
      </w:r>
      <w:r>
        <w:t>was made</w:t>
      </w:r>
      <w:r w:rsidRPr="00F8565E">
        <w:t xml:space="preserve"> on 9 March 2020 and took effect two weeks </w:t>
      </w:r>
      <w:r>
        <w:t>later</w:t>
      </w:r>
      <w:r w:rsidRPr="00F8565E">
        <w:t xml:space="preserve">. Removal of the stand-down period does not affect the official count of people on benefit because they are already counted as ‘current’. People who were already on a stand-down period at the time had their benefits paid immediately, </w:t>
      </w:r>
      <w:r w:rsidRPr="00216929">
        <w:t xml:space="preserve">which </w:t>
      </w:r>
      <w:r>
        <w:t>provided</w:t>
      </w:r>
      <w:r w:rsidRPr="00216929">
        <w:t xml:space="preserve"> a one-off impact </w:t>
      </w:r>
      <w:r>
        <w:t>on</w:t>
      </w:r>
      <w:r w:rsidRPr="00216929">
        <w:t xml:space="preserve"> spending. This also affects new people coming onto benefit </w:t>
      </w:r>
      <w:r>
        <w:t xml:space="preserve">who </w:t>
      </w:r>
      <w:r w:rsidR="00A05EE0">
        <w:t xml:space="preserve">now </w:t>
      </w:r>
      <w:r>
        <w:t xml:space="preserve">do not have </w:t>
      </w:r>
      <w:r w:rsidRPr="00216929">
        <w:t xml:space="preserve">a stand-down period, </w:t>
      </w:r>
      <w:r>
        <w:t>and</w:t>
      </w:r>
      <w:r w:rsidRPr="00216929">
        <w:t xml:space="preserve"> means these people get their benefit payment sooner. The</w:t>
      </w:r>
      <w:r>
        <w:t>re were around 2,300 people on a benefit stand-down prior to the announcement.</w:t>
      </w:r>
      <w:r w:rsidRPr="00216929">
        <w:t xml:space="preserve"> </w:t>
      </w:r>
    </w:p>
    <w:p w14:paraId="33239357" w14:textId="146A23FD" w:rsidR="00E36035" w:rsidRPr="002C3CE9" w:rsidRDefault="00E36035" w:rsidP="00EC60A5">
      <w:pPr>
        <w:pStyle w:val="Heading4"/>
      </w:pPr>
      <w:r>
        <w:t>There was a one-off increase in the number of people on JS Work</w:t>
      </w:r>
      <w:r w:rsidR="00A05EE0">
        <w:t>-</w:t>
      </w:r>
      <w:r>
        <w:t>Ready due to medical certificate deferrals</w:t>
      </w:r>
    </w:p>
    <w:p w14:paraId="34243B94" w14:textId="289205B5" w:rsidR="00E36035" w:rsidRPr="00216929" w:rsidRDefault="00E36035" w:rsidP="00EC60A5">
      <w:pPr>
        <w:jc w:val="both"/>
      </w:pPr>
      <w:r w:rsidRPr="00216929">
        <w:t xml:space="preserve">In terms of the impact on benefit payments from medical certificate deferrals, we saw one-off increase of around 3,000 people </w:t>
      </w:r>
      <w:r>
        <w:t>being paid</w:t>
      </w:r>
      <w:r w:rsidRPr="00216929">
        <w:t xml:space="preserve"> JS Work</w:t>
      </w:r>
      <w:r>
        <w:t>-</w:t>
      </w:r>
      <w:r w:rsidRPr="00216929">
        <w:t>Ready in the last week of March 2020. This is because clients who were ‘expired’ on JS Health Condition or Disability transferred to be ‘current’ on JS Work</w:t>
      </w:r>
      <w:r>
        <w:t>-</w:t>
      </w:r>
      <w:r w:rsidRPr="00216929">
        <w:t xml:space="preserve">Ready </w:t>
      </w:r>
      <w:r>
        <w:t>to ensure continuity of payment since access to medical certificates was reduced</w:t>
      </w:r>
      <w:r w:rsidRPr="00216929">
        <w:t xml:space="preserve">. The change of status from ‘expired’ to ‘current’ </w:t>
      </w:r>
      <w:r>
        <w:t>increase</w:t>
      </w:r>
      <w:r w:rsidR="00A569E5">
        <w:t>d</w:t>
      </w:r>
      <w:r>
        <w:t xml:space="preserve"> the official number</w:t>
      </w:r>
      <w:r>
        <w:rPr>
          <w:rStyle w:val="FootnoteReference"/>
          <w:rFonts w:eastAsiaTheme="majorEastAsia"/>
        </w:rPr>
        <w:footnoteReference w:id="24"/>
      </w:r>
      <w:r>
        <w:t xml:space="preserve"> of people on a benefit as </w:t>
      </w:r>
      <w:r w:rsidRPr="00216929">
        <w:t xml:space="preserve">these people </w:t>
      </w:r>
      <w:r w:rsidR="00A569E5">
        <w:t xml:space="preserve">now </w:t>
      </w:r>
      <w:r w:rsidRPr="00216929">
        <w:t>receiv</w:t>
      </w:r>
      <w:r>
        <w:t>ed</w:t>
      </w:r>
      <w:r w:rsidRPr="00216929">
        <w:t xml:space="preserve"> payments for JS Work</w:t>
      </w:r>
      <w:r>
        <w:t>-</w:t>
      </w:r>
      <w:r w:rsidRPr="00216929">
        <w:t xml:space="preserve">Ready. </w:t>
      </w:r>
    </w:p>
    <w:p w14:paraId="6D0E6837" w14:textId="04F1C1E8" w:rsidR="00E36035" w:rsidRDefault="00E36035" w:rsidP="00EC60A5">
      <w:pPr>
        <w:jc w:val="both"/>
      </w:pPr>
      <w:r w:rsidRPr="00216929">
        <w:t xml:space="preserve">In July 2020 there was some growth in the number of people on JS Health Condition or Disability, likely related to the medical certificate deferrals. As medical certificates are not currently required, </w:t>
      </w:r>
      <w:r>
        <w:t xml:space="preserve">there are less frequent reviews and clients are </w:t>
      </w:r>
      <w:r w:rsidRPr="00216929">
        <w:t>therefore more likely to stay on JS Health Condition or Disability, rather than transferring to other benefits as they might under normal circumstances.</w:t>
      </w:r>
      <w:r>
        <w:t xml:space="preserve"> In particular, in June and July 2020 there were </w:t>
      </w:r>
      <w:r w:rsidR="00A05EE0">
        <w:t>fewer</w:t>
      </w:r>
      <w:r>
        <w:t xml:space="preserve"> people transferring from JS Health Condition or Disability to Supported Living Payment (SLP) as well as </w:t>
      </w:r>
      <w:r w:rsidR="00A05EE0">
        <w:t>fewer</w:t>
      </w:r>
      <w:r>
        <w:t xml:space="preserve"> people </w:t>
      </w:r>
      <w:r w:rsidR="00A05EE0">
        <w:t>moving</w:t>
      </w:r>
      <w:r>
        <w:t xml:space="preserve"> off benefit completely. However, it is difficult to quantify how much of the decrease in people </w:t>
      </w:r>
      <w:r w:rsidR="00A05EE0">
        <w:lastRenderedPageBreak/>
        <w:t>moving</w:t>
      </w:r>
      <w:r>
        <w:t xml:space="preserve"> off benefit completely </w:t>
      </w:r>
      <w:r w:rsidR="00A569E5">
        <w:t>is</w:t>
      </w:r>
      <w:r>
        <w:t xml:space="preserve"> because of the deferral to medical certificate reviews versus the lack of availability of jobs in a weak labour market.</w:t>
      </w:r>
    </w:p>
    <w:p w14:paraId="5CC102CF" w14:textId="77777777" w:rsidR="00E36035" w:rsidRPr="00FB07E0" w:rsidRDefault="00E36035" w:rsidP="00EC60A5">
      <w:pPr>
        <w:jc w:val="both"/>
      </w:pPr>
      <w:r w:rsidRPr="00FB07E0">
        <w:t xml:space="preserve">Compared to the impact that the weak labour market is having on demand for </w:t>
      </w:r>
      <w:r>
        <w:t xml:space="preserve">main </w:t>
      </w:r>
      <w:r w:rsidRPr="00FB07E0">
        <w:t>benefit payments, we think the operational changes are having a relatively lower impact overall.</w:t>
      </w:r>
    </w:p>
    <w:p w14:paraId="7395B0B6" w14:textId="77777777" w:rsidR="00E36035" w:rsidRPr="001A1B3F" w:rsidRDefault="00E36035" w:rsidP="00EC60A5">
      <w:pPr>
        <w:pStyle w:val="Heading3"/>
        <w:jc w:val="both"/>
      </w:pPr>
      <w:bookmarkStart w:id="101" w:name="_Toc50642949"/>
      <w:bookmarkStart w:id="102" w:name="_Toc51240811"/>
      <w:bookmarkStart w:id="103" w:name="_Toc51763877"/>
      <w:r>
        <w:t>We have not seen the full impact of the recession to main benefits yet</w:t>
      </w:r>
      <w:bookmarkEnd w:id="101"/>
      <w:bookmarkEnd w:id="102"/>
      <w:bookmarkEnd w:id="103"/>
    </w:p>
    <w:p w14:paraId="50A93D70" w14:textId="77777777" w:rsidR="00E36035" w:rsidRPr="00201F51" w:rsidRDefault="00E36035" w:rsidP="00EC60A5">
      <w:pPr>
        <w:jc w:val="both"/>
      </w:pPr>
      <w:r w:rsidRPr="00F8565E">
        <w:t>As coverage of the Wage Subsidy Extension and CIRP come to an end, we expect further growth in the number of people on a main benefit</w:t>
      </w:r>
      <w:r>
        <w:t xml:space="preserve">. </w:t>
      </w:r>
      <w:r w:rsidRPr="00201F51">
        <w:t xml:space="preserve">Until the end of 2020, many of </w:t>
      </w:r>
      <w:r>
        <w:t xml:space="preserve">the </w:t>
      </w:r>
      <w:r w:rsidRPr="00201F51">
        <w:t xml:space="preserve">policies to prevent job loss will still be in place and we </w:t>
      </w:r>
      <w:r w:rsidRPr="00216929">
        <w:t>are</w:t>
      </w:r>
      <w:r w:rsidRPr="00201F51">
        <w:t xml:space="preserve"> not likely to </w:t>
      </w:r>
      <w:r>
        <w:t>have seen</w:t>
      </w:r>
      <w:r w:rsidRPr="00201F51">
        <w:t xml:space="preserve"> the </w:t>
      </w:r>
      <w:r>
        <w:t xml:space="preserve">full effects of the </w:t>
      </w:r>
      <w:r w:rsidRPr="00201F51">
        <w:t xml:space="preserve">global recession </w:t>
      </w:r>
      <w:r>
        <w:t>on New Zealand’s economy yet</w:t>
      </w:r>
      <w:r w:rsidRPr="00201F51">
        <w:t xml:space="preserve">. Going forward, the employment rate is likely to be the key indicator of what is going on in the labour market from </w:t>
      </w:r>
      <w:r>
        <w:t xml:space="preserve">among </w:t>
      </w:r>
      <w:r w:rsidRPr="00201F51">
        <w:t>the official labour market statistics.</w:t>
      </w:r>
    </w:p>
    <w:p w14:paraId="07A6CD54" w14:textId="77777777" w:rsidR="00E36035" w:rsidRPr="00A57D44" w:rsidRDefault="00E36035" w:rsidP="00EC60A5">
      <w:pPr>
        <w:jc w:val="both"/>
      </w:pPr>
      <w:r w:rsidRPr="00A57D44">
        <w:t>There are high-level characteristics of people who are likely to require benefit assistance in a recession that are consistent with what we saw during the GFC. Trends in the types of people we expect to come onto benefit as the labour market deteriorates are:</w:t>
      </w:r>
    </w:p>
    <w:p w14:paraId="251FC89D" w14:textId="77777777" w:rsidR="00E36035" w:rsidRPr="00F8565E" w:rsidRDefault="00E36035" w:rsidP="00EC60A5">
      <w:pPr>
        <w:pStyle w:val="ListParagraph"/>
        <w:jc w:val="both"/>
      </w:pPr>
      <w:r w:rsidRPr="00F8565E">
        <w:t xml:space="preserve">A large number of people who are NZ European because they make up around 70 percent of the NZ population. </w:t>
      </w:r>
    </w:p>
    <w:p w14:paraId="4F5FF23F" w14:textId="49A889E4" w:rsidR="00E36035" w:rsidRPr="00F8565E" w:rsidRDefault="00E36035" w:rsidP="00EC60A5">
      <w:pPr>
        <w:pStyle w:val="ListParagraph"/>
        <w:jc w:val="both"/>
      </w:pPr>
      <w:r w:rsidRPr="00F8565E">
        <w:t xml:space="preserve">However, as a proportion of their population, </w:t>
      </w:r>
      <w:r>
        <w:t>M</w:t>
      </w:r>
      <w:r w:rsidRPr="000D7841">
        <w:t>ā</w:t>
      </w:r>
      <w:r>
        <w:t xml:space="preserve">ori </w:t>
      </w:r>
      <w:r w:rsidRPr="00F8565E">
        <w:t>are expected to be over-represented in the benefit system following COVID-19, and are more likely to have worse outcomes such as staying on benefit for longer</w:t>
      </w:r>
      <w:r>
        <w:t xml:space="preserve"> due to having a higher prevalence of risk factors, such as deprivation, previous benefit receipt, and lower educational outcomes.</w:t>
      </w:r>
    </w:p>
    <w:p w14:paraId="2EDD321B" w14:textId="1CFE679C" w:rsidR="00E36035" w:rsidRPr="00F8565E" w:rsidRDefault="00E36035" w:rsidP="00EC60A5">
      <w:pPr>
        <w:pStyle w:val="ListParagraph"/>
        <w:jc w:val="both"/>
      </w:pPr>
      <w:r>
        <w:t>I</w:t>
      </w:r>
      <w:r w:rsidRPr="00F8565E">
        <w:t xml:space="preserve">n volume terms, most of the growth is expected to be in Auckland as it makes up the largest share of NZ’s economy. Some regions that are more </w:t>
      </w:r>
      <w:r w:rsidR="00A05EE0">
        <w:t>susceptible</w:t>
      </w:r>
      <w:r w:rsidRPr="00F8565E">
        <w:t xml:space="preserve"> to closed borders impacting their main sectors, such as tourism in Queenstown</w:t>
      </w:r>
      <w:r>
        <w:t>,</w:t>
      </w:r>
      <w:r w:rsidRPr="00F8565E">
        <w:t xml:space="preserve"> are also more vulnerable than in past recessions.</w:t>
      </w:r>
    </w:p>
    <w:p w14:paraId="76D7F9C4" w14:textId="61BEDAE6" w:rsidR="00E36035" w:rsidRPr="00F8565E" w:rsidRDefault="00E36035" w:rsidP="00EC60A5">
      <w:pPr>
        <w:pStyle w:val="ListParagraph"/>
        <w:jc w:val="both"/>
      </w:pPr>
      <w:r>
        <w:t xml:space="preserve">Younger people (aged 18-34 years) have been more severely impacted by the economic shock and come onto benefit at a much </w:t>
      </w:r>
      <w:r w:rsidR="00A569E5">
        <w:t>greater rate</w:t>
      </w:r>
      <w:r>
        <w:t>, though all age groups have experienced significant increases. This likely reflects younger people’s position in the labour market where they generally have lower skill levels, more casual jobs, and a reduced ability/time to have built up savings to rely on.</w:t>
      </w:r>
    </w:p>
    <w:p w14:paraId="5695CABD" w14:textId="06A9369B" w:rsidR="00E36035" w:rsidRPr="00F8565E" w:rsidRDefault="00E36035" w:rsidP="00EC60A5">
      <w:pPr>
        <w:pStyle w:val="ListParagraph"/>
        <w:jc w:val="both"/>
      </w:pPr>
      <w:r w:rsidRPr="00F8565E">
        <w:t>There may also be a group of older people choosing to take early retirement in a weak labour market environment, which may result in a slight increase in the number of people on SLP. However, this is not likely to happen immediately because one of the criteria for SLP is that the client cannot work 15 hours or more per week, so they are likely to only come onto SLP after their health conditions have deteriorated significantly.</w:t>
      </w:r>
    </w:p>
    <w:p w14:paraId="4B8F9C49" w14:textId="77777777" w:rsidR="00E36035" w:rsidRDefault="00E36035" w:rsidP="00EC60A5">
      <w:pPr>
        <w:pStyle w:val="Heading3"/>
        <w:jc w:val="both"/>
      </w:pPr>
      <w:bookmarkStart w:id="104" w:name="_Toc50642950"/>
      <w:bookmarkStart w:id="105" w:name="_Toc51240812"/>
      <w:bookmarkStart w:id="106" w:name="_Toc51763878"/>
      <w:bookmarkStart w:id="107" w:name="_Hlk48809614"/>
      <w:r>
        <w:t>Accommodation Supplement growth has been driven by people who are not on a main benefit</w:t>
      </w:r>
      <w:bookmarkEnd w:id="104"/>
      <w:bookmarkEnd w:id="105"/>
      <w:bookmarkEnd w:id="106"/>
    </w:p>
    <w:p w14:paraId="5F6B7E60" w14:textId="1551C94B" w:rsidR="00E36035" w:rsidRPr="00216929" w:rsidRDefault="00E36035" w:rsidP="00EC60A5">
      <w:pPr>
        <w:jc w:val="both"/>
      </w:pPr>
      <w:r>
        <w:t xml:space="preserve">Supplementary assistance such as the Accommodation Supplement (AS) is available </w:t>
      </w:r>
      <w:r w:rsidRPr="00216929">
        <w:t xml:space="preserve">to support people both on a main benefit and not on a main benefit (but </w:t>
      </w:r>
      <w:r>
        <w:t xml:space="preserve">who </w:t>
      </w:r>
      <w:r w:rsidRPr="00216929">
        <w:t>earn income below a certain threshold). Demand for AS is generally driven by changes in the number of people on a main benefit, particularly JS, as most people who apply for a main benefit will also be eligible for AS.</w:t>
      </w:r>
    </w:p>
    <w:p w14:paraId="39DC0B42" w14:textId="360EF40A" w:rsidR="00E36035" w:rsidRPr="00216929" w:rsidRDefault="00E36035" w:rsidP="00EC60A5">
      <w:pPr>
        <w:jc w:val="both"/>
      </w:pPr>
      <w:r w:rsidRPr="00216929">
        <w:lastRenderedPageBreak/>
        <w:t xml:space="preserve">However, since around mid-June 2020, people not on a main benefit (non-beneficiaries) </w:t>
      </w:r>
      <w:r w:rsidR="00384A3A">
        <w:t>have driven</w:t>
      </w:r>
      <w:r w:rsidR="00384A3A" w:rsidRPr="00216929">
        <w:t xml:space="preserve"> </w:t>
      </w:r>
      <w:r w:rsidRPr="00216929">
        <w:t xml:space="preserve">the growth in the number of people receiving AS. This is likely related to the introduction of CIRP and people coming onto </w:t>
      </w:r>
      <w:r w:rsidR="00384A3A" w:rsidRPr="00216929">
        <w:t>th</w:t>
      </w:r>
      <w:r w:rsidR="00384A3A">
        <w:t>is</w:t>
      </w:r>
      <w:r w:rsidR="00384A3A" w:rsidRPr="00216929">
        <w:t xml:space="preserve"> </w:t>
      </w:r>
      <w:r w:rsidRPr="00216929">
        <w:t xml:space="preserve">payment also </w:t>
      </w:r>
      <w:r>
        <w:t>qualifying for the</w:t>
      </w:r>
      <w:r w:rsidRPr="00216929">
        <w:t xml:space="preserve"> AS (the CIRP is not considered a main benefit).</w:t>
      </w:r>
    </w:p>
    <w:p w14:paraId="49A8A969" w14:textId="77777777" w:rsidR="00E36035" w:rsidRPr="00216929" w:rsidRDefault="00E36035" w:rsidP="00EC60A5">
      <w:pPr>
        <w:jc w:val="both"/>
      </w:pPr>
      <w:r w:rsidRPr="00216929">
        <w:t xml:space="preserve">Interestingly, </w:t>
      </w:r>
      <w:r>
        <w:t>the</w:t>
      </w:r>
      <w:r w:rsidRPr="00216929">
        <w:t xml:space="preserve"> average payment rate of AS</w:t>
      </w:r>
      <w:r>
        <w:t xml:space="preserve"> for people</w:t>
      </w:r>
      <w:r w:rsidRPr="00216929">
        <w:t xml:space="preserve"> who are not on a main benefit has been falling since mid-June 2020. </w:t>
      </w:r>
    </w:p>
    <w:p w14:paraId="6677F117" w14:textId="7DA3FC3D" w:rsidR="00E36035" w:rsidRPr="00216929" w:rsidRDefault="00E36035" w:rsidP="00EC60A5">
      <w:pPr>
        <w:jc w:val="both"/>
      </w:pPr>
      <w:r w:rsidRPr="00216929">
        <w:t xml:space="preserve">Usually, the average payment of AS to clients who are not on a main benefit </w:t>
      </w:r>
      <w:r>
        <w:t>is</w:t>
      </w:r>
      <w:r w:rsidRPr="00216929">
        <w:t xml:space="preserve"> higher (compared to people on a main benefit) and increase</w:t>
      </w:r>
      <w:r w:rsidR="009C0D3D">
        <w:t>s</w:t>
      </w:r>
      <w:r w:rsidRPr="00216929">
        <w:t xml:space="preserve"> over time, as they will generally be working and may have committed to higher housing costs. </w:t>
      </w:r>
    </w:p>
    <w:p w14:paraId="2268F84B" w14:textId="2F3D7D38" w:rsidR="00E36035" w:rsidRPr="00216929" w:rsidRDefault="00E36035" w:rsidP="00EC60A5">
      <w:pPr>
        <w:jc w:val="both"/>
      </w:pPr>
      <w:r w:rsidRPr="00216929">
        <w:t>However, a large proportion of people on CIRP who are also getting AS are boarding</w:t>
      </w:r>
      <w:r>
        <w:t>, and have</w:t>
      </w:r>
      <w:r w:rsidRPr="00216929">
        <w:t xml:space="preserve"> lower housing costs which is contributing to the falling trend for non</w:t>
      </w:r>
      <w:r w:rsidR="00384A3A">
        <w:t>-</w:t>
      </w:r>
      <w:r w:rsidRPr="00216929">
        <w:t>beneficiary average payment rate of AS. Many people who are losing their jobs from COVID-19 and going onto the CIRP may be more inclined to commit to a boarding</w:t>
      </w:r>
      <w:r>
        <w:t xml:space="preserve"> arrangement</w:t>
      </w:r>
      <w:r w:rsidRPr="00216929">
        <w:t xml:space="preserve"> for housing, as they tend to be younger and may be more flexible with their living arrangements.</w:t>
      </w:r>
    </w:p>
    <w:p w14:paraId="300A0F2B" w14:textId="77777777" w:rsidR="00E36035" w:rsidRDefault="00E36035" w:rsidP="00EC60A5">
      <w:pPr>
        <w:pStyle w:val="Heading3"/>
        <w:jc w:val="both"/>
      </w:pPr>
      <w:bookmarkStart w:id="108" w:name="_Toc50642951"/>
      <w:bookmarkStart w:id="109" w:name="_Toc51240813"/>
      <w:bookmarkStart w:id="110" w:name="_Toc51763879"/>
      <w:bookmarkEnd w:id="107"/>
      <w:r>
        <w:t>Hardship grants</w:t>
      </w:r>
      <w:r w:rsidRPr="007F6A37">
        <w:t xml:space="preserve"> </w:t>
      </w:r>
      <w:r>
        <w:t>increased during the lockdown</w:t>
      </w:r>
      <w:bookmarkEnd w:id="108"/>
      <w:bookmarkEnd w:id="109"/>
      <w:bookmarkEnd w:id="110"/>
    </w:p>
    <w:p w14:paraId="0CF4A7C3" w14:textId="77777777" w:rsidR="00E36035" w:rsidRPr="00216929" w:rsidRDefault="00E36035" w:rsidP="00EC60A5">
      <w:pPr>
        <w:jc w:val="both"/>
      </w:pPr>
      <w:r w:rsidRPr="00926B25">
        <w:t>There are several factors that can impact the number of one-off hardship grants made by MSD, including changes in material and financial hardship as well as changes in public awar</w:t>
      </w:r>
      <w:r w:rsidRPr="00216929">
        <w:t>eness, acceptance and the accessibility of hardship assistance.</w:t>
      </w:r>
    </w:p>
    <w:p w14:paraId="20D48DBA" w14:textId="3FD9F71B" w:rsidR="00E36035" w:rsidRPr="00F8565E" w:rsidRDefault="00E36035" w:rsidP="00EC60A5">
      <w:pPr>
        <w:jc w:val="both"/>
      </w:pPr>
      <w:r w:rsidRPr="00216929">
        <w:t>Immediately prior to the lockdown period, around 30,000 Special Needs Grants (SNGs) were made weekly by MSD. This increased significantly in late March 2020 and early April 2020, peaking at around 72,000 grants for the week ending 10 April 2020. The number of SNGs made has since declined gradually, remaining elevated but closer to pre</w:t>
      </w:r>
      <w:r w:rsidR="009C0D3D">
        <w:t>-</w:t>
      </w:r>
      <w:r>
        <w:t>lockdown</w:t>
      </w:r>
      <w:r w:rsidRPr="00216929">
        <w:t xml:space="preserve"> levels. This is shown below in </w:t>
      </w:r>
      <w:r w:rsidRPr="00216929">
        <w:fldChar w:fldCharType="begin"/>
      </w:r>
      <w:r w:rsidRPr="00216929">
        <w:instrText xml:space="preserve"> REF _Ref48559923 \h  \* MERGEFORMAT </w:instrText>
      </w:r>
      <w:r w:rsidRPr="00216929">
        <w:fldChar w:fldCharType="separate"/>
      </w:r>
      <w:r w:rsidR="0057304A">
        <w:t>Figure 7</w:t>
      </w:r>
      <w:r w:rsidRPr="00216929">
        <w:fldChar w:fldCharType="end"/>
      </w:r>
      <w:r w:rsidRPr="00F8565E">
        <w:t>.</w:t>
      </w:r>
    </w:p>
    <w:p w14:paraId="154DE0A7" w14:textId="06DF8A43" w:rsidR="00E36035" w:rsidRDefault="00E36035" w:rsidP="00EC60A5">
      <w:pPr>
        <w:pStyle w:val="Caption"/>
        <w:keepNext/>
        <w:spacing w:after="0"/>
        <w:jc w:val="both"/>
      </w:pPr>
      <w:bookmarkStart w:id="111" w:name="_Ref48559923"/>
      <w:bookmarkStart w:id="112" w:name="_Toc51766321"/>
      <w:r>
        <w:t xml:space="preserve">Figure </w:t>
      </w:r>
      <w:fldSimple w:instr=" SEQ Figure \* ARABIC ">
        <w:r w:rsidR="0057304A">
          <w:rPr>
            <w:noProof/>
          </w:rPr>
          <w:t>7</w:t>
        </w:r>
      </w:fldSimple>
      <w:bookmarkEnd w:id="111"/>
      <w:r>
        <w:t xml:space="preserve"> – The number of weekly hardship grants increased in late March and early April 2020 as New Zealand went into alert level 4 lockdown and responded with an increase to SNG food limits.</w:t>
      </w:r>
      <w:bookmarkEnd w:id="112"/>
    </w:p>
    <w:p w14:paraId="66081ED6" w14:textId="3B8A5135" w:rsidR="00E36035" w:rsidRDefault="00E36035" w:rsidP="00EC60A5">
      <w:pPr>
        <w:spacing w:after="0"/>
        <w:jc w:val="both"/>
      </w:pPr>
      <w:r w:rsidRPr="00584C7C">
        <w:rPr>
          <w:noProof/>
        </w:rPr>
        <w:drawing>
          <wp:inline distT="0" distB="0" distL="0" distR="0" wp14:anchorId="445A4535" wp14:editId="005D64EC">
            <wp:extent cx="5490845" cy="35840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0845" cy="3584003"/>
                    </a:xfrm>
                    <a:prstGeom prst="rect">
                      <a:avLst/>
                    </a:prstGeom>
                    <a:noFill/>
                    <a:ln>
                      <a:noFill/>
                    </a:ln>
                  </pic:spPr>
                </pic:pic>
              </a:graphicData>
            </a:graphic>
          </wp:inline>
        </w:drawing>
      </w:r>
    </w:p>
    <w:p w14:paraId="3DA6AB73" w14:textId="77777777" w:rsidR="00E36035" w:rsidRDefault="00E36035" w:rsidP="00EC60A5">
      <w:pPr>
        <w:jc w:val="both"/>
      </w:pPr>
      <w:r w:rsidRPr="00EA3A07">
        <w:lastRenderedPageBreak/>
        <w:t xml:space="preserve">The lockdown period presented some additional challenges to low-income </w:t>
      </w:r>
      <w:r>
        <w:t>people</w:t>
      </w:r>
      <w:r w:rsidRPr="00EA3A07">
        <w:t xml:space="preserve"> and families, many of whom were already struggling to meet essential living costs prior to COVID-19</w:t>
      </w:r>
      <w:r>
        <w:rPr>
          <w:rStyle w:val="FootnoteReference"/>
        </w:rPr>
        <w:footnoteReference w:id="25"/>
      </w:r>
      <w:r w:rsidRPr="00EA3A07">
        <w:t xml:space="preserve">. Low-income </w:t>
      </w:r>
      <w:r>
        <w:t>people</w:t>
      </w:r>
      <w:r w:rsidRPr="00EA3A07">
        <w:t xml:space="preserve"> and families were adversely affected by movement restrictions reducing access to lower cost food sources (e.g. friends and family, school and community food providers) and bulk purchases of food due to fears </w:t>
      </w:r>
      <w:r w:rsidRPr="00216929">
        <w:t>of</w:t>
      </w:r>
      <w:r w:rsidRPr="00EA3A07">
        <w:t xml:space="preserve"> supply chain disruptions </w:t>
      </w:r>
      <w:r>
        <w:t>reducing food availability. The increase in hardship grants partly reflects the increased food insecurity clients may have faced over lockdown, despite an increased investment in NGO providers to distribute food parcels.</w:t>
      </w:r>
    </w:p>
    <w:p w14:paraId="3E0C1D2A" w14:textId="77777777" w:rsidR="00E36035" w:rsidRPr="00B174E7" w:rsidRDefault="00E36035" w:rsidP="00EC60A5">
      <w:pPr>
        <w:jc w:val="both"/>
      </w:pPr>
      <w:r>
        <w:t>On the other hand, the number of Advances saw a diverging trend from SNGs in the early stages of the lockdown. This is likely due to access issues during the level 4 lockdown for many reasons for which an Advance is granted, such as dentures, glasses, hearing aids and car repairs.</w:t>
      </w:r>
    </w:p>
    <w:p w14:paraId="71C7AB8C" w14:textId="77777777" w:rsidR="00E36035" w:rsidRPr="003474CD" w:rsidRDefault="00E36035" w:rsidP="00EC60A5">
      <w:pPr>
        <w:pStyle w:val="Heading3"/>
        <w:jc w:val="both"/>
      </w:pPr>
      <w:bookmarkStart w:id="113" w:name="_Toc50642952"/>
      <w:bookmarkStart w:id="114" w:name="_Toc51240814"/>
      <w:bookmarkStart w:id="115" w:name="_Toc51763880"/>
      <w:r w:rsidRPr="003474CD">
        <w:t xml:space="preserve">Increased access to extra support online meant that MSD could meet </w:t>
      </w:r>
      <w:r>
        <w:t>high</w:t>
      </w:r>
      <w:r w:rsidRPr="003474CD">
        <w:t xml:space="preserve"> demand</w:t>
      </w:r>
      <w:bookmarkEnd w:id="113"/>
      <w:bookmarkEnd w:id="114"/>
      <w:bookmarkEnd w:id="115"/>
    </w:p>
    <w:p w14:paraId="140D0B27" w14:textId="5BD20FBB" w:rsidR="00E36035" w:rsidRDefault="00E36035" w:rsidP="00EC60A5">
      <w:pPr>
        <w:jc w:val="both"/>
      </w:pPr>
      <w:r w:rsidRPr="00B276F7">
        <w:t xml:space="preserve">As part of MSD’s immediate response to </w:t>
      </w:r>
      <w:r>
        <w:t xml:space="preserve">the unprecedented demand presented by </w:t>
      </w:r>
      <w:r w:rsidRPr="00B276F7">
        <w:t xml:space="preserve">COVID-19, </w:t>
      </w:r>
      <w:r>
        <w:t xml:space="preserve">it temporarily </w:t>
      </w:r>
      <w:r w:rsidRPr="00B276F7">
        <w:t>increase</w:t>
      </w:r>
      <w:r>
        <w:t>d</w:t>
      </w:r>
      <w:r w:rsidRPr="00B276F7">
        <w:t xml:space="preserve"> each food grant limit category by $400 in a 26-week period, and enabled people to access two food grants per week (instead of one per week</w:t>
      </w:r>
      <w:r>
        <w:t xml:space="preserve"> that people are able to access under normal circumstances</w:t>
      </w:r>
      <w:r w:rsidRPr="00B276F7">
        <w:t>).</w:t>
      </w:r>
      <w:r>
        <w:t xml:space="preserve"> Additionally, people were able to access more food grants online or over the phone during the lockdown while MSD service centres were shut. Typically, some people may have been referred to a case manager if they were over their food grant dollar limit, but during the lockdown those barriers were removed.</w:t>
      </w:r>
    </w:p>
    <w:p w14:paraId="5371A338" w14:textId="77777777" w:rsidR="00E36035" w:rsidRPr="00B276F7" w:rsidRDefault="00E36035" w:rsidP="00EC60A5">
      <w:pPr>
        <w:jc w:val="both"/>
      </w:pPr>
      <w:r w:rsidRPr="00B276F7">
        <w:t xml:space="preserve">This change was made from 1 April 2020 (during alert level </w:t>
      </w:r>
      <w:r>
        <w:t>4</w:t>
      </w:r>
      <w:r w:rsidRPr="00B276F7">
        <w:t>) to:</w:t>
      </w:r>
    </w:p>
    <w:p w14:paraId="498F8332" w14:textId="77777777" w:rsidR="00E36035" w:rsidRPr="00B276F7" w:rsidRDefault="00E36035" w:rsidP="00EC60A5">
      <w:pPr>
        <w:pStyle w:val="ListParagraph"/>
        <w:jc w:val="both"/>
      </w:pPr>
      <w:r w:rsidRPr="00B276F7">
        <w:t>Ensure that those who had an immediate and essential need for food were able to access financial assistance without delay</w:t>
      </w:r>
    </w:p>
    <w:p w14:paraId="21A8E590" w14:textId="24B24D28" w:rsidR="00E36035" w:rsidRDefault="00E36035" w:rsidP="00EC60A5">
      <w:pPr>
        <w:pStyle w:val="ListParagraph"/>
        <w:jc w:val="both"/>
      </w:pPr>
      <w:r w:rsidRPr="00B276F7">
        <w:t xml:space="preserve">Divert some clients away from contact centres and the frontline to </w:t>
      </w:r>
      <w:proofErr w:type="spellStart"/>
      <w:r w:rsidRPr="00B276F7">
        <w:t>MyMSD</w:t>
      </w:r>
      <w:proofErr w:type="spellEnd"/>
      <w:r w:rsidRPr="00B276F7">
        <w:t xml:space="preserve"> for food grants, </w:t>
      </w:r>
      <w:r w:rsidR="00453E6C">
        <w:t>freeing up</w:t>
      </w:r>
      <w:r w:rsidR="00453E6C" w:rsidRPr="00B276F7">
        <w:t xml:space="preserve"> </w:t>
      </w:r>
      <w:r w:rsidRPr="00B276F7">
        <w:t xml:space="preserve">MSD </w:t>
      </w:r>
      <w:r w:rsidR="00453E6C">
        <w:t xml:space="preserve">staff </w:t>
      </w:r>
      <w:r w:rsidRPr="00B276F7">
        <w:t>to manage the unprecedented demand for financial assistance as a result of COVID-19.</w:t>
      </w:r>
    </w:p>
    <w:p w14:paraId="677B9B54" w14:textId="3E2F80CF" w:rsidR="00E36035" w:rsidRPr="00C73DE6" w:rsidRDefault="00E36035" w:rsidP="00EC60A5">
      <w:pPr>
        <w:jc w:val="both"/>
      </w:pPr>
      <w:r>
        <w:t xml:space="preserve">The impact of increasing the amount people could access through </w:t>
      </w:r>
      <w:proofErr w:type="spellStart"/>
      <w:r>
        <w:t>MyMSD</w:t>
      </w:r>
      <w:proofErr w:type="spellEnd"/>
      <w:r>
        <w:t xml:space="preserve"> for food assistance is likely to have led to </w:t>
      </w:r>
      <w:r w:rsidR="006C2F62">
        <w:t>the</w:t>
      </w:r>
      <w:r>
        <w:t xml:space="preserve"> pronounced growth in the SNGs that were accessed during lockdown (compared to </w:t>
      </w:r>
      <w:r w:rsidRPr="00C73DE6">
        <w:t xml:space="preserve">if that change </w:t>
      </w:r>
      <w:r w:rsidR="006C2F62">
        <w:t>had</w:t>
      </w:r>
      <w:r w:rsidRPr="00C73DE6">
        <w:t xml:space="preserve"> not occur</w:t>
      </w:r>
      <w:r w:rsidR="006C2F62">
        <w:t>red</w:t>
      </w:r>
      <w:r w:rsidRPr="00C73DE6">
        <w:t>).</w:t>
      </w:r>
    </w:p>
    <w:p w14:paraId="0C02D370" w14:textId="6746B14D" w:rsidR="00E36035" w:rsidRDefault="00E36035" w:rsidP="00EC60A5">
      <w:pPr>
        <w:jc w:val="both"/>
      </w:pPr>
      <w:r w:rsidRPr="00C73DE6">
        <w:t xml:space="preserve">The people we are seeing accessing hardship grants are more likely to be </w:t>
      </w:r>
      <w:r>
        <w:t>M</w:t>
      </w:r>
      <w:r w:rsidRPr="000D7841">
        <w:t>ā</w:t>
      </w:r>
      <w:r>
        <w:t>ori</w:t>
      </w:r>
      <w:r w:rsidRPr="00C73DE6">
        <w:t xml:space="preserve">, </w:t>
      </w:r>
      <w:r w:rsidR="006C2F62">
        <w:t>whereas</w:t>
      </w:r>
      <w:r w:rsidRPr="00C73DE6">
        <w:t xml:space="preserve"> NZ European</w:t>
      </w:r>
      <w:r w:rsidR="006C2F62">
        <w:t>s</w:t>
      </w:r>
      <w:r w:rsidRPr="00C73DE6">
        <w:t xml:space="preserve"> are more likely to require main benefit assistance. </w:t>
      </w:r>
      <w:r w:rsidR="00881E84">
        <w:t xml:space="preserve">This </w:t>
      </w:r>
      <w:r w:rsidR="006E003E">
        <w:t>may</w:t>
      </w:r>
      <w:r w:rsidR="00881E84">
        <w:t xml:space="preserve"> </w:t>
      </w:r>
      <w:r w:rsidR="006E003E">
        <w:t xml:space="preserve">be </w:t>
      </w:r>
      <w:r w:rsidR="00881E84">
        <w:t>because m</w:t>
      </w:r>
      <w:r w:rsidR="006C2F62">
        <w:t>ost</w:t>
      </w:r>
      <w:r w:rsidRPr="00C73DE6">
        <w:t xml:space="preserve"> of the </w:t>
      </w:r>
      <w:r w:rsidR="00881E84">
        <w:t>demand for</w:t>
      </w:r>
      <w:r w:rsidRPr="00C73DE6">
        <w:t xml:space="preserve"> hardship grants is </w:t>
      </w:r>
      <w:r w:rsidR="006C2F62">
        <w:t>from</w:t>
      </w:r>
      <w:r w:rsidRPr="00C73DE6">
        <w:t xml:space="preserve"> people</w:t>
      </w:r>
      <w:r w:rsidR="00881E84">
        <w:t xml:space="preserve"> who were already on the benefit system and </w:t>
      </w:r>
      <w:r w:rsidR="00453E6C">
        <w:t xml:space="preserve">who </w:t>
      </w:r>
      <w:r w:rsidR="00881E84">
        <w:t>are less likely to have experienced an income shock, as they were</w:t>
      </w:r>
      <w:r w:rsidRPr="00C73DE6">
        <w:t xml:space="preserve"> </w:t>
      </w:r>
      <w:r w:rsidR="006C2F62">
        <w:t>not in employment when lockdown was introduced</w:t>
      </w:r>
      <w:r w:rsidR="00881E84">
        <w:t>.</w:t>
      </w:r>
    </w:p>
    <w:p w14:paraId="63763512" w14:textId="682A0A42" w:rsidR="00E36035" w:rsidRPr="001B4E18" w:rsidRDefault="00E36035" w:rsidP="00EC60A5">
      <w:pPr>
        <w:jc w:val="both"/>
      </w:pPr>
      <w:r>
        <w:t>Growth in hardship grants sinc</w:t>
      </w:r>
      <w:r w:rsidRPr="00C73DE6">
        <w:t>e April 2020 has mainly been driven by a higher number of grants per person, and only slightly due to</w:t>
      </w:r>
      <w:r>
        <w:t xml:space="preserve"> more people on benefit. We do not expect to see a</w:t>
      </w:r>
      <w:r w:rsidR="00453E6C">
        <w:t>n increase</w:t>
      </w:r>
      <w:r w:rsidR="006F4E2A">
        <w:t xml:space="preserve"> </w:t>
      </w:r>
      <w:r>
        <w:t xml:space="preserve">in hardship grants </w:t>
      </w:r>
      <w:r w:rsidRPr="00C73DE6">
        <w:t>immediately</w:t>
      </w:r>
      <w:r>
        <w:t xml:space="preserve"> after any significant rises in the number of people on main benefits, as those people may only need hardship assistance in the slightly longer-term.</w:t>
      </w:r>
    </w:p>
    <w:p w14:paraId="48DED505" w14:textId="21CBD935" w:rsidR="00E36035" w:rsidRPr="00B174E7" w:rsidRDefault="00AC2399" w:rsidP="00EC60A5">
      <w:pPr>
        <w:pStyle w:val="Heading2"/>
        <w:jc w:val="both"/>
      </w:pPr>
      <w:bookmarkStart w:id="116" w:name="_Toc51763881"/>
      <w:r>
        <w:t>Ongoing global and domestic uncertainty</w:t>
      </w:r>
      <w:bookmarkEnd w:id="116"/>
    </w:p>
    <w:p w14:paraId="279F06B8" w14:textId="77777777" w:rsidR="00E36035" w:rsidRDefault="00E36035" w:rsidP="00EC60A5">
      <w:pPr>
        <w:jc w:val="both"/>
      </w:pPr>
      <w:r>
        <w:t xml:space="preserve">There is a high level of uncertainty surrounding how the pandemic will play out globally and domestically, which will also affect the economic outlook and any subsequent </w:t>
      </w:r>
      <w:r>
        <w:lastRenderedPageBreak/>
        <w:t xml:space="preserve">policy or operational actions. </w:t>
      </w:r>
      <w:r w:rsidRPr="00C73DE6">
        <w:t>This</w:t>
      </w:r>
      <w:r>
        <w:t xml:space="preserve"> flows into uncertainty about how demand for benefit payments will be affected. The benefit number forecasts will be released on MSD’s COVID-19 Reporting page when the PREFU 2020 is published on 16 September 2020.</w:t>
      </w:r>
    </w:p>
    <w:p w14:paraId="51F984E6" w14:textId="77777777" w:rsidR="00E36035" w:rsidRPr="003C5858" w:rsidRDefault="00E36035" w:rsidP="00E36035">
      <w:pPr>
        <w:spacing w:before="0" w:after="0"/>
        <w:rPr>
          <w:color w:val="000000"/>
          <w:kern w:val="22"/>
        </w:rPr>
      </w:pPr>
      <w:r>
        <w:br w:type="page"/>
      </w:r>
    </w:p>
    <w:p w14:paraId="7367D5B3" w14:textId="0565B620" w:rsidR="00737178" w:rsidRDefault="00E36035" w:rsidP="00737178">
      <w:pPr>
        <w:pStyle w:val="Heading2"/>
      </w:pPr>
      <w:bookmarkStart w:id="117" w:name="_Toc51763882"/>
      <w:bookmarkStart w:id="118" w:name="_Ref48047769"/>
      <w:bookmarkStart w:id="119" w:name="_Ref48745369"/>
      <w:r>
        <w:lastRenderedPageBreak/>
        <w:t xml:space="preserve">Appendix </w:t>
      </w:r>
      <w:fldSimple w:instr=" SEQ Appendix \* ARABIC ">
        <w:r w:rsidR="0057304A">
          <w:rPr>
            <w:noProof/>
          </w:rPr>
          <w:t>1</w:t>
        </w:r>
        <w:bookmarkEnd w:id="117"/>
      </w:fldSimple>
      <w:bookmarkEnd w:id="118"/>
      <w:bookmarkEnd w:id="119"/>
    </w:p>
    <w:p w14:paraId="6C6C5427" w14:textId="08244B42" w:rsidR="00E36035" w:rsidRPr="00D77A96" w:rsidRDefault="00E36035" w:rsidP="00E36035">
      <w:pPr>
        <w:pStyle w:val="Heading3"/>
      </w:pPr>
      <w:bookmarkStart w:id="120" w:name="_Toc51240817"/>
      <w:bookmarkStart w:id="121" w:name="_Toc51763883"/>
      <w:r>
        <w:t>Summary of MSD related policy and operational changes that affected benefit demand</w:t>
      </w:r>
      <w:bookmarkEnd w:id="120"/>
      <w:bookmarkEnd w:id="121"/>
    </w:p>
    <w:p w14:paraId="12E54BE4" w14:textId="2B7DCF7B" w:rsidR="00E36035" w:rsidRPr="00EF3369" w:rsidRDefault="00E36035" w:rsidP="00E36035">
      <w:pPr>
        <w:pStyle w:val="Caption"/>
        <w:keepNext/>
        <w:spacing w:after="0"/>
        <w:rPr>
          <w:color w:val="auto"/>
        </w:rPr>
      </w:pPr>
      <w:bookmarkStart w:id="122" w:name="_Ref48047626"/>
      <w:bookmarkStart w:id="123" w:name="_Toc51767575"/>
      <w:r w:rsidRPr="00EF3369">
        <w:rPr>
          <w:color w:val="auto"/>
        </w:rPr>
        <w:t xml:space="preserve">Table </w:t>
      </w:r>
      <w:r w:rsidRPr="00EF3369">
        <w:rPr>
          <w:color w:val="auto"/>
        </w:rPr>
        <w:fldChar w:fldCharType="begin"/>
      </w:r>
      <w:r w:rsidRPr="00EF3369">
        <w:rPr>
          <w:color w:val="auto"/>
        </w:rPr>
        <w:instrText xml:space="preserve"> SEQ Table \* ARABIC </w:instrText>
      </w:r>
      <w:r w:rsidRPr="00EF3369">
        <w:rPr>
          <w:color w:val="auto"/>
        </w:rPr>
        <w:fldChar w:fldCharType="separate"/>
      </w:r>
      <w:r w:rsidR="0057304A">
        <w:rPr>
          <w:noProof/>
          <w:color w:val="auto"/>
        </w:rPr>
        <w:t>1</w:t>
      </w:r>
      <w:r w:rsidRPr="00EF3369">
        <w:rPr>
          <w:noProof/>
          <w:color w:val="auto"/>
        </w:rPr>
        <w:fldChar w:fldCharType="end"/>
      </w:r>
      <w:bookmarkEnd w:id="122"/>
      <w:r>
        <w:rPr>
          <w:noProof/>
          <w:color w:val="auto"/>
        </w:rPr>
        <w:t xml:space="preserve"> – Summary of MSD related policy and operational initiatives in response to COVID-19 that affected benefit demand</w:t>
      </w:r>
      <w:bookmarkEnd w:id="123"/>
      <w:r w:rsidR="00CA14D0">
        <w:rPr>
          <w:noProof/>
          <w:color w:val="auto"/>
        </w:rPr>
        <w:br/>
      </w:r>
    </w:p>
    <w:tbl>
      <w:tblPr>
        <w:tblStyle w:val="TableGrid"/>
        <w:tblW w:w="9351" w:type="dxa"/>
        <w:tblLook w:val="04A0" w:firstRow="1" w:lastRow="0" w:firstColumn="1" w:lastColumn="0" w:noHBand="0" w:noVBand="1"/>
      </w:tblPr>
      <w:tblGrid>
        <w:gridCol w:w="2122"/>
        <w:gridCol w:w="5103"/>
        <w:gridCol w:w="2126"/>
      </w:tblGrid>
      <w:tr w:rsidR="00E36035" w:rsidRPr="005C49EA" w14:paraId="4A3237C7" w14:textId="77777777" w:rsidTr="00E36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19D16B7" w14:textId="77777777" w:rsidR="00E36035" w:rsidRPr="005C49EA" w:rsidRDefault="00E36035" w:rsidP="00E36035">
            <w:pPr>
              <w:pStyle w:val="Heading3"/>
              <w:keepNext w:val="0"/>
              <w:widowControl w:val="0"/>
              <w:outlineLvl w:val="2"/>
              <w:rPr>
                <w:b/>
                <w:sz w:val="18"/>
                <w:szCs w:val="22"/>
              </w:rPr>
            </w:pPr>
            <w:bookmarkStart w:id="124" w:name="_Toc50642355"/>
            <w:bookmarkStart w:id="125" w:name="_Toc50642955"/>
            <w:bookmarkStart w:id="126" w:name="_Toc51240818"/>
            <w:bookmarkStart w:id="127" w:name="_Toc51763884"/>
            <w:r w:rsidRPr="005C49EA">
              <w:rPr>
                <w:b/>
                <w:sz w:val="18"/>
                <w:szCs w:val="22"/>
              </w:rPr>
              <w:t>Initiative</w:t>
            </w:r>
            <w:bookmarkEnd w:id="124"/>
            <w:bookmarkEnd w:id="125"/>
            <w:bookmarkEnd w:id="126"/>
            <w:bookmarkEnd w:id="127"/>
          </w:p>
        </w:tc>
        <w:tc>
          <w:tcPr>
            <w:tcW w:w="5103" w:type="dxa"/>
          </w:tcPr>
          <w:p w14:paraId="027D1664" w14:textId="77777777" w:rsidR="00E36035" w:rsidRPr="005C49EA" w:rsidRDefault="00E36035" w:rsidP="00E36035">
            <w:pPr>
              <w:pStyle w:val="Heading3"/>
              <w:keepNext w:val="0"/>
              <w:widowControl w:val="0"/>
              <w:outlineLvl w:val="2"/>
              <w:cnfStyle w:val="100000000000" w:firstRow="1" w:lastRow="0" w:firstColumn="0" w:lastColumn="0" w:oddVBand="0" w:evenVBand="0" w:oddHBand="0" w:evenHBand="0" w:firstRowFirstColumn="0" w:firstRowLastColumn="0" w:lastRowFirstColumn="0" w:lastRowLastColumn="0"/>
              <w:rPr>
                <w:b/>
                <w:sz w:val="18"/>
                <w:szCs w:val="22"/>
              </w:rPr>
            </w:pPr>
            <w:bookmarkStart w:id="128" w:name="_Toc50642356"/>
            <w:bookmarkStart w:id="129" w:name="_Toc50642956"/>
            <w:bookmarkStart w:id="130" w:name="_Toc51240819"/>
            <w:bookmarkStart w:id="131" w:name="_Toc51763885"/>
            <w:r w:rsidRPr="005C49EA">
              <w:rPr>
                <w:b/>
                <w:sz w:val="18"/>
                <w:szCs w:val="22"/>
              </w:rPr>
              <w:t>Description</w:t>
            </w:r>
            <w:bookmarkEnd w:id="128"/>
            <w:bookmarkEnd w:id="129"/>
            <w:bookmarkEnd w:id="130"/>
            <w:bookmarkEnd w:id="131"/>
          </w:p>
        </w:tc>
        <w:tc>
          <w:tcPr>
            <w:tcW w:w="2126" w:type="dxa"/>
          </w:tcPr>
          <w:p w14:paraId="13D0BEBE" w14:textId="77777777" w:rsidR="00E36035" w:rsidRPr="005C49EA" w:rsidRDefault="00E36035" w:rsidP="00E36035">
            <w:pPr>
              <w:pStyle w:val="Heading3"/>
              <w:keepNext w:val="0"/>
              <w:widowControl w:val="0"/>
              <w:outlineLvl w:val="2"/>
              <w:cnfStyle w:val="100000000000" w:firstRow="1" w:lastRow="0" w:firstColumn="0" w:lastColumn="0" w:oddVBand="0" w:evenVBand="0" w:oddHBand="0" w:evenHBand="0" w:firstRowFirstColumn="0" w:firstRowLastColumn="0" w:lastRowFirstColumn="0" w:lastRowLastColumn="0"/>
              <w:rPr>
                <w:b/>
                <w:sz w:val="18"/>
                <w:szCs w:val="22"/>
              </w:rPr>
            </w:pPr>
            <w:bookmarkStart w:id="132" w:name="_Toc50642357"/>
            <w:bookmarkStart w:id="133" w:name="_Toc50642957"/>
            <w:bookmarkStart w:id="134" w:name="_Toc51240820"/>
            <w:bookmarkStart w:id="135" w:name="_Toc51763886"/>
            <w:r w:rsidRPr="005C49EA">
              <w:rPr>
                <w:b/>
                <w:sz w:val="18"/>
                <w:szCs w:val="22"/>
              </w:rPr>
              <w:t>Time period</w:t>
            </w:r>
            <w:bookmarkEnd w:id="132"/>
            <w:bookmarkEnd w:id="133"/>
            <w:bookmarkEnd w:id="134"/>
            <w:bookmarkEnd w:id="135"/>
          </w:p>
        </w:tc>
      </w:tr>
      <w:tr w:rsidR="00E36035" w14:paraId="1D44F585"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0392BA0E" w14:textId="77777777" w:rsidR="00E36035" w:rsidRPr="00720E9D" w:rsidRDefault="00E36035" w:rsidP="00E36035">
            <w:pPr>
              <w:pStyle w:val="Heading3"/>
              <w:keepNext w:val="0"/>
              <w:widowControl w:val="0"/>
              <w:outlineLvl w:val="2"/>
              <w:rPr>
                <w:b w:val="0"/>
                <w:sz w:val="18"/>
                <w:szCs w:val="22"/>
              </w:rPr>
            </w:pPr>
            <w:bookmarkStart w:id="136" w:name="_Toc50642358"/>
            <w:bookmarkStart w:id="137" w:name="_Toc50642958"/>
            <w:bookmarkStart w:id="138" w:name="_Toc51240821"/>
            <w:bookmarkStart w:id="139" w:name="_Toc51763887"/>
            <w:r w:rsidRPr="00720E9D">
              <w:rPr>
                <w:b w:val="0"/>
                <w:sz w:val="18"/>
                <w:szCs w:val="22"/>
              </w:rPr>
              <w:t>Wage Subsidy</w:t>
            </w:r>
            <w:r w:rsidRPr="002347F6">
              <w:rPr>
                <w:rStyle w:val="FootnoteReference"/>
                <w:b w:val="0"/>
                <w:sz w:val="18"/>
                <w:szCs w:val="18"/>
              </w:rPr>
              <w:footnoteReference w:id="26"/>
            </w:r>
            <w:r>
              <w:rPr>
                <w:b w:val="0"/>
                <w:sz w:val="18"/>
                <w:szCs w:val="22"/>
              </w:rPr>
              <w:br/>
              <w:t>(WS)</w:t>
            </w:r>
            <w:bookmarkEnd w:id="136"/>
            <w:bookmarkEnd w:id="137"/>
            <w:bookmarkEnd w:id="138"/>
            <w:bookmarkEnd w:id="139"/>
          </w:p>
        </w:tc>
        <w:tc>
          <w:tcPr>
            <w:tcW w:w="5103" w:type="dxa"/>
          </w:tcPr>
          <w:p w14:paraId="2EF86455" w14:textId="77777777" w:rsidR="00E36035" w:rsidRPr="00720E9D"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140" w:name="_Toc50642359"/>
            <w:bookmarkStart w:id="141" w:name="_Toc50642959"/>
            <w:bookmarkStart w:id="142" w:name="_Toc51240822"/>
            <w:bookmarkStart w:id="143" w:name="_Toc51763888"/>
            <w:r w:rsidRPr="00720E9D">
              <w:rPr>
                <w:b w:val="0"/>
                <w:sz w:val="18"/>
                <w:szCs w:val="22"/>
              </w:rPr>
              <w:t xml:space="preserve">A 12-week </w:t>
            </w:r>
            <w:r>
              <w:rPr>
                <w:b w:val="0"/>
                <w:sz w:val="18"/>
                <w:szCs w:val="22"/>
              </w:rPr>
              <w:t xml:space="preserve">subsidy </w:t>
            </w:r>
            <w:r w:rsidRPr="00720E9D">
              <w:rPr>
                <w:b w:val="0"/>
                <w:sz w:val="18"/>
                <w:szCs w:val="22"/>
              </w:rPr>
              <w:t>to support employers and their staff to maintain an employment connection and ensure income for affected employees during the initial impact of COVID-19</w:t>
            </w:r>
            <w:bookmarkEnd w:id="140"/>
            <w:bookmarkEnd w:id="141"/>
            <w:bookmarkEnd w:id="142"/>
            <w:bookmarkEnd w:id="143"/>
          </w:p>
        </w:tc>
        <w:tc>
          <w:tcPr>
            <w:tcW w:w="2126" w:type="dxa"/>
          </w:tcPr>
          <w:p w14:paraId="0A2DE208" w14:textId="77777777" w:rsidR="00E36035" w:rsidRPr="00720E9D"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144" w:name="_Toc50642360"/>
            <w:bookmarkStart w:id="145" w:name="_Toc50642960"/>
            <w:bookmarkStart w:id="146" w:name="_Toc51240823"/>
            <w:bookmarkStart w:id="147" w:name="_Toc51763889"/>
            <w:r w:rsidRPr="00720E9D">
              <w:rPr>
                <w:b w:val="0"/>
                <w:sz w:val="18"/>
                <w:szCs w:val="22"/>
              </w:rPr>
              <w:t>Available to apply</w:t>
            </w:r>
            <w:r>
              <w:rPr>
                <w:b w:val="0"/>
                <w:sz w:val="18"/>
                <w:szCs w:val="22"/>
              </w:rPr>
              <w:t xml:space="preserve"> for</w:t>
            </w:r>
            <w:r w:rsidRPr="00720E9D">
              <w:rPr>
                <w:b w:val="0"/>
                <w:sz w:val="18"/>
                <w:szCs w:val="22"/>
              </w:rPr>
              <w:t xml:space="preserve"> from 15 March to 15 June</w:t>
            </w:r>
            <w:r>
              <w:rPr>
                <w:b w:val="0"/>
                <w:sz w:val="18"/>
                <w:szCs w:val="22"/>
              </w:rPr>
              <w:t xml:space="preserve"> 2020</w:t>
            </w:r>
            <w:bookmarkEnd w:id="144"/>
            <w:bookmarkEnd w:id="145"/>
            <w:bookmarkEnd w:id="146"/>
            <w:bookmarkEnd w:id="147"/>
          </w:p>
        </w:tc>
      </w:tr>
      <w:tr w:rsidR="00E36035" w14:paraId="1A4F4576"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798BB406" w14:textId="77777777" w:rsidR="00E36035" w:rsidRPr="00720E9D" w:rsidRDefault="00E36035" w:rsidP="00E36035">
            <w:pPr>
              <w:pStyle w:val="Heading3"/>
              <w:keepNext w:val="0"/>
              <w:widowControl w:val="0"/>
              <w:outlineLvl w:val="2"/>
              <w:rPr>
                <w:b w:val="0"/>
                <w:sz w:val="18"/>
                <w:szCs w:val="22"/>
              </w:rPr>
            </w:pPr>
            <w:bookmarkStart w:id="148" w:name="_Toc50642361"/>
            <w:bookmarkStart w:id="149" w:name="_Toc50642961"/>
            <w:bookmarkStart w:id="150" w:name="_Toc51240824"/>
            <w:bookmarkStart w:id="151" w:name="_Toc51763890"/>
            <w:r w:rsidRPr="00720E9D">
              <w:rPr>
                <w:b w:val="0"/>
                <w:sz w:val="18"/>
                <w:szCs w:val="22"/>
              </w:rPr>
              <w:t>Wage Subsidy Extension</w:t>
            </w:r>
            <w:r w:rsidRPr="002347F6">
              <w:rPr>
                <w:rStyle w:val="FootnoteReference"/>
                <w:b w:val="0"/>
                <w:sz w:val="18"/>
                <w:szCs w:val="18"/>
              </w:rPr>
              <w:footnoteReference w:id="27"/>
            </w:r>
            <w:r>
              <w:rPr>
                <w:b w:val="0"/>
                <w:sz w:val="18"/>
                <w:szCs w:val="22"/>
              </w:rPr>
              <w:br/>
              <w:t>(WS-X)</w:t>
            </w:r>
            <w:bookmarkEnd w:id="148"/>
            <w:bookmarkEnd w:id="149"/>
            <w:bookmarkEnd w:id="150"/>
            <w:bookmarkEnd w:id="151"/>
          </w:p>
        </w:tc>
        <w:tc>
          <w:tcPr>
            <w:tcW w:w="5103" w:type="dxa"/>
          </w:tcPr>
          <w:p w14:paraId="7F8639AB" w14:textId="77777777" w:rsidR="00E36035"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152" w:name="_Toc50642362"/>
            <w:bookmarkStart w:id="153" w:name="_Toc50642962"/>
            <w:bookmarkStart w:id="154" w:name="_Toc51240825"/>
            <w:bookmarkStart w:id="155" w:name="_Toc51763891"/>
            <w:r w:rsidRPr="00720E9D">
              <w:rPr>
                <w:b w:val="0"/>
                <w:sz w:val="18"/>
                <w:szCs w:val="22"/>
              </w:rPr>
              <w:t>A W</w:t>
            </w:r>
            <w:r>
              <w:rPr>
                <w:b w:val="0"/>
                <w:sz w:val="18"/>
                <w:szCs w:val="22"/>
              </w:rPr>
              <w:t>S-X is to support employers, including sole traders, who are still significantly impacted by COVID-19 after the 12-week Wage Subsidy ends. It is also available to those who haven’t received the Wage Subsidy previously.</w:t>
            </w:r>
            <w:bookmarkEnd w:id="152"/>
            <w:bookmarkEnd w:id="153"/>
            <w:bookmarkEnd w:id="154"/>
            <w:bookmarkEnd w:id="155"/>
          </w:p>
          <w:p w14:paraId="5B5F601D" w14:textId="77777777" w:rsidR="00E36035"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156" w:name="_Toc50642363"/>
            <w:bookmarkStart w:id="157" w:name="_Toc50642963"/>
            <w:bookmarkStart w:id="158" w:name="_Toc51240826"/>
            <w:bookmarkStart w:id="159" w:name="_Toc51763892"/>
            <w:r w:rsidRPr="0020573F">
              <w:rPr>
                <w:b w:val="0"/>
                <w:sz w:val="18"/>
                <w:szCs w:val="22"/>
              </w:rPr>
              <w:t>Employers will need to have experienced a minimum of a 40% drop in revenue for a 30-day period in the 40 days before applying (starting no earlier than 10 May 2020), when compared to a similar period last year.</w:t>
            </w:r>
            <w:bookmarkEnd w:id="156"/>
            <w:bookmarkEnd w:id="157"/>
            <w:bookmarkEnd w:id="158"/>
            <w:bookmarkEnd w:id="159"/>
          </w:p>
          <w:p w14:paraId="74F71046" w14:textId="77777777" w:rsidR="00E36035" w:rsidRPr="00720E9D"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160" w:name="_Toc50642364"/>
            <w:bookmarkStart w:id="161" w:name="_Toc50642964"/>
            <w:bookmarkStart w:id="162" w:name="_Toc51240827"/>
            <w:bookmarkStart w:id="163" w:name="_Toc51763893"/>
            <w:r>
              <w:rPr>
                <w:b w:val="0"/>
                <w:sz w:val="18"/>
                <w:szCs w:val="22"/>
              </w:rPr>
              <w:t>The WS-X provides</w:t>
            </w:r>
            <w:r w:rsidRPr="00720E9D">
              <w:rPr>
                <w:b w:val="0"/>
                <w:sz w:val="18"/>
                <w:szCs w:val="22"/>
              </w:rPr>
              <w:t xml:space="preserve"> an 8-week lump sum to employers at the same weekly rate as the Wage Subsidy</w:t>
            </w:r>
            <w:bookmarkEnd w:id="160"/>
            <w:bookmarkEnd w:id="161"/>
            <w:bookmarkEnd w:id="162"/>
            <w:bookmarkEnd w:id="163"/>
          </w:p>
        </w:tc>
        <w:tc>
          <w:tcPr>
            <w:tcW w:w="2126" w:type="dxa"/>
          </w:tcPr>
          <w:p w14:paraId="4538422B" w14:textId="6C77B229" w:rsidR="00E36035" w:rsidRPr="00720E9D"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164" w:name="_Toc50642365"/>
            <w:bookmarkStart w:id="165" w:name="_Toc50642965"/>
            <w:bookmarkStart w:id="166" w:name="_Toc51240828"/>
            <w:bookmarkStart w:id="167" w:name="_Toc51763894"/>
            <w:r w:rsidRPr="00720E9D">
              <w:rPr>
                <w:b w:val="0"/>
                <w:sz w:val="18"/>
                <w:szCs w:val="22"/>
              </w:rPr>
              <w:t xml:space="preserve">Applications are open for a 12-week period from 10 June </w:t>
            </w:r>
            <w:r w:rsidR="00881E84">
              <w:rPr>
                <w:b w:val="0"/>
                <w:sz w:val="18"/>
                <w:szCs w:val="22"/>
              </w:rPr>
              <w:t>to</w:t>
            </w:r>
            <w:r>
              <w:rPr>
                <w:b w:val="0"/>
                <w:sz w:val="18"/>
                <w:szCs w:val="22"/>
              </w:rPr>
              <w:t xml:space="preserve"> 1 September 2020</w:t>
            </w:r>
            <w:bookmarkEnd w:id="164"/>
            <w:bookmarkEnd w:id="165"/>
            <w:bookmarkEnd w:id="166"/>
            <w:bookmarkEnd w:id="167"/>
          </w:p>
        </w:tc>
      </w:tr>
      <w:tr w:rsidR="00E36035" w14:paraId="79C15DE7"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6E289189" w14:textId="77777777" w:rsidR="00E36035" w:rsidRPr="00720E9D" w:rsidRDefault="00E36035" w:rsidP="00E36035">
            <w:pPr>
              <w:pStyle w:val="Heading3"/>
              <w:keepNext w:val="0"/>
              <w:widowControl w:val="0"/>
              <w:outlineLvl w:val="2"/>
              <w:rPr>
                <w:b w:val="0"/>
                <w:sz w:val="18"/>
                <w:szCs w:val="22"/>
              </w:rPr>
            </w:pPr>
            <w:bookmarkStart w:id="168" w:name="_Toc50642366"/>
            <w:bookmarkStart w:id="169" w:name="_Toc50642966"/>
            <w:bookmarkStart w:id="170" w:name="_Toc51240829"/>
            <w:bookmarkStart w:id="171" w:name="_Toc51763895"/>
            <w:r w:rsidRPr="00720E9D">
              <w:rPr>
                <w:b w:val="0"/>
                <w:sz w:val="18"/>
                <w:szCs w:val="22"/>
              </w:rPr>
              <w:t>COVID-19 Income Relief Payment</w:t>
            </w:r>
            <w:r w:rsidRPr="002347F6">
              <w:rPr>
                <w:rStyle w:val="FootnoteReference"/>
                <w:b w:val="0"/>
                <w:sz w:val="18"/>
                <w:szCs w:val="18"/>
              </w:rPr>
              <w:footnoteReference w:id="28"/>
            </w:r>
            <w:r>
              <w:rPr>
                <w:b w:val="0"/>
                <w:sz w:val="18"/>
                <w:szCs w:val="22"/>
              </w:rPr>
              <w:br/>
              <w:t>(CIRP)</w:t>
            </w:r>
            <w:bookmarkEnd w:id="168"/>
            <w:bookmarkEnd w:id="169"/>
            <w:bookmarkEnd w:id="170"/>
            <w:bookmarkEnd w:id="171"/>
          </w:p>
        </w:tc>
        <w:tc>
          <w:tcPr>
            <w:tcW w:w="5103" w:type="dxa"/>
          </w:tcPr>
          <w:p w14:paraId="25643486" w14:textId="77777777" w:rsidR="00E36035" w:rsidRPr="00720E9D"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172" w:name="_Toc50642367"/>
            <w:bookmarkStart w:id="173" w:name="_Toc50642967"/>
            <w:bookmarkStart w:id="174" w:name="_Toc51240830"/>
            <w:bookmarkStart w:id="175" w:name="_Toc51763896"/>
            <w:r w:rsidRPr="00720E9D">
              <w:rPr>
                <w:b w:val="0"/>
                <w:sz w:val="18"/>
                <w:szCs w:val="22"/>
              </w:rPr>
              <w:t>The COVID-19 Income Relief Payment provides up to 12 weeks of financial support to people who have lost their job or business due to the impacts of COVID-19</w:t>
            </w:r>
            <w:bookmarkEnd w:id="172"/>
            <w:bookmarkEnd w:id="173"/>
            <w:bookmarkEnd w:id="174"/>
            <w:bookmarkEnd w:id="175"/>
          </w:p>
        </w:tc>
        <w:tc>
          <w:tcPr>
            <w:tcW w:w="2126" w:type="dxa"/>
          </w:tcPr>
          <w:p w14:paraId="103FC6FC" w14:textId="77777777" w:rsidR="00E36035" w:rsidRPr="00720E9D"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176" w:name="_Toc50642368"/>
            <w:bookmarkStart w:id="177" w:name="_Toc50642968"/>
            <w:bookmarkStart w:id="178" w:name="_Toc51240831"/>
            <w:bookmarkStart w:id="179" w:name="_Toc51763897"/>
            <w:r w:rsidRPr="00720E9D">
              <w:rPr>
                <w:b w:val="0"/>
                <w:sz w:val="18"/>
                <w:szCs w:val="22"/>
              </w:rPr>
              <w:t xml:space="preserve">Available to apply </w:t>
            </w:r>
            <w:r>
              <w:rPr>
                <w:b w:val="0"/>
                <w:sz w:val="18"/>
                <w:szCs w:val="22"/>
              </w:rPr>
              <w:t xml:space="preserve">for </w:t>
            </w:r>
            <w:r w:rsidRPr="00720E9D">
              <w:rPr>
                <w:b w:val="0"/>
                <w:sz w:val="18"/>
                <w:szCs w:val="22"/>
              </w:rPr>
              <w:t xml:space="preserve">from 8 June to </w:t>
            </w:r>
            <w:r>
              <w:rPr>
                <w:b w:val="0"/>
                <w:sz w:val="18"/>
                <w:szCs w:val="22"/>
              </w:rPr>
              <w:t>13 November 2020</w:t>
            </w:r>
            <w:bookmarkEnd w:id="176"/>
            <w:bookmarkEnd w:id="177"/>
            <w:bookmarkEnd w:id="178"/>
            <w:bookmarkEnd w:id="179"/>
          </w:p>
        </w:tc>
      </w:tr>
      <w:tr w:rsidR="00E36035" w14:paraId="0333B070"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0A3C5524" w14:textId="77777777" w:rsidR="00E36035" w:rsidRPr="008A6254" w:rsidRDefault="00E36035" w:rsidP="00E36035">
            <w:pPr>
              <w:pStyle w:val="Heading3"/>
              <w:keepNext w:val="0"/>
              <w:widowControl w:val="0"/>
              <w:outlineLvl w:val="2"/>
              <w:rPr>
                <w:b w:val="0"/>
                <w:sz w:val="18"/>
                <w:szCs w:val="22"/>
              </w:rPr>
            </w:pPr>
            <w:bookmarkStart w:id="180" w:name="_Toc50642369"/>
            <w:bookmarkStart w:id="181" w:name="_Toc50642969"/>
            <w:bookmarkStart w:id="182" w:name="_Toc51240832"/>
            <w:bookmarkStart w:id="183" w:name="_Toc51763898"/>
            <w:r w:rsidRPr="008A6254">
              <w:rPr>
                <w:b w:val="0"/>
                <w:sz w:val="18"/>
                <w:szCs w:val="22"/>
              </w:rPr>
              <w:t>Granting benefits without medical certificates</w:t>
            </w:r>
            <w:bookmarkEnd w:id="180"/>
            <w:bookmarkEnd w:id="181"/>
            <w:bookmarkEnd w:id="182"/>
            <w:bookmarkEnd w:id="183"/>
          </w:p>
        </w:tc>
        <w:tc>
          <w:tcPr>
            <w:tcW w:w="5103" w:type="dxa"/>
          </w:tcPr>
          <w:p w14:paraId="479B010C" w14:textId="77777777" w:rsidR="00E36035" w:rsidRPr="008A6254"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184" w:name="_Toc50642370"/>
            <w:bookmarkStart w:id="185" w:name="_Toc50642970"/>
            <w:bookmarkStart w:id="186" w:name="_Toc51240833"/>
            <w:bookmarkStart w:id="187" w:name="_Toc51763899"/>
            <w:r w:rsidRPr="006727BE">
              <w:rPr>
                <w:b w:val="0"/>
                <w:sz w:val="18"/>
                <w:szCs w:val="22"/>
              </w:rPr>
              <w:t>Emergency Benefit could be granted in place of Jobseeker Support (health condition and injury) and Supported Living Payments without an initial medical certificate to ensure clients could access income support and to reduce pressure on the health sector</w:t>
            </w:r>
            <w:bookmarkEnd w:id="184"/>
            <w:bookmarkEnd w:id="185"/>
            <w:bookmarkEnd w:id="186"/>
            <w:bookmarkEnd w:id="187"/>
          </w:p>
        </w:tc>
        <w:tc>
          <w:tcPr>
            <w:tcW w:w="2126" w:type="dxa"/>
          </w:tcPr>
          <w:p w14:paraId="20840154" w14:textId="77777777" w:rsidR="00E36035" w:rsidRPr="008A6254"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188" w:name="_Toc50642371"/>
            <w:bookmarkStart w:id="189" w:name="_Toc50642971"/>
            <w:bookmarkStart w:id="190" w:name="_Toc51240834"/>
            <w:bookmarkStart w:id="191" w:name="_Toc51763900"/>
            <w:r>
              <w:rPr>
                <w:b w:val="0"/>
                <w:sz w:val="18"/>
                <w:szCs w:val="22"/>
              </w:rPr>
              <w:t>20 April to 14 June 2020</w:t>
            </w:r>
            <w:bookmarkEnd w:id="188"/>
            <w:bookmarkEnd w:id="189"/>
            <w:bookmarkEnd w:id="190"/>
            <w:bookmarkEnd w:id="191"/>
          </w:p>
        </w:tc>
      </w:tr>
      <w:tr w:rsidR="00E36035" w14:paraId="7B0C4EDA"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71045FA6" w14:textId="77777777" w:rsidR="00E36035" w:rsidRPr="008A6254" w:rsidRDefault="00E36035" w:rsidP="00E36035">
            <w:pPr>
              <w:pStyle w:val="Heading3"/>
              <w:keepNext w:val="0"/>
              <w:widowControl w:val="0"/>
              <w:outlineLvl w:val="2"/>
              <w:rPr>
                <w:b w:val="0"/>
                <w:sz w:val="18"/>
                <w:szCs w:val="22"/>
              </w:rPr>
            </w:pPr>
            <w:bookmarkStart w:id="192" w:name="_Toc50642372"/>
            <w:bookmarkStart w:id="193" w:name="_Toc50642972"/>
            <w:bookmarkStart w:id="194" w:name="_Toc51240835"/>
            <w:bookmarkStart w:id="195" w:name="_Toc51763901"/>
            <w:r w:rsidRPr="008A6254">
              <w:rPr>
                <w:b w:val="0"/>
                <w:sz w:val="18"/>
                <w:szCs w:val="22"/>
              </w:rPr>
              <w:lastRenderedPageBreak/>
              <w:t>Granting Disability Allowance without medical certificates</w:t>
            </w:r>
            <w:bookmarkEnd w:id="192"/>
            <w:bookmarkEnd w:id="193"/>
            <w:bookmarkEnd w:id="194"/>
            <w:bookmarkEnd w:id="195"/>
          </w:p>
        </w:tc>
        <w:tc>
          <w:tcPr>
            <w:tcW w:w="5103" w:type="dxa"/>
          </w:tcPr>
          <w:p w14:paraId="4FD64E87" w14:textId="77777777" w:rsidR="00E36035" w:rsidRPr="00A6313D"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196" w:name="_Toc50642373"/>
            <w:bookmarkStart w:id="197" w:name="_Toc50642973"/>
            <w:bookmarkStart w:id="198" w:name="_Toc51240836"/>
            <w:bookmarkStart w:id="199" w:name="_Toc51763902"/>
            <w:r w:rsidRPr="00A6313D">
              <w:rPr>
                <w:b w:val="0"/>
                <w:sz w:val="18"/>
                <w:szCs w:val="22"/>
              </w:rPr>
              <w:t>Disability Allowance could be granted, and new costs added</w:t>
            </w:r>
            <w:r>
              <w:rPr>
                <w:b w:val="0"/>
                <w:sz w:val="18"/>
                <w:szCs w:val="22"/>
              </w:rPr>
              <w:t>,</w:t>
            </w:r>
            <w:r w:rsidRPr="00A6313D">
              <w:rPr>
                <w:b w:val="0"/>
                <w:sz w:val="18"/>
                <w:szCs w:val="22"/>
              </w:rPr>
              <w:t xml:space="preserve"> without an initial medical verification</w:t>
            </w:r>
            <w:r>
              <w:rPr>
                <w:b w:val="0"/>
                <w:sz w:val="18"/>
                <w:szCs w:val="22"/>
              </w:rPr>
              <w:t>.</w:t>
            </w:r>
            <w:bookmarkEnd w:id="196"/>
            <w:bookmarkEnd w:id="197"/>
            <w:bookmarkEnd w:id="198"/>
            <w:bookmarkEnd w:id="199"/>
          </w:p>
        </w:tc>
        <w:tc>
          <w:tcPr>
            <w:tcW w:w="2126" w:type="dxa"/>
          </w:tcPr>
          <w:p w14:paraId="6B8F7F1C" w14:textId="77777777" w:rsidR="00E36035" w:rsidRPr="008A6254"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00" w:name="_Toc50642374"/>
            <w:bookmarkStart w:id="201" w:name="_Toc50642974"/>
            <w:bookmarkStart w:id="202" w:name="_Toc51240837"/>
            <w:bookmarkStart w:id="203" w:name="_Toc51763903"/>
            <w:r>
              <w:rPr>
                <w:b w:val="0"/>
                <w:sz w:val="18"/>
                <w:szCs w:val="22"/>
              </w:rPr>
              <w:t>20 April to 14 June 2020</w:t>
            </w:r>
            <w:bookmarkEnd w:id="200"/>
            <w:bookmarkEnd w:id="201"/>
            <w:bookmarkEnd w:id="202"/>
            <w:bookmarkEnd w:id="203"/>
          </w:p>
        </w:tc>
      </w:tr>
      <w:tr w:rsidR="00E36035" w14:paraId="155CDADD"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223A00CD" w14:textId="77777777" w:rsidR="00E36035" w:rsidRPr="008A6254" w:rsidRDefault="00E36035" w:rsidP="00E36035">
            <w:pPr>
              <w:pStyle w:val="Heading3"/>
              <w:keepNext w:val="0"/>
              <w:widowControl w:val="0"/>
              <w:outlineLvl w:val="2"/>
              <w:rPr>
                <w:b w:val="0"/>
                <w:sz w:val="18"/>
                <w:szCs w:val="22"/>
              </w:rPr>
            </w:pPr>
            <w:bookmarkStart w:id="204" w:name="_Toc50642375"/>
            <w:bookmarkStart w:id="205" w:name="_Toc50642975"/>
            <w:bookmarkStart w:id="206" w:name="_Toc51240838"/>
            <w:bookmarkStart w:id="207" w:name="_Toc51763904"/>
            <w:r w:rsidRPr="008A6254">
              <w:rPr>
                <w:b w:val="0"/>
                <w:sz w:val="18"/>
                <w:szCs w:val="22"/>
              </w:rPr>
              <w:t>Childcare Assistance</w:t>
            </w:r>
            <w:r>
              <w:rPr>
                <w:b w:val="0"/>
                <w:sz w:val="18"/>
                <w:szCs w:val="22"/>
              </w:rPr>
              <w:t xml:space="preserve"> suspended</w:t>
            </w:r>
            <w:bookmarkEnd w:id="204"/>
            <w:bookmarkEnd w:id="205"/>
            <w:bookmarkEnd w:id="206"/>
            <w:bookmarkEnd w:id="207"/>
          </w:p>
        </w:tc>
        <w:tc>
          <w:tcPr>
            <w:tcW w:w="5103" w:type="dxa"/>
          </w:tcPr>
          <w:p w14:paraId="263D78D7" w14:textId="4D9214C0" w:rsidR="00E36035" w:rsidRPr="00D15A5E"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08" w:name="_Toc50642376"/>
            <w:bookmarkStart w:id="209" w:name="_Toc50642976"/>
            <w:bookmarkStart w:id="210" w:name="_Toc51240839"/>
            <w:bookmarkStart w:id="211" w:name="_Toc51763905"/>
            <w:r w:rsidRPr="008A6254">
              <w:rPr>
                <w:b w:val="0"/>
                <w:sz w:val="18"/>
                <w:szCs w:val="22"/>
              </w:rPr>
              <w:t>MSD suspended all childcare related assistance payments as there was no legal authority to continue paying them when childcare service</w:t>
            </w:r>
            <w:r w:rsidR="005C49EA">
              <w:rPr>
                <w:b w:val="0"/>
                <w:sz w:val="18"/>
                <w:szCs w:val="22"/>
              </w:rPr>
              <w:t>s</w:t>
            </w:r>
            <w:r w:rsidRPr="008A6254">
              <w:rPr>
                <w:b w:val="0"/>
                <w:sz w:val="18"/>
                <w:szCs w:val="22"/>
              </w:rPr>
              <w:t xml:space="preserve"> were not being provided</w:t>
            </w:r>
            <w:bookmarkEnd w:id="208"/>
            <w:bookmarkEnd w:id="209"/>
            <w:bookmarkEnd w:id="210"/>
            <w:bookmarkEnd w:id="211"/>
          </w:p>
        </w:tc>
        <w:tc>
          <w:tcPr>
            <w:tcW w:w="2126" w:type="dxa"/>
          </w:tcPr>
          <w:p w14:paraId="1F5184B5" w14:textId="77777777" w:rsidR="00E36035" w:rsidRPr="008A6254"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12" w:name="_Toc50642377"/>
            <w:bookmarkStart w:id="213" w:name="_Toc50642977"/>
            <w:bookmarkStart w:id="214" w:name="_Toc51240840"/>
            <w:bookmarkStart w:id="215" w:name="_Toc51763906"/>
            <w:r w:rsidRPr="008A6254">
              <w:rPr>
                <w:b w:val="0"/>
                <w:sz w:val="18"/>
                <w:szCs w:val="22"/>
              </w:rPr>
              <w:t xml:space="preserve">Under alert level </w:t>
            </w:r>
            <w:r>
              <w:rPr>
                <w:b w:val="0"/>
                <w:sz w:val="18"/>
                <w:szCs w:val="22"/>
              </w:rPr>
              <w:t>4</w:t>
            </w:r>
            <w:r>
              <w:rPr>
                <w:b w:val="0"/>
                <w:sz w:val="18"/>
                <w:szCs w:val="22"/>
              </w:rPr>
              <w:br/>
            </w:r>
            <w:r w:rsidRPr="008A6254">
              <w:rPr>
                <w:b w:val="0"/>
                <w:sz w:val="18"/>
                <w:szCs w:val="22"/>
              </w:rPr>
              <w:br/>
              <w:t>The interim process started on 6 April 2020 and returned to BAU from 28 April 2020</w:t>
            </w:r>
            <w:bookmarkEnd w:id="212"/>
            <w:bookmarkEnd w:id="213"/>
            <w:bookmarkEnd w:id="214"/>
            <w:bookmarkEnd w:id="215"/>
          </w:p>
        </w:tc>
      </w:tr>
      <w:tr w:rsidR="00E36035" w14:paraId="3AB81D8B"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26451239" w14:textId="77777777" w:rsidR="00E36035" w:rsidRPr="00D15A5E" w:rsidRDefault="00E36035" w:rsidP="00E36035">
            <w:pPr>
              <w:pStyle w:val="Heading3"/>
              <w:keepNext w:val="0"/>
              <w:widowControl w:val="0"/>
              <w:outlineLvl w:val="2"/>
              <w:rPr>
                <w:b w:val="0"/>
                <w:sz w:val="18"/>
                <w:szCs w:val="22"/>
              </w:rPr>
            </w:pPr>
            <w:bookmarkStart w:id="216" w:name="_Toc50642378"/>
            <w:bookmarkStart w:id="217" w:name="_Toc50642978"/>
            <w:bookmarkStart w:id="218" w:name="_Toc51240841"/>
            <w:bookmarkStart w:id="219" w:name="_Toc51763907"/>
            <w:r w:rsidRPr="00D15A5E">
              <w:rPr>
                <w:b w:val="0"/>
                <w:sz w:val="18"/>
                <w:szCs w:val="22"/>
              </w:rPr>
              <w:t>52-week Re</w:t>
            </w:r>
            <w:r>
              <w:rPr>
                <w:b w:val="0"/>
                <w:sz w:val="18"/>
                <w:szCs w:val="22"/>
              </w:rPr>
              <w:t>ap</w:t>
            </w:r>
            <w:r w:rsidRPr="00D15A5E">
              <w:rPr>
                <w:b w:val="0"/>
                <w:sz w:val="18"/>
                <w:szCs w:val="22"/>
              </w:rPr>
              <w:t>plications</w:t>
            </w:r>
            <w:bookmarkEnd w:id="216"/>
            <w:bookmarkEnd w:id="217"/>
            <w:bookmarkEnd w:id="218"/>
            <w:bookmarkEnd w:id="219"/>
          </w:p>
        </w:tc>
        <w:tc>
          <w:tcPr>
            <w:tcW w:w="5103" w:type="dxa"/>
          </w:tcPr>
          <w:p w14:paraId="42D8E88D" w14:textId="77777777" w:rsidR="00E36035" w:rsidRPr="00D15A5E"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20" w:name="_Toc50642379"/>
            <w:bookmarkStart w:id="221" w:name="_Toc50642979"/>
            <w:bookmarkStart w:id="222" w:name="_Toc51240842"/>
            <w:bookmarkStart w:id="223" w:name="_Toc51763908"/>
            <w:r>
              <w:rPr>
                <w:b w:val="0"/>
                <w:sz w:val="18"/>
                <w:szCs w:val="22"/>
              </w:rPr>
              <w:t>52-week reapplications due between 30 March and 30 March 2021 for Jobseeker Support and Sole Parent Support have been cleared.</w:t>
            </w:r>
            <w:bookmarkEnd w:id="220"/>
            <w:bookmarkEnd w:id="221"/>
            <w:bookmarkEnd w:id="222"/>
            <w:bookmarkEnd w:id="223"/>
          </w:p>
        </w:tc>
        <w:tc>
          <w:tcPr>
            <w:tcW w:w="2126" w:type="dxa"/>
          </w:tcPr>
          <w:p w14:paraId="165E4CE1" w14:textId="77777777" w:rsidR="00E36035" w:rsidRPr="00D15A5E"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24" w:name="_Toc50642380"/>
            <w:bookmarkStart w:id="225" w:name="_Toc50642980"/>
            <w:bookmarkStart w:id="226" w:name="_Toc51240843"/>
            <w:bookmarkStart w:id="227" w:name="_Toc51763909"/>
            <w:r>
              <w:rPr>
                <w:b w:val="0"/>
                <w:sz w:val="18"/>
                <w:szCs w:val="22"/>
              </w:rPr>
              <w:t>Suspended from 30 March 2020 to 30 March 2021</w:t>
            </w:r>
            <w:bookmarkEnd w:id="224"/>
            <w:bookmarkEnd w:id="225"/>
            <w:bookmarkEnd w:id="226"/>
            <w:bookmarkEnd w:id="227"/>
          </w:p>
        </w:tc>
      </w:tr>
      <w:tr w:rsidR="00E36035" w14:paraId="7D14078F"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4452341D" w14:textId="77777777" w:rsidR="00E36035" w:rsidRPr="00D15A5E" w:rsidRDefault="00E36035" w:rsidP="00E36035">
            <w:pPr>
              <w:pStyle w:val="Heading3"/>
              <w:keepNext w:val="0"/>
              <w:widowControl w:val="0"/>
              <w:outlineLvl w:val="2"/>
              <w:rPr>
                <w:b w:val="0"/>
                <w:sz w:val="18"/>
                <w:szCs w:val="22"/>
              </w:rPr>
            </w:pPr>
            <w:bookmarkStart w:id="228" w:name="_Toc50642381"/>
            <w:bookmarkStart w:id="229" w:name="_Toc50642981"/>
            <w:bookmarkStart w:id="230" w:name="_Toc51240844"/>
            <w:bookmarkStart w:id="231" w:name="_Toc51763910"/>
            <w:r>
              <w:rPr>
                <w:b w:val="0"/>
                <w:sz w:val="18"/>
                <w:szCs w:val="22"/>
              </w:rPr>
              <w:t>Temporary removal of the requirement to provide subsequent work capacity medical certificates</w:t>
            </w:r>
            <w:bookmarkEnd w:id="228"/>
            <w:bookmarkEnd w:id="229"/>
            <w:bookmarkEnd w:id="230"/>
            <w:bookmarkEnd w:id="231"/>
          </w:p>
        </w:tc>
        <w:tc>
          <w:tcPr>
            <w:tcW w:w="5103" w:type="dxa"/>
          </w:tcPr>
          <w:p w14:paraId="20A6157A" w14:textId="77777777" w:rsidR="00E36035" w:rsidRPr="00D15A5E"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32" w:name="_Toc50642382"/>
            <w:bookmarkStart w:id="233" w:name="_Toc50642982"/>
            <w:bookmarkStart w:id="234" w:name="_Toc51240845"/>
            <w:bookmarkStart w:id="235" w:name="_Toc51763911"/>
            <w:r>
              <w:rPr>
                <w:b w:val="0"/>
                <w:sz w:val="18"/>
                <w:szCs w:val="22"/>
              </w:rPr>
              <w:t>Medical reviews for Jobseeker Support and Supported Living Payment clients due between 30 March 2020 and 30 September 2020 were extended out.</w:t>
            </w:r>
            <w:bookmarkEnd w:id="232"/>
            <w:bookmarkEnd w:id="233"/>
            <w:bookmarkEnd w:id="234"/>
            <w:bookmarkEnd w:id="235"/>
          </w:p>
        </w:tc>
        <w:tc>
          <w:tcPr>
            <w:tcW w:w="2126" w:type="dxa"/>
          </w:tcPr>
          <w:p w14:paraId="1E92B41A" w14:textId="77777777" w:rsidR="00E36035" w:rsidRPr="00D15A5E"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36" w:name="_Toc50642383"/>
            <w:bookmarkStart w:id="237" w:name="_Toc50642983"/>
            <w:bookmarkStart w:id="238" w:name="_Toc51240846"/>
            <w:bookmarkStart w:id="239" w:name="_Toc51763912"/>
            <w:r>
              <w:rPr>
                <w:b w:val="0"/>
                <w:sz w:val="18"/>
                <w:szCs w:val="22"/>
              </w:rPr>
              <w:t>Suspended from 30 March to 31 July 2021</w:t>
            </w:r>
            <w:bookmarkEnd w:id="236"/>
            <w:bookmarkEnd w:id="237"/>
            <w:bookmarkEnd w:id="238"/>
            <w:bookmarkEnd w:id="239"/>
          </w:p>
        </w:tc>
      </w:tr>
      <w:tr w:rsidR="00E36035" w14:paraId="292035C5"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0472E90C" w14:textId="77777777" w:rsidR="00E36035" w:rsidRPr="00200FB1" w:rsidRDefault="00E36035" w:rsidP="00E36035">
            <w:pPr>
              <w:pStyle w:val="Heading3"/>
              <w:keepNext w:val="0"/>
              <w:widowControl w:val="0"/>
              <w:outlineLvl w:val="2"/>
              <w:rPr>
                <w:b w:val="0"/>
                <w:sz w:val="18"/>
                <w:szCs w:val="22"/>
              </w:rPr>
            </w:pPr>
            <w:bookmarkStart w:id="240" w:name="_Toc50642384"/>
            <w:bookmarkStart w:id="241" w:name="_Toc50642984"/>
            <w:bookmarkStart w:id="242" w:name="_Toc51240847"/>
            <w:bookmarkStart w:id="243" w:name="_Toc51763913"/>
            <w:r>
              <w:rPr>
                <w:b w:val="0"/>
                <w:sz w:val="18"/>
                <w:szCs w:val="22"/>
              </w:rPr>
              <w:t>Deferral of annual r</w:t>
            </w:r>
            <w:r w:rsidRPr="00200FB1">
              <w:rPr>
                <w:b w:val="0"/>
                <w:sz w:val="18"/>
                <w:szCs w:val="22"/>
              </w:rPr>
              <w:t>eviews</w:t>
            </w:r>
            <w:bookmarkEnd w:id="240"/>
            <w:bookmarkEnd w:id="241"/>
            <w:bookmarkEnd w:id="242"/>
            <w:bookmarkEnd w:id="243"/>
          </w:p>
        </w:tc>
        <w:tc>
          <w:tcPr>
            <w:tcW w:w="5103" w:type="dxa"/>
          </w:tcPr>
          <w:p w14:paraId="47631AA5" w14:textId="77777777" w:rsidR="00E36035" w:rsidRPr="000C34A0"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44" w:name="_Toc50642385"/>
            <w:bookmarkStart w:id="245" w:name="_Toc50642985"/>
            <w:bookmarkStart w:id="246" w:name="_Toc51240848"/>
            <w:bookmarkStart w:id="247" w:name="_Toc51763914"/>
            <w:r>
              <w:rPr>
                <w:b w:val="0"/>
                <w:sz w:val="18"/>
                <w:szCs w:val="22"/>
              </w:rPr>
              <w:t xml:space="preserve">Annual reviews have been extended out, and MSD is working through when to restart these processes. </w:t>
            </w:r>
            <w:r>
              <w:rPr>
                <w:b w:val="0"/>
                <w:sz w:val="18"/>
                <w:szCs w:val="22"/>
              </w:rPr>
              <w:br/>
            </w:r>
            <w:r>
              <w:rPr>
                <w:b w:val="0"/>
                <w:sz w:val="18"/>
                <w:szCs w:val="22"/>
              </w:rPr>
              <w:br/>
              <w:t>This includes reviews of client circumstances, income (due-paid assessments), Disability Allowance medical eligibility, housing and life certificates.</w:t>
            </w:r>
            <w:bookmarkEnd w:id="244"/>
            <w:bookmarkEnd w:id="245"/>
            <w:bookmarkEnd w:id="246"/>
            <w:bookmarkEnd w:id="247"/>
          </w:p>
        </w:tc>
        <w:tc>
          <w:tcPr>
            <w:tcW w:w="2126" w:type="dxa"/>
          </w:tcPr>
          <w:p w14:paraId="40020901" w14:textId="77777777" w:rsidR="00E36035" w:rsidRPr="002A0E03"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48" w:name="_Toc50642386"/>
            <w:bookmarkStart w:id="249" w:name="_Toc50642986"/>
            <w:bookmarkStart w:id="250" w:name="_Toc51240849"/>
            <w:bookmarkStart w:id="251" w:name="_Toc51763915"/>
            <w:r w:rsidRPr="002A0E03">
              <w:rPr>
                <w:b w:val="0"/>
                <w:sz w:val="18"/>
                <w:szCs w:val="22"/>
              </w:rPr>
              <w:t xml:space="preserve">30 March </w:t>
            </w:r>
            <w:r>
              <w:rPr>
                <w:b w:val="0"/>
                <w:sz w:val="18"/>
                <w:szCs w:val="22"/>
              </w:rPr>
              <w:t xml:space="preserve">2020 </w:t>
            </w:r>
            <w:r w:rsidRPr="002A0E03">
              <w:rPr>
                <w:b w:val="0"/>
                <w:sz w:val="18"/>
                <w:szCs w:val="22"/>
              </w:rPr>
              <w:t xml:space="preserve">to </w:t>
            </w:r>
            <w:r>
              <w:rPr>
                <w:b w:val="0"/>
                <w:sz w:val="18"/>
                <w:szCs w:val="22"/>
              </w:rPr>
              <w:t>TBC</w:t>
            </w:r>
            <w:bookmarkEnd w:id="248"/>
            <w:bookmarkEnd w:id="249"/>
            <w:bookmarkEnd w:id="250"/>
            <w:bookmarkEnd w:id="251"/>
          </w:p>
        </w:tc>
      </w:tr>
      <w:tr w:rsidR="00E36035" w14:paraId="7A976C22"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53BB8834" w14:textId="77777777" w:rsidR="00E36035" w:rsidRPr="005F4E5C" w:rsidRDefault="00E36035" w:rsidP="00E36035">
            <w:pPr>
              <w:pStyle w:val="Heading3"/>
              <w:keepNext w:val="0"/>
              <w:widowControl w:val="0"/>
              <w:outlineLvl w:val="2"/>
              <w:rPr>
                <w:b w:val="0"/>
                <w:sz w:val="18"/>
                <w:szCs w:val="22"/>
              </w:rPr>
            </w:pPr>
            <w:bookmarkStart w:id="252" w:name="_Toc50642387"/>
            <w:bookmarkStart w:id="253" w:name="_Toc50642987"/>
            <w:bookmarkStart w:id="254" w:name="_Toc51240850"/>
            <w:bookmarkStart w:id="255" w:name="_Toc51763916"/>
            <w:r>
              <w:rPr>
                <w:b w:val="0"/>
                <w:sz w:val="18"/>
                <w:szCs w:val="22"/>
              </w:rPr>
              <w:t>Temporary Additional Support (TAS) reapplications deferred</w:t>
            </w:r>
            <w:bookmarkEnd w:id="252"/>
            <w:bookmarkEnd w:id="253"/>
            <w:bookmarkEnd w:id="254"/>
            <w:bookmarkEnd w:id="255"/>
          </w:p>
        </w:tc>
        <w:tc>
          <w:tcPr>
            <w:tcW w:w="5103" w:type="dxa"/>
          </w:tcPr>
          <w:p w14:paraId="5C651139" w14:textId="77777777" w:rsidR="00E36035" w:rsidRPr="005F4E5C"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56" w:name="_Toc50642388"/>
            <w:bookmarkStart w:id="257" w:name="_Toc50642988"/>
            <w:bookmarkStart w:id="258" w:name="_Toc51240851"/>
            <w:bookmarkStart w:id="259" w:name="_Toc51763917"/>
            <w:r>
              <w:rPr>
                <w:b w:val="0"/>
                <w:sz w:val="18"/>
                <w:szCs w:val="22"/>
              </w:rPr>
              <w:t>TAS</w:t>
            </w:r>
            <w:r w:rsidRPr="002A0E03">
              <w:rPr>
                <w:b w:val="0"/>
                <w:sz w:val="18"/>
                <w:szCs w:val="22"/>
              </w:rPr>
              <w:t xml:space="preserve"> </w:t>
            </w:r>
            <w:r>
              <w:rPr>
                <w:b w:val="0"/>
                <w:sz w:val="18"/>
                <w:szCs w:val="22"/>
              </w:rPr>
              <w:t>reapplications due between 30 March 2020 and 30 September 2020 were extended by six months.</w:t>
            </w:r>
            <w:bookmarkEnd w:id="256"/>
            <w:bookmarkEnd w:id="257"/>
            <w:bookmarkEnd w:id="258"/>
            <w:bookmarkEnd w:id="259"/>
          </w:p>
        </w:tc>
        <w:tc>
          <w:tcPr>
            <w:tcW w:w="2126" w:type="dxa"/>
          </w:tcPr>
          <w:p w14:paraId="2C52ABD9" w14:textId="77777777" w:rsidR="00E36035" w:rsidRPr="005F4E5C"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60" w:name="_Toc50642389"/>
            <w:bookmarkStart w:id="261" w:name="_Toc50642989"/>
            <w:bookmarkStart w:id="262" w:name="_Toc51240852"/>
            <w:bookmarkStart w:id="263" w:name="_Toc51763918"/>
            <w:r>
              <w:rPr>
                <w:b w:val="0"/>
                <w:sz w:val="18"/>
                <w:szCs w:val="22"/>
              </w:rPr>
              <w:t>30 March 2020 to TBC</w:t>
            </w:r>
            <w:bookmarkEnd w:id="260"/>
            <w:bookmarkEnd w:id="261"/>
            <w:bookmarkEnd w:id="262"/>
            <w:bookmarkEnd w:id="263"/>
          </w:p>
        </w:tc>
      </w:tr>
      <w:tr w:rsidR="00E36035" w14:paraId="460D3FC6"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1E1C5F6C" w14:textId="77777777" w:rsidR="00E36035" w:rsidRPr="007432DE" w:rsidRDefault="00E36035" w:rsidP="00E36035">
            <w:pPr>
              <w:pStyle w:val="Heading3"/>
              <w:keepNext w:val="0"/>
              <w:widowControl w:val="0"/>
              <w:outlineLvl w:val="2"/>
              <w:rPr>
                <w:b w:val="0"/>
                <w:sz w:val="18"/>
                <w:szCs w:val="22"/>
              </w:rPr>
            </w:pPr>
            <w:bookmarkStart w:id="264" w:name="_Toc50642390"/>
            <w:bookmarkStart w:id="265" w:name="_Toc50642990"/>
            <w:bookmarkStart w:id="266" w:name="_Toc51240853"/>
            <w:bookmarkStart w:id="267" w:name="_Toc51763919"/>
            <w:r w:rsidRPr="007432DE">
              <w:rPr>
                <w:b w:val="0"/>
                <w:sz w:val="18"/>
                <w:szCs w:val="22"/>
              </w:rPr>
              <w:t>Food grant changes</w:t>
            </w:r>
            <w:r>
              <w:rPr>
                <w:b w:val="0"/>
                <w:sz w:val="18"/>
                <w:szCs w:val="22"/>
              </w:rPr>
              <w:t xml:space="preserve"> for Special Needs Grants (SNGs)</w:t>
            </w:r>
            <w:bookmarkEnd w:id="264"/>
            <w:bookmarkEnd w:id="265"/>
            <w:bookmarkEnd w:id="266"/>
            <w:bookmarkEnd w:id="267"/>
          </w:p>
        </w:tc>
        <w:tc>
          <w:tcPr>
            <w:tcW w:w="5103" w:type="dxa"/>
          </w:tcPr>
          <w:p w14:paraId="41856A81" w14:textId="77777777" w:rsidR="00E36035" w:rsidRPr="007432DE" w:rsidRDefault="00E36035" w:rsidP="00E36035">
            <w:pPr>
              <w:pStyle w:val="Heading3"/>
              <w:keepNext w:val="0"/>
              <w:widowControl w:val="0"/>
              <w:tabs>
                <w:tab w:val="left" w:pos="2812"/>
              </w:tabs>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68" w:name="_Toc50642391"/>
            <w:bookmarkStart w:id="269" w:name="_Toc50642991"/>
            <w:bookmarkStart w:id="270" w:name="_Toc51240854"/>
            <w:bookmarkStart w:id="271" w:name="_Toc51763920"/>
            <w:r w:rsidRPr="007432DE">
              <w:rPr>
                <w:b w:val="0"/>
                <w:sz w:val="18"/>
                <w:szCs w:val="22"/>
              </w:rPr>
              <w:t xml:space="preserve">Peoples’ food </w:t>
            </w:r>
            <w:r>
              <w:rPr>
                <w:b w:val="0"/>
                <w:sz w:val="18"/>
                <w:szCs w:val="22"/>
              </w:rPr>
              <w:t>grant limits were temporarily increased by $400 in a 26-week period. People could also access two grants per week, instead of the usual one per week. Access was enabled</w:t>
            </w:r>
            <w:r w:rsidRPr="007432DE">
              <w:rPr>
                <w:b w:val="0"/>
                <w:sz w:val="18"/>
                <w:szCs w:val="22"/>
              </w:rPr>
              <w:t xml:space="preserve"> via </w:t>
            </w:r>
            <w:proofErr w:type="spellStart"/>
            <w:r w:rsidRPr="007432DE">
              <w:rPr>
                <w:b w:val="0"/>
                <w:sz w:val="18"/>
                <w:szCs w:val="22"/>
              </w:rPr>
              <w:t>MyMSD</w:t>
            </w:r>
            <w:proofErr w:type="spellEnd"/>
            <w:r>
              <w:rPr>
                <w:b w:val="0"/>
                <w:sz w:val="18"/>
                <w:szCs w:val="22"/>
              </w:rPr>
              <w:t xml:space="preserve"> so that people could get financial assistance without delay.</w:t>
            </w:r>
            <w:bookmarkEnd w:id="268"/>
            <w:bookmarkEnd w:id="269"/>
            <w:bookmarkEnd w:id="270"/>
            <w:bookmarkEnd w:id="271"/>
          </w:p>
        </w:tc>
        <w:tc>
          <w:tcPr>
            <w:tcW w:w="2126" w:type="dxa"/>
          </w:tcPr>
          <w:p w14:paraId="3653C083" w14:textId="77777777" w:rsidR="00E36035" w:rsidRPr="007432DE"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72" w:name="_Toc50642392"/>
            <w:bookmarkStart w:id="273" w:name="_Toc50642992"/>
            <w:bookmarkStart w:id="274" w:name="_Toc51240855"/>
            <w:bookmarkStart w:id="275" w:name="_Toc51763921"/>
            <w:r>
              <w:rPr>
                <w:b w:val="0"/>
                <w:sz w:val="18"/>
                <w:szCs w:val="22"/>
              </w:rPr>
              <w:t>From</w:t>
            </w:r>
            <w:r w:rsidRPr="007432DE">
              <w:rPr>
                <w:b w:val="0"/>
                <w:sz w:val="18"/>
                <w:szCs w:val="22"/>
              </w:rPr>
              <w:t xml:space="preserve"> </w:t>
            </w:r>
            <w:r>
              <w:rPr>
                <w:b w:val="0"/>
                <w:sz w:val="18"/>
                <w:szCs w:val="22"/>
              </w:rPr>
              <w:t>1</w:t>
            </w:r>
            <w:r w:rsidRPr="007432DE">
              <w:rPr>
                <w:b w:val="0"/>
                <w:sz w:val="18"/>
                <w:szCs w:val="22"/>
              </w:rPr>
              <w:t xml:space="preserve"> </w:t>
            </w:r>
            <w:r>
              <w:rPr>
                <w:b w:val="0"/>
                <w:sz w:val="18"/>
                <w:szCs w:val="22"/>
              </w:rPr>
              <w:t>April</w:t>
            </w:r>
            <w:r w:rsidRPr="007432DE">
              <w:rPr>
                <w:b w:val="0"/>
                <w:sz w:val="18"/>
                <w:szCs w:val="22"/>
              </w:rPr>
              <w:t xml:space="preserve"> to 10 August 2020</w:t>
            </w:r>
            <w:bookmarkEnd w:id="272"/>
            <w:bookmarkEnd w:id="273"/>
            <w:bookmarkEnd w:id="274"/>
            <w:bookmarkEnd w:id="275"/>
          </w:p>
        </w:tc>
      </w:tr>
      <w:tr w:rsidR="00E36035" w14:paraId="193BE0E8"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05547523" w14:textId="77777777" w:rsidR="00E36035" w:rsidRPr="00720E9D" w:rsidRDefault="00E36035" w:rsidP="00E36035">
            <w:pPr>
              <w:pStyle w:val="Heading3"/>
              <w:keepNext w:val="0"/>
              <w:widowControl w:val="0"/>
              <w:outlineLvl w:val="2"/>
              <w:rPr>
                <w:b w:val="0"/>
                <w:sz w:val="18"/>
                <w:szCs w:val="22"/>
              </w:rPr>
            </w:pPr>
            <w:bookmarkStart w:id="276" w:name="_Toc50642393"/>
            <w:bookmarkStart w:id="277" w:name="_Toc50642993"/>
            <w:bookmarkStart w:id="278" w:name="_Toc51240856"/>
            <w:bookmarkStart w:id="279" w:name="_Toc51763922"/>
            <w:r w:rsidRPr="00720E9D">
              <w:rPr>
                <w:b w:val="0"/>
                <w:sz w:val="18"/>
                <w:szCs w:val="22"/>
              </w:rPr>
              <w:t>Stand-down removal</w:t>
            </w:r>
            <w:bookmarkEnd w:id="276"/>
            <w:bookmarkEnd w:id="277"/>
            <w:bookmarkEnd w:id="278"/>
            <w:bookmarkEnd w:id="279"/>
          </w:p>
        </w:tc>
        <w:tc>
          <w:tcPr>
            <w:tcW w:w="5103" w:type="dxa"/>
          </w:tcPr>
          <w:p w14:paraId="141E69E7" w14:textId="77777777" w:rsidR="00E36035" w:rsidRPr="0054696E"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80" w:name="_Toc50642394"/>
            <w:bookmarkStart w:id="281" w:name="_Toc50642994"/>
            <w:bookmarkStart w:id="282" w:name="_Toc51240857"/>
            <w:bookmarkStart w:id="283" w:name="_Toc51763923"/>
            <w:r>
              <w:rPr>
                <w:b w:val="0"/>
                <w:sz w:val="18"/>
                <w:szCs w:val="22"/>
              </w:rPr>
              <w:t>Initial income stand-down periods for people coming onto a main benefit (including Youth payments) have been removed.</w:t>
            </w:r>
            <w:bookmarkEnd w:id="280"/>
            <w:bookmarkEnd w:id="281"/>
            <w:bookmarkEnd w:id="282"/>
            <w:bookmarkEnd w:id="283"/>
          </w:p>
        </w:tc>
        <w:tc>
          <w:tcPr>
            <w:tcW w:w="2126" w:type="dxa"/>
          </w:tcPr>
          <w:p w14:paraId="6DD18082" w14:textId="7F2B2208" w:rsidR="00E36035" w:rsidRPr="00720E9D"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84" w:name="_Toc50642395"/>
            <w:bookmarkStart w:id="285" w:name="_Toc50642995"/>
            <w:bookmarkStart w:id="286" w:name="_Toc51240858"/>
            <w:bookmarkStart w:id="287" w:name="_Toc51763924"/>
            <w:r>
              <w:rPr>
                <w:b w:val="0"/>
                <w:sz w:val="18"/>
                <w:szCs w:val="22"/>
              </w:rPr>
              <w:t>F</w:t>
            </w:r>
            <w:r w:rsidRPr="00720E9D">
              <w:rPr>
                <w:b w:val="0"/>
                <w:sz w:val="18"/>
                <w:szCs w:val="22"/>
              </w:rPr>
              <w:t xml:space="preserve">rom 23 March </w:t>
            </w:r>
            <w:r w:rsidR="00881E84">
              <w:rPr>
                <w:b w:val="0"/>
                <w:sz w:val="18"/>
                <w:szCs w:val="22"/>
              </w:rPr>
              <w:t xml:space="preserve">2020 </w:t>
            </w:r>
            <w:r>
              <w:rPr>
                <w:b w:val="0"/>
                <w:sz w:val="18"/>
                <w:szCs w:val="22"/>
              </w:rPr>
              <w:t>to 24 July 2021.</w:t>
            </w:r>
            <w:bookmarkEnd w:id="284"/>
            <w:bookmarkEnd w:id="285"/>
            <w:bookmarkEnd w:id="286"/>
            <w:bookmarkEnd w:id="287"/>
          </w:p>
        </w:tc>
      </w:tr>
      <w:tr w:rsidR="00E36035" w14:paraId="2A185515"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292FEA7E" w14:textId="77777777" w:rsidR="00E36035" w:rsidRPr="0054696E" w:rsidRDefault="00E36035" w:rsidP="00E36035">
            <w:pPr>
              <w:pStyle w:val="Heading3"/>
              <w:keepNext w:val="0"/>
              <w:widowControl w:val="0"/>
              <w:outlineLvl w:val="2"/>
              <w:rPr>
                <w:b w:val="0"/>
                <w:sz w:val="18"/>
                <w:szCs w:val="22"/>
              </w:rPr>
            </w:pPr>
            <w:bookmarkStart w:id="288" w:name="_Toc50642396"/>
            <w:bookmarkStart w:id="289" w:name="_Toc50642996"/>
            <w:bookmarkStart w:id="290" w:name="_Toc51240859"/>
            <w:bookmarkStart w:id="291" w:name="_Toc51763925"/>
            <w:r w:rsidRPr="0054696E">
              <w:rPr>
                <w:b w:val="0"/>
                <w:sz w:val="18"/>
                <w:szCs w:val="22"/>
              </w:rPr>
              <w:lastRenderedPageBreak/>
              <w:t>$25 increase to main benefits</w:t>
            </w:r>
            <w:bookmarkEnd w:id="288"/>
            <w:bookmarkEnd w:id="289"/>
            <w:bookmarkEnd w:id="290"/>
            <w:bookmarkEnd w:id="291"/>
          </w:p>
        </w:tc>
        <w:tc>
          <w:tcPr>
            <w:tcW w:w="5103" w:type="dxa"/>
          </w:tcPr>
          <w:p w14:paraId="2E439ED1" w14:textId="77777777" w:rsidR="00E36035" w:rsidRPr="0054696E"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92" w:name="_Toc50642397"/>
            <w:bookmarkStart w:id="293" w:name="_Toc50642997"/>
            <w:bookmarkStart w:id="294" w:name="_Toc51240860"/>
            <w:bookmarkStart w:id="295" w:name="_Toc51763926"/>
            <w:r>
              <w:rPr>
                <w:b w:val="0"/>
                <w:sz w:val="18"/>
                <w:szCs w:val="22"/>
              </w:rPr>
              <w:t>Main benefits increased on 1 April 2020 in-line with Wage Growth (indexation) and then by an additional $25 per week.</w:t>
            </w:r>
            <w:bookmarkEnd w:id="292"/>
            <w:bookmarkEnd w:id="293"/>
            <w:bookmarkEnd w:id="294"/>
            <w:bookmarkEnd w:id="295"/>
          </w:p>
        </w:tc>
        <w:tc>
          <w:tcPr>
            <w:tcW w:w="2126" w:type="dxa"/>
          </w:tcPr>
          <w:p w14:paraId="733096DB" w14:textId="77777777" w:rsidR="00E36035" w:rsidRPr="0054696E"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296" w:name="_Toc50642398"/>
            <w:bookmarkStart w:id="297" w:name="_Toc50642998"/>
            <w:bookmarkStart w:id="298" w:name="_Toc51240861"/>
            <w:bookmarkStart w:id="299" w:name="_Toc51763927"/>
            <w:r w:rsidRPr="0054696E">
              <w:rPr>
                <w:b w:val="0"/>
                <w:sz w:val="18"/>
                <w:szCs w:val="22"/>
              </w:rPr>
              <w:t>From 1 April 2020</w:t>
            </w:r>
            <w:r>
              <w:rPr>
                <w:b w:val="0"/>
                <w:sz w:val="18"/>
                <w:szCs w:val="22"/>
              </w:rPr>
              <w:t xml:space="preserve"> (permanent change)</w:t>
            </w:r>
            <w:bookmarkEnd w:id="296"/>
            <w:bookmarkEnd w:id="297"/>
            <w:bookmarkEnd w:id="298"/>
            <w:bookmarkEnd w:id="299"/>
          </w:p>
        </w:tc>
      </w:tr>
      <w:tr w:rsidR="00E36035" w14:paraId="45595481"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0284D47C" w14:textId="77777777" w:rsidR="00E36035" w:rsidRPr="0054696E" w:rsidRDefault="00E36035" w:rsidP="00E36035">
            <w:pPr>
              <w:pStyle w:val="Heading3"/>
              <w:keepNext w:val="0"/>
              <w:widowControl w:val="0"/>
              <w:outlineLvl w:val="2"/>
              <w:rPr>
                <w:b w:val="0"/>
                <w:sz w:val="18"/>
                <w:szCs w:val="22"/>
              </w:rPr>
            </w:pPr>
            <w:bookmarkStart w:id="300" w:name="_Toc50642399"/>
            <w:bookmarkStart w:id="301" w:name="_Toc50642999"/>
            <w:bookmarkStart w:id="302" w:name="_Toc51240862"/>
            <w:bookmarkStart w:id="303" w:name="_Toc51763928"/>
            <w:r w:rsidRPr="0054696E">
              <w:rPr>
                <w:b w:val="0"/>
                <w:sz w:val="18"/>
                <w:szCs w:val="22"/>
              </w:rPr>
              <w:t>Doubling the Winter Energy Payment (WEP)</w:t>
            </w:r>
            <w:bookmarkEnd w:id="300"/>
            <w:bookmarkEnd w:id="301"/>
            <w:bookmarkEnd w:id="302"/>
            <w:bookmarkEnd w:id="303"/>
          </w:p>
        </w:tc>
        <w:tc>
          <w:tcPr>
            <w:tcW w:w="5103" w:type="dxa"/>
          </w:tcPr>
          <w:p w14:paraId="3CD841F5" w14:textId="77777777" w:rsidR="00E36035" w:rsidRPr="0054696E"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304" w:name="_Toc50642400"/>
            <w:bookmarkStart w:id="305" w:name="_Toc50643000"/>
            <w:bookmarkStart w:id="306" w:name="_Toc51240863"/>
            <w:bookmarkStart w:id="307" w:name="_Toc51763929"/>
            <w:r w:rsidRPr="0054696E">
              <w:rPr>
                <w:b w:val="0"/>
                <w:sz w:val="18"/>
                <w:szCs w:val="22"/>
              </w:rPr>
              <w:t xml:space="preserve">To support </w:t>
            </w:r>
            <w:r>
              <w:rPr>
                <w:b w:val="0"/>
                <w:sz w:val="18"/>
                <w:szCs w:val="22"/>
              </w:rPr>
              <w:t>people receiving a main benefit or New Zealand Superannuation</w:t>
            </w:r>
            <w:r w:rsidRPr="0054696E">
              <w:rPr>
                <w:b w:val="0"/>
                <w:sz w:val="18"/>
                <w:szCs w:val="22"/>
              </w:rPr>
              <w:t>, the</w:t>
            </w:r>
            <w:r>
              <w:rPr>
                <w:b w:val="0"/>
                <w:sz w:val="18"/>
                <w:szCs w:val="22"/>
              </w:rPr>
              <w:t xml:space="preserve"> payment</w:t>
            </w:r>
            <w:r w:rsidRPr="0054696E">
              <w:rPr>
                <w:b w:val="0"/>
                <w:sz w:val="18"/>
                <w:szCs w:val="22"/>
              </w:rPr>
              <w:t xml:space="preserve"> rate of the WEP </w:t>
            </w:r>
            <w:r>
              <w:rPr>
                <w:b w:val="0"/>
                <w:sz w:val="18"/>
                <w:szCs w:val="22"/>
              </w:rPr>
              <w:t>was doubled temporarily for 2020. The rates for 2020 are $40.91 per week for single people and $63.64 per week for couples or people with dependants.</w:t>
            </w:r>
            <w:bookmarkEnd w:id="304"/>
            <w:bookmarkEnd w:id="305"/>
            <w:bookmarkEnd w:id="306"/>
            <w:bookmarkEnd w:id="307"/>
          </w:p>
        </w:tc>
        <w:tc>
          <w:tcPr>
            <w:tcW w:w="2126" w:type="dxa"/>
          </w:tcPr>
          <w:p w14:paraId="4F673497" w14:textId="77777777" w:rsidR="00E36035" w:rsidRPr="0054696E"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308" w:name="_Toc50642401"/>
            <w:bookmarkStart w:id="309" w:name="_Toc50643001"/>
            <w:bookmarkStart w:id="310" w:name="_Toc51240864"/>
            <w:bookmarkStart w:id="311" w:name="_Toc51763930"/>
            <w:r>
              <w:rPr>
                <w:b w:val="0"/>
                <w:sz w:val="18"/>
                <w:szCs w:val="22"/>
              </w:rPr>
              <w:t>May to October 2020 (temporary change)</w:t>
            </w:r>
            <w:bookmarkEnd w:id="308"/>
            <w:bookmarkEnd w:id="309"/>
            <w:bookmarkEnd w:id="310"/>
            <w:bookmarkEnd w:id="311"/>
          </w:p>
        </w:tc>
      </w:tr>
      <w:tr w:rsidR="00E36035" w14:paraId="0D31D1D7" w14:textId="77777777" w:rsidTr="00E36035">
        <w:tc>
          <w:tcPr>
            <w:cnfStyle w:val="001000000000" w:firstRow="0" w:lastRow="0" w:firstColumn="1" w:lastColumn="0" w:oddVBand="0" w:evenVBand="0" w:oddHBand="0" w:evenHBand="0" w:firstRowFirstColumn="0" w:firstRowLastColumn="0" w:lastRowFirstColumn="0" w:lastRowLastColumn="0"/>
            <w:tcW w:w="2122" w:type="dxa"/>
          </w:tcPr>
          <w:p w14:paraId="0F0BB5ED" w14:textId="77777777" w:rsidR="00E36035" w:rsidRPr="009015F3" w:rsidRDefault="00E36035" w:rsidP="00E36035">
            <w:pPr>
              <w:pStyle w:val="Heading3"/>
              <w:keepNext w:val="0"/>
              <w:widowControl w:val="0"/>
              <w:outlineLvl w:val="2"/>
              <w:rPr>
                <w:b w:val="0"/>
                <w:sz w:val="18"/>
                <w:szCs w:val="22"/>
              </w:rPr>
            </w:pPr>
            <w:bookmarkStart w:id="312" w:name="_Toc50642402"/>
            <w:bookmarkStart w:id="313" w:name="_Toc50643002"/>
            <w:bookmarkStart w:id="314" w:name="_Toc51240865"/>
            <w:bookmarkStart w:id="315" w:name="_Toc51763931"/>
            <w:r w:rsidRPr="007707A3">
              <w:rPr>
                <w:b w:val="0"/>
                <w:sz w:val="18"/>
                <w:szCs w:val="22"/>
              </w:rPr>
              <w:t>In-work tax credit</w:t>
            </w:r>
            <w:r>
              <w:rPr>
                <w:b w:val="0"/>
                <w:sz w:val="18"/>
                <w:szCs w:val="22"/>
              </w:rPr>
              <w:t xml:space="preserve"> changes</w:t>
            </w:r>
            <w:bookmarkEnd w:id="312"/>
            <w:bookmarkEnd w:id="313"/>
            <w:bookmarkEnd w:id="314"/>
            <w:bookmarkEnd w:id="315"/>
          </w:p>
        </w:tc>
        <w:tc>
          <w:tcPr>
            <w:tcW w:w="5103" w:type="dxa"/>
          </w:tcPr>
          <w:p w14:paraId="4F4F0F80" w14:textId="77777777" w:rsidR="00E36035" w:rsidRPr="009015F3"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316" w:name="_Toc50642403"/>
            <w:bookmarkStart w:id="317" w:name="_Toc50643003"/>
            <w:bookmarkStart w:id="318" w:name="_Toc51240866"/>
            <w:bookmarkStart w:id="319" w:name="_Toc51763932"/>
            <w:r>
              <w:rPr>
                <w:b w:val="0"/>
                <w:sz w:val="18"/>
                <w:szCs w:val="22"/>
              </w:rPr>
              <w:t>On 1 July 2020 the rule that sole parents must work 20 hours per week to receive the in-work tax credit was removed.</w:t>
            </w:r>
            <w:bookmarkEnd w:id="316"/>
            <w:bookmarkEnd w:id="317"/>
            <w:bookmarkEnd w:id="318"/>
            <w:bookmarkEnd w:id="319"/>
          </w:p>
        </w:tc>
        <w:tc>
          <w:tcPr>
            <w:tcW w:w="2126" w:type="dxa"/>
          </w:tcPr>
          <w:p w14:paraId="27128981" w14:textId="77777777" w:rsidR="00E36035" w:rsidRPr="009015F3" w:rsidRDefault="00E36035" w:rsidP="00E36035">
            <w:pPr>
              <w:pStyle w:val="Heading3"/>
              <w:keepNext w:val="0"/>
              <w:widowControl w:val="0"/>
              <w:outlineLvl w:val="2"/>
              <w:cnfStyle w:val="000000000000" w:firstRow="0" w:lastRow="0" w:firstColumn="0" w:lastColumn="0" w:oddVBand="0" w:evenVBand="0" w:oddHBand="0" w:evenHBand="0" w:firstRowFirstColumn="0" w:firstRowLastColumn="0" w:lastRowFirstColumn="0" w:lastRowLastColumn="0"/>
              <w:rPr>
                <w:b w:val="0"/>
                <w:sz w:val="18"/>
                <w:szCs w:val="22"/>
              </w:rPr>
            </w:pPr>
            <w:bookmarkStart w:id="320" w:name="_Toc50642404"/>
            <w:bookmarkStart w:id="321" w:name="_Toc50643004"/>
            <w:bookmarkStart w:id="322" w:name="_Toc51240867"/>
            <w:bookmarkStart w:id="323" w:name="_Toc51763933"/>
            <w:r w:rsidRPr="007707A3">
              <w:rPr>
                <w:b w:val="0"/>
                <w:sz w:val="18"/>
                <w:szCs w:val="22"/>
              </w:rPr>
              <w:t>From 1 July 2020</w:t>
            </w:r>
            <w:bookmarkEnd w:id="320"/>
            <w:bookmarkEnd w:id="321"/>
            <w:bookmarkEnd w:id="322"/>
            <w:bookmarkEnd w:id="323"/>
          </w:p>
        </w:tc>
      </w:tr>
    </w:tbl>
    <w:p w14:paraId="4B4BCC84" w14:textId="77777777" w:rsidR="00E36035" w:rsidRDefault="00E36035" w:rsidP="00E36035">
      <w:pPr>
        <w:pStyle w:val="Caption"/>
        <w:keepNext/>
        <w:spacing w:after="0"/>
      </w:pPr>
    </w:p>
    <w:bookmarkEnd w:id="13"/>
    <w:bookmarkEnd w:id="14"/>
    <w:bookmarkEnd w:id="15"/>
    <w:bookmarkEnd w:id="77"/>
    <w:bookmarkEnd w:id="78"/>
    <w:p w14:paraId="4E44AC14" w14:textId="77777777" w:rsidR="00E36035" w:rsidRDefault="00E36035" w:rsidP="00E36035">
      <w:pPr>
        <w:spacing w:after="0"/>
      </w:pPr>
    </w:p>
    <w:sectPr w:rsidR="00E36035" w:rsidSect="00E36035">
      <w:footerReference w:type="default" r:id="rId18"/>
      <w:type w:val="continuous"/>
      <w:pgSz w:w="11900" w:h="16840"/>
      <w:pgMar w:top="1134" w:right="1552" w:bottom="1701" w:left="1701"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2E0D9" w14:textId="77777777" w:rsidR="0088153D" w:rsidRDefault="0088153D" w:rsidP="00590845">
      <w:r>
        <w:separator/>
      </w:r>
    </w:p>
  </w:endnote>
  <w:endnote w:type="continuationSeparator" w:id="0">
    <w:p w14:paraId="289F9C08" w14:textId="77777777" w:rsidR="0088153D" w:rsidRDefault="0088153D" w:rsidP="0059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027354"/>
      <w:docPartObj>
        <w:docPartGallery w:val="Page Numbers (Bottom of Page)"/>
        <w:docPartUnique/>
      </w:docPartObj>
    </w:sdtPr>
    <w:sdtEndPr>
      <w:rPr>
        <w:rStyle w:val="PageNumber"/>
      </w:rPr>
    </w:sdtEndPr>
    <w:sdtContent>
      <w:p w14:paraId="6BB86FFF" w14:textId="21100296" w:rsidR="00523263" w:rsidRDefault="00523263" w:rsidP="00E360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09718473"/>
      <w:docPartObj>
        <w:docPartGallery w:val="Page Numbers (Bottom of Page)"/>
        <w:docPartUnique/>
      </w:docPartObj>
    </w:sdtPr>
    <w:sdtEndPr>
      <w:rPr>
        <w:rStyle w:val="PageNumber"/>
      </w:rPr>
    </w:sdtEndPr>
    <w:sdtContent>
      <w:p w14:paraId="09791E5E" w14:textId="2DAEDF5F" w:rsidR="00523263" w:rsidRDefault="00523263" w:rsidP="00A97F7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8D2A8" w14:textId="77777777" w:rsidR="00523263" w:rsidRDefault="00523263" w:rsidP="00A97F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eorgia" w:hAnsi="Georgia"/>
        <w:b/>
        <w:bCs/>
        <w:color w:val="252C65" w:themeColor="text2"/>
      </w:rPr>
      <w:id w:val="-479381246"/>
      <w:docPartObj>
        <w:docPartGallery w:val="Page Numbers (Bottom of Page)"/>
        <w:docPartUnique/>
      </w:docPartObj>
    </w:sdtPr>
    <w:sdtEndPr>
      <w:rPr>
        <w:rStyle w:val="PageNumber"/>
      </w:rPr>
    </w:sdtEndPr>
    <w:sdtContent>
      <w:p w14:paraId="5C7CC22A" w14:textId="7F5E7BFB" w:rsidR="00523263" w:rsidRPr="00A97F77" w:rsidRDefault="00523263" w:rsidP="00A97F77">
        <w:pPr>
          <w:pStyle w:val="Footer"/>
          <w:framePr w:wrap="none" w:vAnchor="text" w:hAnchor="margin" w:xAlign="right" w:y="1"/>
          <w:rPr>
            <w:rStyle w:val="PageNumber"/>
            <w:rFonts w:ascii="Georgia" w:hAnsi="Georgia"/>
            <w:b/>
            <w:bCs/>
            <w:color w:val="252C65" w:themeColor="text2"/>
          </w:rPr>
        </w:pPr>
        <w:r>
          <w:rPr>
            <w:rStyle w:val="PageNumber"/>
            <w:rFonts w:ascii="Georgia" w:hAnsi="Georgia"/>
            <w:b/>
            <w:bCs/>
            <w:color w:val="252C65" w:themeColor="text2"/>
          </w:rPr>
          <w:t xml:space="preserve">Page </w:t>
        </w:r>
        <w:r w:rsidRPr="00A97F77">
          <w:rPr>
            <w:rStyle w:val="PageNumber"/>
            <w:rFonts w:ascii="Georgia" w:hAnsi="Georgia"/>
            <w:b/>
            <w:bCs/>
            <w:color w:val="252C65" w:themeColor="text2"/>
          </w:rPr>
          <w:fldChar w:fldCharType="begin"/>
        </w:r>
        <w:r w:rsidRPr="00A97F77">
          <w:rPr>
            <w:rStyle w:val="PageNumber"/>
            <w:rFonts w:ascii="Georgia" w:hAnsi="Georgia"/>
            <w:b/>
            <w:bCs/>
            <w:color w:val="252C65" w:themeColor="text2"/>
          </w:rPr>
          <w:instrText xml:space="preserve"> PAGE </w:instrText>
        </w:r>
        <w:r w:rsidRPr="00A97F77">
          <w:rPr>
            <w:rStyle w:val="PageNumber"/>
            <w:rFonts w:ascii="Georgia" w:hAnsi="Georgia"/>
            <w:b/>
            <w:bCs/>
            <w:color w:val="252C65" w:themeColor="text2"/>
          </w:rPr>
          <w:fldChar w:fldCharType="separate"/>
        </w:r>
        <w:r w:rsidRPr="00A97F77">
          <w:rPr>
            <w:rStyle w:val="PageNumber"/>
            <w:rFonts w:ascii="Georgia" w:hAnsi="Georgia"/>
            <w:b/>
            <w:bCs/>
            <w:noProof/>
            <w:color w:val="252C65" w:themeColor="text2"/>
          </w:rPr>
          <w:t>1</w:t>
        </w:r>
        <w:r w:rsidRPr="00A97F77">
          <w:rPr>
            <w:rStyle w:val="PageNumber"/>
            <w:rFonts w:ascii="Georgia" w:hAnsi="Georgia"/>
            <w:b/>
            <w:bCs/>
            <w:color w:val="252C65" w:themeColor="text2"/>
          </w:rPr>
          <w:fldChar w:fldCharType="end"/>
        </w:r>
      </w:p>
    </w:sdtContent>
  </w:sdt>
  <w:p w14:paraId="22EAC35E" w14:textId="1AC7C0AE" w:rsidR="00523263" w:rsidRPr="00A97F77" w:rsidRDefault="00523263" w:rsidP="00A97F77">
    <w:pPr>
      <w:pStyle w:val="Footer"/>
      <w:ind w:right="360"/>
      <w:rPr>
        <w:rFonts w:ascii="Georgia" w:hAnsi="Georgia"/>
        <w:b/>
        <w:bCs/>
        <w:color w:val="252C65" w:themeColor="text2"/>
      </w:rPr>
    </w:pPr>
    <w:r>
      <w:rPr>
        <w:rFonts w:ascii="Georgia" w:hAnsi="Georgia"/>
        <w:b/>
        <w:bCs/>
        <w:color w:val="252C65" w:themeColor="text2"/>
      </w:rPr>
      <w:t>Benefit System Update | August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9896" w14:textId="2C77D6C8" w:rsidR="00523263" w:rsidRPr="00656BE5" w:rsidRDefault="00523263" w:rsidP="00E36035">
    <w:pPr>
      <w:pStyle w:val="Footer"/>
      <w:tabs>
        <w:tab w:val="clear" w:pos="9026"/>
        <w:tab w:val="right" w:pos="8647"/>
      </w:tabs>
      <w:rPr>
        <w:rFonts w:ascii="Georgia" w:hAnsi="Georgia"/>
        <w:b/>
        <w:bCs/>
        <w:color w:val="252C65" w:themeColor="text2"/>
        <w:sz w:val="18"/>
        <w:szCs w:val="18"/>
      </w:rPr>
    </w:pPr>
    <w:r w:rsidRPr="00656BE5">
      <w:rPr>
        <w:rStyle w:val="PageNumber"/>
        <w:rFonts w:ascii="Georgia" w:hAnsi="Georgia"/>
        <w:b/>
        <w:bCs/>
        <w:color w:val="252C65" w:themeColor="text2"/>
        <w:sz w:val="18"/>
        <w:szCs w:val="18"/>
      </w:rPr>
      <w:t xml:space="preserve">Page </w:t>
    </w:r>
    <w:r w:rsidRPr="00973177">
      <w:rPr>
        <w:rStyle w:val="PageNumber"/>
        <w:rFonts w:ascii="Georgia" w:hAnsi="Georgia"/>
        <w:b/>
        <w:bCs/>
        <w:color w:val="252C65" w:themeColor="text2"/>
        <w:sz w:val="18"/>
        <w:szCs w:val="18"/>
      </w:rPr>
      <w:fldChar w:fldCharType="begin"/>
    </w:r>
    <w:r w:rsidRPr="00973177">
      <w:rPr>
        <w:rStyle w:val="PageNumber"/>
        <w:rFonts w:ascii="Georgia" w:hAnsi="Georgia"/>
        <w:b/>
        <w:bCs/>
        <w:color w:val="252C65" w:themeColor="text2"/>
        <w:sz w:val="18"/>
        <w:szCs w:val="18"/>
      </w:rPr>
      <w:instrText xml:space="preserve"> PAGE   \* MERGEFORMAT </w:instrText>
    </w:r>
    <w:r w:rsidRPr="00973177">
      <w:rPr>
        <w:rStyle w:val="PageNumber"/>
        <w:rFonts w:ascii="Georgia" w:hAnsi="Georgia"/>
        <w:b/>
        <w:bCs/>
        <w:color w:val="252C65" w:themeColor="text2"/>
        <w:sz w:val="18"/>
        <w:szCs w:val="18"/>
      </w:rPr>
      <w:fldChar w:fldCharType="separate"/>
    </w:r>
    <w:r w:rsidRPr="00973177">
      <w:rPr>
        <w:rStyle w:val="PageNumber"/>
        <w:rFonts w:ascii="Georgia" w:hAnsi="Georgia"/>
        <w:b/>
        <w:bCs/>
        <w:noProof/>
        <w:color w:val="252C65" w:themeColor="text2"/>
        <w:sz w:val="18"/>
        <w:szCs w:val="18"/>
      </w:rPr>
      <w:t>1</w:t>
    </w:r>
    <w:r w:rsidRPr="00973177">
      <w:rPr>
        <w:rStyle w:val="PageNumber"/>
        <w:rFonts w:ascii="Georgia" w:hAnsi="Georgia"/>
        <w:b/>
        <w:bCs/>
        <w:noProof/>
        <w:color w:val="252C65" w:themeColor="text2"/>
        <w:sz w:val="18"/>
        <w:szCs w:val="18"/>
      </w:rPr>
      <w:fldChar w:fldCharType="end"/>
    </w:r>
    <w:r>
      <w:rPr>
        <w:rStyle w:val="PageNumber"/>
        <w:rFonts w:ascii="Georgia" w:hAnsi="Georgia"/>
        <w:b/>
        <w:bCs/>
        <w:noProof/>
        <w:color w:val="252C65" w:themeColor="text2"/>
        <w:sz w:val="18"/>
        <w:szCs w:val="18"/>
      </w:rPr>
      <w:tab/>
    </w:r>
    <w:r>
      <w:rPr>
        <w:rStyle w:val="PageNumber"/>
        <w:rFonts w:ascii="Georgia" w:hAnsi="Georgia"/>
        <w:b/>
        <w:bCs/>
        <w:noProof/>
        <w:color w:val="252C65" w:themeColor="text2"/>
        <w:sz w:val="18"/>
        <w:szCs w:val="18"/>
      </w:rPr>
      <w:tab/>
      <w:t>Benefit System Update |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8C20B" w14:textId="77777777" w:rsidR="0088153D" w:rsidRPr="004A542A" w:rsidRDefault="0088153D" w:rsidP="00590845">
      <w:pPr>
        <w:rPr>
          <w:b/>
          <w:bCs/>
          <w:color w:val="252C65" w:themeColor="text2"/>
        </w:rPr>
      </w:pPr>
      <w:r w:rsidRPr="004A542A">
        <w:rPr>
          <w:b/>
          <w:bCs/>
          <w:color w:val="252C65" w:themeColor="text2"/>
        </w:rPr>
        <w:separator/>
      </w:r>
    </w:p>
  </w:footnote>
  <w:footnote w:type="continuationSeparator" w:id="0">
    <w:p w14:paraId="410B3D97" w14:textId="77777777" w:rsidR="0088153D" w:rsidRDefault="0088153D" w:rsidP="00590845">
      <w:r>
        <w:continuationSeparator/>
      </w:r>
    </w:p>
  </w:footnote>
  <w:footnote w:id="1">
    <w:p w14:paraId="3A9AD86D" w14:textId="3FE6FA4D" w:rsidR="00523263" w:rsidRDefault="00523263">
      <w:pPr>
        <w:pStyle w:val="FootnoteText"/>
      </w:pPr>
      <w:r>
        <w:rPr>
          <w:rStyle w:val="FootnoteReference"/>
        </w:rPr>
        <w:footnoteRef/>
      </w:r>
      <w:r>
        <w:t xml:space="preserve"> </w:t>
      </w:r>
      <w:r w:rsidRPr="00AA3DBF">
        <w:t>https://www.msd.govt.nz/about-msd-and-our-work/publications-resources/statistics/covid-19/covid-19-evidence.html</w:t>
      </w:r>
    </w:p>
  </w:footnote>
  <w:footnote w:id="2">
    <w:p w14:paraId="539EBF41" w14:textId="3E671E57" w:rsidR="00523263" w:rsidRPr="00AC0949" w:rsidRDefault="00523263" w:rsidP="00F75919">
      <w:pPr>
        <w:pStyle w:val="FootnoteText"/>
        <w:tabs>
          <w:tab w:val="left" w:pos="284"/>
        </w:tabs>
      </w:pPr>
      <w:r>
        <w:rPr>
          <w:rStyle w:val="FootnoteReference"/>
        </w:rPr>
        <w:footnoteRef/>
      </w:r>
      <w:hyperlink r:id="rId1" w:history="1">
        <w:r w:rsidRPr="00AC0949">
          <w:rPr>
            <w:rStyle w:val="Hyperlink"/>
            <w:color w:val="auto"/>
            <w:szCs w:val="18"/>
            <w:u w:val="none"/>
          </w:rPr>
          <w:t>https://www.rbnz.govt.nz/-/media/ReserveBank/Files/Publications/Analytical%20notes/2018/an2018-01.pdf?revision=7377a00f-a898-43d4-b1b2-5dbff8005bdb</w:t>
        </w:r>
      </w:hyperlink>
      <w:r w:rsidRPr="00AC0949">
        <w:rPr>
          <w:sz w:val="16"/>
        </w:rPr>
        <w:t xml:space="preserve"> </w:t>
      </w:r>
    </w:p>
  </w:footnote>
  <w:footnote w:id="3">
    <w:p w14:paraId="02D3F6C9" w14:textId="746998A4" w:rsidR="00523263" w:rsidRPr="00AC0949" w:rsidRDefault="00523263" w:rsidP="00F75919">
      <w:pPr>
        <w:pStyle w:val="FootnoteText"/>
        <w:tabs>
          <w:tab w:val="left" w:pos="284"/>
        </w:tabs>
      </w:pPr>
      <w:r w:rsidRPr="00AC0949">
        <w:rPr>
          <w:rStyle w:val="FootnoteReference"/>
        </w:rPr>
        <w:footnoteRef/>
      </w:r>
      <w:hyperlink r:id="rId2" w:history="1">
        <w:r w:rsidRPr="00AC0949">
          <w:rPr>
            <w:rStyle w:val="Hyperlink"/>
            <w:color w:val="auto"/>
            <w:u w:val="none"/>
          </w:rPr>
          <w:t>https://www.anz.co.nz/content/dam/anzconz/documents/economics-and-market-research/2020/ANZ-CPI-20200304.pdf</w:t>
        </w:r>
      </w:hyperlink>
      <w:r w:rsidRPr="00AC0949">
        <w:t xml:space="preserve"> </w:t>
      </w:r>
    </w:p>
  </w:footnote>
  <w:footnote w:id="4">
    <w:p w14:paraId="18AF1EF7" w14:textId="376B615A" w:rsidR="00523263" w:rsidRPr="00AC0949" w:rsidRDefault="00523263" w:rsidP="00F75919">
      <w:pPr>
        <w:pStyle w:val="FootnoteText"/>
        <w:tabs>
          <w:tab w:val="left" w:pos="284"/>
        </w:tabs>
        <w:rPr>
          <w:szCs w:val="18"/>
        </w:rPr>
      </w:pPr>
      <w:r w:rsidRPr="00AC0949">
        <w:rPr>
          <w:rStyle w:val="FootnoteReference"/>
          <w:szCs w:val="18"/>
        </w:rPr>
        <w:footnoteRef/>
      </w:r>
      <w:r w:rsidRPr="00AC0949">
        <w:rPr>
          <w:szCs w:val="18"/>
        </w:rPr>
        <w:t xml:space="preserve"> </w:t>
      </w:r>
      <w:hyperlink r:id="rId3" w:history="1">
        <w:r w:rsidRPr="00AC0949">
          <w:rPr>
            <w:rFonts w:cs="Arial"/>
            <w:szCs w:val="18"/>
            <w:lang w:eastAsia="en-NZ"/>
          </w:rPr>
          <w:t>https://shorthand.radionz.co.nz/coronavirus-timeline/</w:t>
        </w:r>
      </w:hyperlink>
    </w:p>
  </w:footnote>
  <w:footnote w:id="5">
    <w:p w14:paraId="1143A814" w14:textId="77777777" w:rsidR="00523263" w:rsidRPr="00AC0949" w:rsidRDefault="00523263" w:rsidP="00F75919">
      <w:pPr>
        <w:pStyle w:val="FootnoteText"/>
        <w:tabs>
          <w:tab w:val="left" w:pos="284"/>
        </w:tabs>
        <w:rPr>
          <w:szCs w:val="18"/>
        </w:rPr>
      </w:pPr>
      <w:r w:rsidRPr="00AC0949">
        <w:rPr>
          <w:rStyle w:val="FootnoteReference"/>
          <w:szCs w:val="18"/>
        </w:rPr>
        <w:footnoteRef/>
      </w:r>
      <w:r w:rsidRPr="00AC0949">
        <w:rPr>
          <w:szCs w:val="18"/>
        </w:rPr>
        <w:t xml:space="preserve"> </w:t>
      </w:r>
      <w:hyperlink r:id="rId4" w:history="1">
        <w:r w:rsidRPr="00AC0949">
          <w:rPr>
            <w:rStyle w:val="Hyperlink"/>
            <w:color w:val="auto"/>
            <w:szCs w:val="18"/>
            <w:u w:val="none"/>
          </w:rPr>
          <w:t>https://www.mbie.govt.nz/immigration-and-tourism/tourism-research-and-data/tourism-data-releases/tourism-and-the-economy/</w:t>
        </w:r>
      </w:hyperlink>
    </w:p>
  </w:footnote>
  <w:footnote w:id="6">
    <w:p w14:paraId="6B93B02D" w14:textId="77777777" w:rsidR="00523263" w:rsidRDefault="00523263" w:rsidP="00F75919">
      <w:pPr>
        <w:pStyle w:val="FootnoteText"/>
      </w:pPr>
      <w:r w:rsidRPr="00AC0949">
        <w:rPr>
          <w:rStyle w:val="FootnoteReference"/>
        </w:rPr>
        <w:footnoteRef/>
      </w:r>
      <w:r w:rsidRPr="00AC0949">
        <w:t xml:space="preserve"> </w:t>
      </w:r>
      <w:hyperlink r:id="rId5" w:history="1">
        <w:r w:rsidRPr="00AC0949">
          <w:rPr>
            <w:rStyle w:val="Hyperlink"/>
            <w:color w:val="auto"/>
            <w:u w:val="none"/>
          </w:rPr>
          <w:t>https://enz.govt.nz/news-and-research/ed-news/international-education-contributes-5-1-billion-to-new-zealand</w:t>
        </w:r>
      </w:hyperlink>
      <w:r w:rsidRPr="00AC0949">
        <w:t xml:space="preserve"> </w:t>
      </w:r>
    </w:p>
  </w:footnote>
  <w:footnote w:id="7">
    <w:p w14:paraId="4C857224" w14:textId="2AAFD4A4" w:rsidR="00523263" w:rsidRPr="00AC0949" w:rsidRDefault="00523263" w:rsidP="00F75919">
      <w:pPr>
        <w:pStyle w:val="FootnoteText"/>
        <w:tabs>
          <w:tab w:val="left" w:pos="284"/>
        </w:tabs>
        <w:rPr>
          <w:szCs w:val="18"/>
        </w:rPr>
      </w:pPr>
      <w:r w:rsidRPr="00AC0949">
        <w:rPr>
          <w:rStyle w:val="FootnoteReference"/>
          <w:szCs w:val="18"/>
        </w:rPr>
        <w:footnoteRef/>
      </w:r>
      <w:hyperlink r:id="rId6" w:history="1">
        <w:r w:rsidRPr="00AC0949">
          <w:rPr>
            <w:rStyle w:val="Hyperlink"/>
            <w:rFonts w:cs="Arial"/>
            <w:color w:val="auto"/>
            <w:szCs w:val="18"/>
            <w:u w:val="none"/>
            <w:lang w:eastAsia="en-NZ"/>
          </w:rPr>
          <w:t>https://www.rbnz.govt.nz/-/media/ReserveBank/Files/Publications/Analytical%20notes/2020/AN2020-04.pdf?revision=6c59d0c8-a81f-48bb-931c-0e38209139ba</w:t>
        </w:r>
      </w:hyperlink>
    </w:p>
  </w:footnote>
  <w:footnote w:id="8">
    <w:p w14:paraId="2B57213C" w14:textId="48A2BE15" w:rsidR="00523263" w:rsidRPr="00AC0949" w:rsidRDefault="00523263" w:rsidP="00F75919">
      <w:pPr>
        <w:pStyle w:val="FootnoteText"/>
        <w:rPr>
          <w:szCs w:val="18"/>
        </w:rPr>
      </w:pPr>
      <w:r w:rsidRPr="00F75919">
        <w:rPr>
          <w:rStyle w:val="FootnoteReference"/>
          <w:szCs w:val="18"/>
        </w:rPr>
        <w:footnoteRef/>
      </w:r>
      <w:r w:rsidRPr="00F75919">
        <w:rPr>
          <w:szCs w:val="18"/>
        </w:rPr>
        <w:t xml:space="preserve"> </w:t>
      </w:r>
      <w:hyperlink r:id="rId7" w:history="1">
        <w:r w:rsidRPr="00AC0949">
          <w:rPr>
            <w:rStyle w:val="Hyperlink"/>
            <w:color w:val="auto"/>
            <w:szCs w:val="18"/>
            <w:u w:val="none"/>
          </w:rPr>
          <w:t>https://www.mckinsey.com/industries/healthcare-systems-and-services/our-insights/covid-19-saving-thousands-of-lives-and-trillions-in-livelihoods</w:t>
        </w:r>
      </w:hyperlink>
    </w:p>
  </w:footnote>
  <w:footnote w:id="9">
    <w:p w14:paraId="5BF5EE99" w14:textId="77777777" w:rsidR="00523263" w:rsidRPr="00AC0949" w:rsidRDefault="00523263" w:rsidP="00F75919">
      <w:pPr>
        <w:pStyle w:val="FootnoteText"/>
      </w:pPr>
      <w:r w:rsidRPr="00AC0949">
        <w:rPr>
          <w:rStyle w:val="FootnoteReference"/>
          <w:szCs w:val="18"/>
        </w:rPr>
        <w:footnoteRef/>
      </w:r>
      <w:r w:rsidRPr="00AC0949">
        <w:rPr>
          <w:szCs w:val="18"/>
        </w:rPr>
        <w:t xml:space="preserve"> Based on The Treasury’s Budget Economic and Fiscal Update (BEFU) 2020 that was published in May 2020.</w:t>
      </w:r>
    </w:p>
  </w:footnote>
  <w:footnote w:id="10">
    <w:p w14:paraId="407C56C4" w14:textId="7D196DBF" w:rsidR="00523263" w:rsidRPr="002347F6" w:rsidRDefault="00523263" w:rsidP="00F75919">
      <w:pPr>
        <w:pStyle w:val="FootnoteText"/>
        <w:rPr>
          <w:rFonts w:cs="Arial"/>
          <w:szCs w:val="18"/>
          <w:lang w:eastAsia="en-NZ"/>
        </w:rPr>
      </w:pPr>
      <w:r w:rsidRPr="00AC0949">
        <w:rPr>
          <w:rStyle w:val="FootnoteReference"/>
          <w:szCs w:val="18"/>
        </w:rPr>
        <w:footnoteRef/>
      </w:r>
      <w:r w:rsidRPr="00AC0949">
        <w:rPr>
          <w:szCs w:val="18"/>
        </w:rPr>
        <w:t xml:space="preserve"> </w:t>
      </w:r>
      <w:hyperlink r:id="rId8" w:history="1">
        <w:r w:rsidRPr="00AC0949">
          <w:rPr>
            <w:rFonts w:cs="Arial"/>
            <w:szCs w:val="18"/>
            <w:lang w:eastAsia="en-NZ"/>
          </w:rPr>
          <w:t>https://www.anz.co.nz/content/dam/anzconz/documents/economics-and-market-research/2020/ANZ-BusinessOutlook20200630.pdf</w:t>
        </w:r>
      </w:hyperlink>
    </w:p>
  </w:footnote>
  <w:footnote w:id="11">
    <w:p w14:paraId="20CCC35F" w14:textId="77777777" w:rsidR="00523263" w:rsidRPr="00AC0949" w:rsidRDefault="00523263" w:rsidP="00F75919">
      <w:pPr>
        <w:pStyle w:val="FootnoteText"/>
        <w:rPr>
          <w:szCs w:val="18"/>
        </w:rPr>
      </w:pPr>
      <w:r w:rsidRPr="00387893">
        <w:rPr>
          <w:rStyle w:val="FootnoteReference"/>
          <w:sz w:val="16"/>
        </w:rPr>
        <w:footnoteRef/>
      </w:r>
      <w:r w:rsidRPr="00387893">
        <w:rPr>
          <w:sz w:val="16"/>
        </w:rPr>
        <w:t xml:space="preserve"> </w:t>
      </w:r>
      <w:hyperlink r:id="rId9" w:history="1">
        <w:r w:rsidRPr="00AC0949">
          <w:rPr>
            <w:rFonts w:cs="Arial"/>
            <w:szCs w:val="18"/>
            <w:lang w:eastAsia="en-NZ"/>
          </w:rPr>
          <w:t>https://treasury.govt.nz/sites/default/files/2020-06/nzac-qanda-note-30jun20.pdf</w:t>
        </w:r>
      </w:hyperlink>
    </w:p>
  </w:footnote>
  <w:footnote w:id="12">
    <w:p w14:paraId="6A6FC616" w14:textId="77777777" w:rsidR="00523263" w:rsidRPr="00AC0949" w:rsidRDefault="00523263" w:rsidP="00F75919">
      <w:pPr>
        <w:pStyle w:val="FootnoteText"/>
        <w:rPr>
          <w:szCs w:val="18"/>
        </w:rPr>
      </w:pPr>
      <w:r w:rsidRPr="00AC0949">
        <w:rPr>
          <w:rStyle w:val="FootnoteReference"/>
          <w:szCs w:val="18"/>
        </w:rPr>
        <w:footnoteRef/>
      </w:r>
      <w:r w:rsidRPr="00AC0949">
        <w:rPr>
          <w:szCs w:val="18"/>
        </w:rPr>
        <w:t xml:space="preserve"> The New Zealand Activity Index is a new monthly composite series made up of seven economic indicators which seeks to track movements in the New Zealand economy. The seven components of the index are consumer spending, unemployment, job vacancies, traffic volumes, electricity generation, business outlook, and manufacturing activity.</w:t>
      </w:r>
    </w:p>
  </w:footnote>
  <w:footnote w:id="13">
    <w:p w14:paraId="02B52A7B" w14:textId="77777777" w:rsidR="00523263" w:rsidRPr="00AC0949" w:rsidRDefault="00523263" w:rsidP="00F75919">
      <w:pPr>
        <w:pStyle w:val="FootnoteText"/>
        <w:rPr>
          <w:szCs w:val="18"/>
        </w:rPr>
      </w:pPr>
      <w:r w:rsidRPr="00AC0949">
        <w:rPr>
          <w:rStyle w:val="FootnoteReference"/>
          <w:szCs w:val="18"/>
        </w:rPr>
        <w:footnoteRef/>
      </w:r>
      <w:r w:rsidRPr="00AC0949">
        <w:rPr>
          <w:szCs w:val="18"/>
        </w:rPr>
        <w:t xml:space="preserve"> </w:t>
      </w:r>
      <w:hyperlink r:id="rId10" w:history="1">
        <w:r w:rsidRPr="00AC0949">
          <w:rPr>
            <w:rFonts w:cs="Arial"/>
            <w:szCs w:val="18"/>
            <w:lang w:eastAsia="en-NZ"/>
          </w:rPr>
          <w:t>https://treasury.govt.nz/publications/nzac/nzac-qa-note-html</w:t>
        </w:r>
      </w:hyperlink>
      <w:r w:rsidRPr="00AC0949">
        <w:rPr>
          <w:rFonts w:cs="Arial"/>
          <w:szCs w:val="18"/>
          <w:lang w:eastAsia="en-NZ"/>
        </w:rPr>
        <w:t xml:space="preserve"> - See FAQ 9</w:t>
      </w:r>
    </w:p>
  </w:footnote>
  <w:footnote w:id="14">
    <w:p w14:paraId="7B2B6774" w14:textId="77777777" w:rsidR="00523263" w:rsidRPr="00F75919" w:rsidRDefault="00523263" w:rsidP="00F75919">
      <w:pPr>
        <w:pStyle w:val="FootnoteText"/>
        <w:rPr>
          <w:szCs w:val="18"/>
        </w:rPr>
      </w:pPr>
      <w:r w:rsidRPr="00AC0949">
        <w:rPr>
          <w:rStyle w:val="FootnoteReference"/>
          <w:szCs w:val="18"/>
        </w:rPr>
        <w:footnoteRef/>
      </w:r>
      <w:r w:rsidRPr="00AC0949">
        <w:rPr>
          <w:szCs w:val="18"/>
        </w:rPr>
        <w:t xml:space="preserve"> Statistics NZ reported the unemployment rate at week 1 of the June quarter was 1.5% during Level 4, but rose to 6.2% by week 13. </w:t>
      </w:r>
      <w:hyperlink r:id="rId11" w:history="1">
        <w:r w:rsidRPr="00AC0949">
          <w:rPr>
            <w:rStyle w:val="Hyperlink"/>
            <w:color w:val="auto"/>
            <w:szCs w:val="18"/>
            <w:u w:val="none"/>
          </w:rPr>
          <w:t>https://www.stats.govt.nz/news/covid-19-slows-labour-market-activity</w:t>
        </w:r>
      </w:hyperlink>
      <w:r w:rsidRPr="00AC0949">
        <w:rPr>
          <w:szCs w:val="18"/>
        </w:rPr>
        <w:t xml:space="preserve">. </w:t>
      </w:r>
    </w:p>
  </w:footnote>
  <w:footnote w:id="15">
    <w:p w14:paraId="46D0D5E7" w14:textId="77777777" w:rsidR="00523263" w:rsidRPr="00AC0949" w:rsidRDefault="00523263" w:rsidP="00F75919">
      <w:pPr>
        <w:pStyle w:val="FootnoteText"/>
        <w:rPr>
          <w:szCs w:val="18"/>
        </w:rPr>
      </w:pPr>
      <w:r w:rsidRPr="00F75919">
        <w:rPr>
          <w:rStyle w:val="FootnoteReference"/>
          <w:szCs w:val="18"/>
        </w:rPr>
        <w:footnoteRef/>
      </w:r>
      <w:r w:rsidRPr="00F75919">
        <w:rPr>
          <w:szCs w:val="18"/>
        </w:rPr>
        <w:t xml:space="preserve"> </w:t>
      </w:r>
      <w:hyperlink r:id="rId12" w:history="1">
        <w:r w:rsidRPr="00AC0949">
          <w:rPr>
            <w:rFonts w:cs="Arial"/>
            <w:szCs w:val="18"/>
            <w:lang w:eastAsia="en-NZ"/>
          </w:rPr>
          <w:t>https://nzier.org.nz/static/media/filer_public/e0/2f/e02f3f0c-a26f-4a0c-8acf-5737423ef337/nzier_insight_90_land-based_industries.pdf</w:t>
        </w:r>
      </w:hyperlink>
    </w:p>
  </w:footnote>
  <w:footnote w:id="16">
    <w:p w14:paraId="54AACC2B" w14:textId="77777777" w:rsidR="00523263" w:rsidRPr="00387893" w:rsidRDefault="00523263" w:rsidP="00F75919">
      <w:pPr>
        <w:pStyle w:val="FootnoteText"/>
        <w:rPr>
          <w:sz w:val="16"/>
        </w:rPr>
      </w:pPr>
      <w:r w:rsidRPr="00AC0949">
        <w:rPr>
          <w:rStyle w:val="FootnoteReference"/>
          <w:szCs w:val="18"/>
        </w:rPr>
        <w:footnoteRef/>
      </w:r>
      <w:r w:rsidRPr="00AC0949">
        <w:rPr>
          <w:szCs w:val="18"/>
        </w:rPr>
        <w:t xml:space="preserve"> </w:t>
      </w:r>
      <w:hyperlink r:id="rId13" w:history="1">
        <w:r w:rsidRPr="00AC0949">
          <w:rPr>
            <w:rFonts w:cs="Arial"/>
            <w:szCs w:val="18"/>
            <w:lang w:eastAsia="en-NZ"/>
          </w:rPr>
          <w:t>http://www.oecd.org/economic-outlook/june-2020/</w:t>
        </w:r>
      </w:hyperlink>
    </w:p>
  </w:footnote>
  <w:footnote w:id="17">
    <w:p w14:paraId="28AB6BDD" w14:textId="77777777" w:rsidR="00523263" w:rsidRPr="00387893" w:rsidRDefault="00523263" w:rsidP="00E36035">
      <w:pPr>
        <w:pStyle w:val="FootnoteText"/>
        <w:rPr>
          <w:sz w:val="16"/>
        </w:rPr>
      </w:pPr>
      <w:r w:rsidRPr="00387893">
        <w:rPr>
          <w:rStyle w:val="FootnoteReference"/>
          <w:sz w:val="16"/>
        </w:rPr>
        <w:footnoteRef/>
      </w:r>
      <w:r w:rsidRPr="00387893">
        <w:rPr>
          <w:sz w:val="16"/>
        </w:rPr>
        <w:t xml:space="preserve"> </w:t>
      </w:r>
      <w:r w:rsidRPr="00A0458A">
        <w:t>Numbers used in this graph will not match the official counts in the Benefit Fact Sheets because they are weekly counts as at Fridays and include people of all ages. Week 0 for the COVID-19 period began on 20 March 2020.</w:t>
      </w:r>
    </w:p>
  </w:footnote>
  <w:footnote w:id="18">
    <w:p w14:paraId="47A726CB" w14:textId="77777777" w:rsidR="00523263" w:rsidRPr="00AC0949" w:rsidRDefault="00523263" w:rsidP="00E36035">
      <w:pPr>
        <w:pStyle w:val="FootnoteText"/>
      </w:pPr>
      <w:r>
        <w:rPr>
          <w:rStyle w:val="FootnoteReference"/>
        </w:rPr>
        <w:footnoteRef/>
      </w:r>
      <w:r>
        <w:t xml:space="preserve"> </w:t>
      </w:r>
      <w:hyperlink r:id="rId14" w:history="1">
        <w:r w:rsidRPr="00AC0949">
          <w:rPr>
            <w:rStyle w:val="Hyperlink"/>
            <w:color w:val="auto"/>
            <w:u w:val="none"/>
          </w:rPr>
          <w:t>https://www.msd.govt.nz/documents/about-msd-and-our-work/publications-resources/statistics/covid-19/impact-of-covid-on-benefit-numbers-in-historic-perspective-12-august.pdf</w:t>
        </w:r>
      </w:hyperlink>
      <w:r w:rsidRPr="00AC0949">
        <w:t xml:space="preserve"> </w:t>
      </w:r>
    </w:p>
  </w:footnote>
  <w:footnote w:id="19">
    <w:p w14:paraId="7288117C" w14:textId="77777777" w:rsidR="00523263" w:rsidRPr="00BB54F7" w:rsidRDefault="00523263" w:rsidP="00E36035">
      <w:pPr>
        <w:pStyle w:val="FootnoteText"/>
        <w:rPr>
          <w:sz w:val="14"/>
        </w:rPr>
      </w:pPr>
      <w:r w:rsidRPr="00AC0949">
        <w:rPr>
          <w:rStyle w:val="FootnoteReference"/>
          <w:sz w:val="16"/>
        </w:rPr>
        <w:footnoteRef/>
      </w:r>
      <w:r w:rsidRPr="00AC0949">
        <w:rPr>
          <w:sz w:val="16"/>
        </w:rPr>
        <w:t xml:space="preserve"> </w:t>
      </w:r>
      <w:hyperlink r:id="rId15" w:history="1">
        <w:r w:rsidRPr="00AC0949">
          <w:rPr>
            <w:rStyle w:val="Hyperlink"/>
            <w:color w:val="auto"/>
            <w:szCs w:val="18"/>
            <w:u w:val="none"/>
          </w:rPr>
          <w:t>https://www.msd.govt.nz/documents/about-msd-and-our-work/publications-resources/statistics/benefit/2020/topic-briefs/topic-brief-jobseeker-support-work-ready-grants-to-end-april-2020.pdf</w:t>
        </w:r>
      </w:hyperlink>
    </w:p>
  </w:footnote>
  <w:footnote w:id="20">
    <w:p w14:paraId="6913B6C8" w14:textId="2FD873AC" w:rsidR="00523263" w:rsidRDefault="00523263" w:rsidP="00E36035">
      <w:pPr>
        <w:pStyle w:val="FootnoteText"/>
      </w:pPr>
      <w:r>
        <w:rPr>
          <w:rStyle w:val="FootnoteReference"/>
        </w:rPr>
        <w:footnoteRef/>
      </w:r>
      <w:r>
        <w:t xml:space="preserve"> Note that the ‘unspecified’ ethnicity (blue line) is included in the data because MSD did not require an ethnicity to be recorded for people applying for a benefit before July 2013. Since July 2013, this has been replaced with an option not to record an ethnicity (yellow line).</w:t>
      </w:r>
    </w:p>
  </w:footnote>
  <w:footnote w:id="21">
    <w:p w14:paraId="54EC9E88" w14:textId="77777777" w:rsidR="00523263" w:rsidRDefault="00523263" w:rsidP="00E36035">
      <w:pPr>
        <w:pStyle w:val="FootnoteText"/>
      </w:pPr>
      <w:r>
        <w:rPr>
          <w:rStyle w:val="FootnoteReference"/>
        </w:rPr>
        <w:footnoteRef/>
      </w:r>
      <w:r>
        <w:t xml:space="preserve"> Based on unpublished 2019 data</w:t>
      </w:r>
    </w:p>
  </w:footnote>
  <w:footnote w:id="22">
    <w:p w14:paraId="148AAF2F" w14:textId="77777777" w:rsidR="00523263" w:rsidRDefault="00523263" w:rsidP="00E36035">
      <w:pPr>
        <w:pStyle w:val="FootnoteText"/>
      </w:pPr>
      <w:r>
        <w:rPr>
          <w:rStyle w:val="FootnoteReference"/>
        </w:rPr>
        <w:footnoteRef/>
      </w:r>
      <w:r>
        <w:t xml:space="preserve"> From the Quarterly Employment Survey (QES) for the June 2020 quarter. Filled jobs by industry are not seasonally adjusted.</w:t>
      </w:r>
    </w:p>
  </w:footnote>
  <w:footnote w:id="23">
    <w:p w14:paraId="7A3086A1" w14:textId="1DDA6454" w:rsidR="00523263" w:rsidRDefault="00523263" w:rsidP="00E36035">
      <w:pPr>
        <w:pStyle w:val="FootnoteText"/>
      </w:pPr>
      <w:r>
        <w:rPr>
          <w:rStyle w:val="FootnoteReference"/>
        </w:rPr>
        <w:footnoteRef/>
      </w:r>
      <w:r>
        <w:t xml:space="preserve"> Based on unpublished actuarial modelling using 2019 data.</w:t>
      </w:r>
    </w:p>
  </w:footnote>
  <w:footnote w:id="24">
    <w:p w14:paraId="67B03677" w14:textId="47CD8052" w:rsidR="00523263" w:rsidRDefault="00523263" w:rsidP="00E36035">
      <w:pPr>
        <w:pStyle w:val="FootnoteText"/>
      </w:pPr>
      <w:r>
        <w:rPr>
          <w:rStyle w:val="FootnoteReference"/>
        </w:rPr>
        <w:footnoteRef/>
      </w:r>
      <w:r>
        <w:t xml:space="preserve"> Note that official counts of people reported by MSD only include people who are currently being paid a benefit and do not include people who are suspended or expired.</w:t>
      </w:r>
    </w:p>
  </w:footnote>
  <w:footnote w:id="25">
    <w:p w14:paraId="35F1D2A0" w14:textId="77777777" w:rsidR="00523263" w:rsidRDefault="00523263" w:rsidP="00E36035">
      <w:pPr>
        <w:pStyle w:val="FootnoteText"/>
      </w:pPr>
      <w:r>
        <w:rPr>
          <w:rStyle w:val="FootnoteReference"/>
        </w:rPr>
        <w:footnoteRef/>
      </w:r>
      <w:r>
        <w:t xml:space="preserve"> </w:t>
      </w:r>
      <w:hyperlink r:id="rId16" w:history="1">
        <w:r w:rsidRPr="00AC0949">
          <w:rPr>
            <w:rStyle w:val="Hyperlink"/>
            <w:color w:val="auto"/>
            <w:u w:val="none"/>
          </w:rPr>
          <w:t>https://www.msd.govt.nz/documents/about-msd-and-our-work/publications-resources/statistics/covid-19/the-impacts-of-covid-19-on-one-off-hardship-assistance.pdf</w:t>
        </w:r>
      </w:hyperlink>
    </w:p>
  </w:footnote>
  <w:footnote w:id="26">
    <w:p w14:paraId="192A0278" w14:textId="663F358B" w:rsidR="00523263" w:rsidRPr="005C49EA" w:rsidRDefault="00523263" w:rsidP="00E36035">
      <w:pPr>
        <w:pStyle w:val="FootnoteText"/>
        <w:rPr>
          <w:szCs w:val="18"/>
        </w:rPr>
      </w:pPr>
      <w:r w:rsidRPr="005C49EA">
        <w:rPr>
          <w:rStyle w:val="FootnoteReference"/>
          <w:szCs w:val="18"/>
        </w:rPr>
        <w:footnoteRef/>
      </w:r>
      <w:r w:rsidRPr="005C49EA">
        <w:rPr>
          <w:szCs w:val="18"/>
        </w:rPr>
        <w:t xml:space="preserve"> </w:t>
      </w:r>
      <w:hyperlink r:id="rId17" w:history="1">
        <w:r w:rsidRPr="00701195">
          <w:rPr>
            <w:rStyle w:val="Hyperlink"/>
            <w:rFonts w:cs="Arial"/>
            <w:szCs w:val="18"/>
            <w:lang w:eastAsia="en-NZ"/>
          </w:rPr>
          <w:t>https://www.beehive.govt.nz/sites/default/files/2020-03/Wage%20subsidy%20scheme%20factsheet.pdf</w:t>
        </w:r>
      </w:hyperlink>
    </w:p>
  </w:footnote>
  <w:footnote w:id="27">
    <w:p w14:paraId="7BAD6DDD" w14:textId="77777777" w:rsidR="00523263" w:rsidRPr="005C49EA" w:rsidRDefault="00523263" w:rsidP="00E36035">
      <w:pPr>
        <w:pStyle w:val="FootnoteText"/>
        <w:rPr>
          <w:szCs w:val="18"/>
        </w:rPr>
      </w:pPr>
      <w:r w:rsidRPr="005C49EA">
        <w:rPr>
          <w:rStyle w:val="FootnoteReference"/>
          <w:szCs w:val="18"/>
        </w:rPr>
        <w:footnoteRef/>
      </w:r>
      <w:r w:rsidRPr="005C49EA">
        <w:rPr>
          <w:szCs w:val="18"/>
        </w:rPr>
        <w:t xml:space="preserve"> </w:t>
      </w:r>
      <w:hyperlink r:id="rId18" w:history="1">
        <w:r w:rsidRPr="005C49EA">
          <w:rPr>
            <w:rFonts w:cs="Arial"/>
            <w:color w:val="0000FF"/>
            <w:szCs w:val="18"/>
            <w:u w:val="single"/>
            <w:lang w:eastAsia="en-NZ"/>
          </w:rPr>
          <w:t>https://www.beehive.govt.nz/release/targeted-extension-wage-subsidy-scheme</w:t>
        </w:r>
      </w:hyperlink>
    </w:p>
  </w:footnote>
  <w:footnote w:id="28">
    <w:p w14:paraId="475CA0EF" w14:textId="77777777" w:rsidR="00523263" w:rsidRDefault="00523263" w:rsidP="00E36035">
      <w:pPr>
        <w:pStyle w:val="FootnoteText"/>
      </w:pPr>
      <w:r w:rsidRPr="005C49EA">
        <w:rPr>
          <w:rStyle w:val="FootnoteReference"/>
          <w:szCs w:val="18"/>
        </w:rPr>
        <w:footnoteRef/>
      </w:r>
      <w:r w:rsidRPr="005C49EA">
        <w:rPr>
          <w:szCs w:val="18"/>
        </w:rPr>
        <w:t xml:space="preserve"> </w:t>
      </w:r>
      <w:hyperlink r:id="rId19" w:history="1">
        <w:r w:rsidRPr="005C49EA">
          <w:rPr>
            <w:rFonts w:cs="Arial"/>
            <w:color w:val="0000FF"/>
            <w:szCs w:val="18"/>
            <w:u w:val="single"/>
            <w:lang w:eastAsia="en-NZ"/>
          </w:rPr>
          <w:t>https://www.beehive.govt.nz/sites/default/files/2020-05/COVID%20Income%20Relief%20Payment%20fact%20sheet%20FINAL.pdf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96348"/>
    <w:multiLevelType w:val="hybridMultilevel"/>
    <w:tmpl w:val="F6DAC4D0"/>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1" w15:restartNumberingAfterBreak="0">
    <w:nsid w:val="1A153AF8"/>
    <w:multiLevelType w:val="hybridMultilevel"/>
    <w:tmpl w:val="9B9C21CA"/>
    <w:lvl w:ilvl="0" w:tplc="14090001">
      <w:start w:val="1"/>
      <w:numFmt w:val="bullet"/>
      <w:lvlText w:val=""/>
      <w:lvlJc w:val="left"/>
      <w:pPr>
        <w:ind w:left="853" w:hanging="360"/>
      </w:pPr>
      <w:rPr>
        <w:rFonts w:ascii="Symbol" w:hAnsi="Symbol" w:hint="default"/>
      </w:rPr>
    </w:lvl>
    <w:lvl w:ilvl="1" w:tplc="14090003">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2" w15:restartNumberingAfterBreak="0">
    <w:nsid w:val="1C6C0D50"/>
    <w:multiLevelType w:val="hybridMultilevel"/>
    <w:tmpl w:val="B394BB7C"/>
    <w:lvl w:ilvl="0" w:tplc="B7D26B46">
      <w:numFmt w:val="bullet"/>
      <w:lvlText w:val="•"/>
      <w:lvlJc w:val="left"/>
      <w:pPr>
        <w:ind w:left="284" w:hanging="284"/>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359D1"/>
    <w:multiLevelType w:val="hybridMultilevel"/>
    <w:tmpl w:val="98825B50"/>
    <w:lvl w:ilvl="0" w:tplc="14090001">
      <w:start w:val="1"/>
      <w:numFmt w:val="bullet"/>
      <w:lvlText w:val=""/>
      <w:lvlJc w:val="left"/>
      <w:pPr>
        <w:ind w:left="853" w:hanging="360"/>
      </w:pPr>
      <w:rPr>
        <w:rFonts w:ascii="Symbol" w:hAnsi="Symbol" w:hint="default"/>
      </w:rPr>
    </w:lvl>
    <w:lvl w:ilvl="1" w:tplc="14090001">
      <w:start w:val="1"/>
      <w:numFmt w:val="bullet"/>
      <w:lvlText w:val=""/>
      <w:lvlJc w:val="left"/>
      <w:pPr>
        <w:ind w:left="1573" w:hanging="360"/>
      </w:pPr>
      <w:rPr>
        <w:rFonts w:ascii="Symbol" w:hAnsi="Symbol" w:hint="default"/>
      </w:rPr>
    </w:lvl>
    <w:lvl w:ilvl="2" w:tplc="14090005" w:tentative="1">
      <w:start w:val="1"/>
      <w:numFmt w:val="bullet"/>
      <w:lvlText w:val=""/>
      <w:lvlJc w:val="left"/>
      <w:pPr>
        <w:ind w:left="2293" w:hanging="360"/>
      </w:pPr>
      <w:rPr>
        <w:rFonts w:ascii="Wingdings" w:hAnsi="Wingdings" w:hint="default"/>
      </w:rPr>
    </w:lvl>
    <w:lvl w:ilvl="3" w:tplc="14090001" w:tentative="1">
      <w:start w:val="1"/>
      <w:numFmt w:val="bullet"/>
      <w:lvlText w:val=""/>
      <w:lvlJc w:val="left"/>
      <w:pPr>
        <w:ind w:left="3013" w:hanging="360"/>
      </w:pPr>
      <w:rPr>
        <w:rFonts w:ascii="Symbol" w:hAnsi="Symbol" w:hint="default"/>
      </w:rPr>
    </w:lvl>
    <w:lvl w:ilvl="4" w:tplc="14090003" w:tentative="1">
      <w:start w:val="1"/>
      <w:numFmt w:val="bullet"/>
      <w:lvlText w:val="o"/>
      <w:lvlJc w:val="left"/>
      <w:pPr>
        <w:ind w:left="3733" w:hanging="360"/>
      </w:pPr>
      <w:rPr>
        <w:rFonts w:ascii="Courier New" w:hAnsi="Courier New" w:cs="Courier New" w:hint="default"/>
      </w:rPr>
    </w:lvl>
    <w:lvl w:ilvl="5" w:tplc="14090005" w:tentative="1">
      <w:start w:val="1"/>
      <w:numFmt w:val="bullet"/>
      <w:lvlText w:val=""/>
      <w:lvlJc w:val="left"/>
      <w:pPr>
        <w:ind w:left="4453" w:hanging="360"/>
      </w:pPr>
      <w:rPr>
        <w:rFonts w:ascii="Wingdings" w:hAnsi="Wingdings" w:hint="default"/>
      </w:rPr>
    </w:lvl>
    <w:lvl w:ilvl="6" w:tplc="14090001" w:tentative="1">
      <w:start w:val="1"/>
      <w:numFmt w:val="bullet"/>
      <w:lvlText w:val=""/>
      <w:lvlJc w:val="left"/>
      <w:pPr>
        <w:ind w:left="5173" w:hanging="360"/>
      </w:pPr>
      <w:rPr>
        <w:rFonts w:ascii="Symbol" w:hAnsi="Symbol" w:hint="default"/>
      </w:rPr>
    </w:lvl>
    <w:lvl w:ilvl="7" w:tplc="14090003" w:tentative="1">
      <w:start w:val="1"/>
      <w:numFmt w:val="bullet"/>
      <w:lvlText w:val="o"/>
      <w:lvlJc w:val="left"/>
      <w:pPr>
        <w:ind w:left="5893" w:hanging="360"/>
      </w:pPr>
      <w:rPr>
        <w:rFonts w:ascii="Courier New" w:hAnsi="Courier New" w:cs="Courier New" w:hint="default"/>
      </w:rPr>
    </w:lvl>
    <w:lvl w:ilvl="8" w:tplc="14090005" w:tentative="1">
      <w:start w:val="1"/>
      <w:numFmt w:val="bullet"/>
      <w:lvlText w:val=""/>
      <w:lvlJc w:val="left"/>
      <w:pPr>
        <w:ind w:left="6613" w:hanging="360"/>
      </w:pPr>
      <w:rPr>
        <w:rFonts w:ascii="Wingdings" w:hAnsi="Wingdings" w:hint="default"/>
      </w:rPr>
    </w:lvl>
  </w:abstractNum>
  <w:abstractNum w:abstractNumId="4" w15:restartNumberingAfterBreak="0">
    <w:nsid w:val="21E039A2"/>
    <w:multiLevelType w:val="hybridMultilevel"/>
    <w:tmpl w:val="1318C9C4"/>
    <w:lvl w:ilvl="0" w:tplc="E15623D6">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D01D9"/>
    <w:multiLevelType w:val="hybridMultilevel"/>
    <w:tmpl w:val="A8C643A8"/>
    <w:lvl w:ilvl="0" w:tplc="14A43A72">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15:restartNumberingAfterBreak="0">
    <w:nsid w:val="39105D21"/>
    <w:multiLevelType w:val="hybridMultilevel"/>
    <w:tmpl w:val="1AA6CF06"/>
    <w:lvl w:ilvl="0" w:tplc="E3ACFB22">
      <w:numFmt w:val="bullet"/>
      <w:lvlText w:val="–"/>
      <w:lvlJc w:val="left"/>
      <w:pPr>
        <w:ind w:left="567" w:hanging="283"/>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90A2E"/>
    <w:multiLevelType w:val="hybridMultilevel"/>
    <w:tmpl w:val="53BEF6F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EC41975"/>
    <w:multiLevelType w:val="hybridMultilevel"/>
    <w:tmpl w:val="CAD85E66"/>
    <w:lvl w:ilvl="0" w:tplc="E3ACFB22">
      <w:numFmt w:val="bullet"/>
      <w:lvlText w:val="–"/>
      <w:lvlJc w:val="left"/>
      <w:pPr>
        <w:ind w:left="567" w:hanging="283"/>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C5BC6"/>
    <w:multiLevelType w:val="hybridMultilevel"/>
    <w:tmpl w:val="014621E8"/>
    <w:lvl w:ilvl="0" w:tplc="B7D26B46">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45F93"/>
    <w:multiLevelType w:val="hybridMultilevel"/>
    <w:tmpl w:val="A166460A"/>
    <w:lvl w:ilvl="0" w:tplc="14090001">
      <w:start w:val="1"/>
      <w:numFmt w:val="bullet"/>
      <w:lvlText w:val=""/>
      <w:lvlJc w:val="left"/>
      <w:pPr>
        <w:ind w:left="1213" w:hanging="360"/>
      </w:pPr>
      <w:rPr>
        <w:rFonts w:ascii="Symbol" w:hAnsi="Symbol" w:hint="default"/>
      </w:rPr>
    </w:lvl>
    <w:lvl w:ilvl="1" w:tplc="14090003">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12" w15:restartNumberingAfterBreak="0">
    <w:nsid w:val="573852D1"/>
    <w:multiLevelType w:val="hybridMultilevel"/>
    <w:tmpl w:val="B2DE9A98"/>
    <w:lvl w:ilvl="0" w:tplc="B7D26B46">
      <w:numFmt w:val="bullet"/>
      <w:lvlText w:val="•"/>
      <w:lvlJc w:val="left"/>
      <w:pPr>
        <w:ind w:left="284" w:hanging="284"/>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11578"/>
    <w:multiLevelType w:val="hybridMultilevel"/>
    <w:tmpl w:val="160ABCD0"/>
    <w:lvl w:ilvl="0" w:tplc="6932004E">
      <w:numFmt w:val="bullet"/>
      <w:lvlText w:val="•"/>
      <w:lvlJc w:val="left"/>
      <w:pPr>
        <w:ind w:left="284" w:hanging="284"/>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138BC"/>
    <w:multiLevelType w:val="multilevel"/>
    <w:tmpl w:val="31AE4EB8"/>
    <w:lvl w:ilvl="0">
      <w:numFmt w:val="bullet"/>
      <w:lvlText w:val="•"/>
      <w:lvlJc w:val="left"/>
      <w:pPr>
        <w:ind w:left="360" w:hanging="360"/>
      </w:pPr>
      <w:rPr>
        <w:rFonts w:ascii="Verdana" w:hAnsi="Verdana" w:hint="default"/>
      </w:rPr>
    </w:lvl>
    <w:lvl w:ilvl="1">
      <w:numFmt w:val="bullet"/>
      <w:lvlText w:val="–"/>
      <w:lvlJc w:val="left"/>
      <w:pPr>
        <w:ind w:left="644" w:hanging="360"/>
      </w:pPr>
      <w:rPr>
        <w:rFonts w:ascii="Verdana" w:eastAsiaTheme="minorEastAsia" w:hAnsi="Verdana"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D63F90"/>
    <w:multiLevelType w:val="hybridMultilevel"/>
    <w:tmpl w:val="5EA69F72"/>
    <w:lvl w:ilvl="0" w:tplc="B7D26B46">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434E1"/>
    <w:multiLevelType w:val="multilevel"/>
    <w:tmpl w:val="94CE51E4"/>
    <w:lvl w:ilvl="0">
      <w:start w:val="1"/>
      <w:numFmt w:val="decimal"/>
      <w:lvlText w:val="%1"/>
      <w:lvlJc w:val="left"/>
      <w:pPr>
        <w:tabs>
          <w:tab w:val="num" w:pos="493"/>
        </w:tabs>
        <w:ind w:left="493" w:hanging="493"/>
      </w:pPr>
      <w:rPr>
        <w:rFonts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7" w15:restartNumberingAfterBreak="0">
    <w:nsid w:val="6EF7416B"/>
    <w:multiLevelType w:val="hybridMultilevel"/>
    <w:tmpl w:val="EF64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9D21F2"/>
    <w:multiLevelType w:val="hybridMultilevel"/>
    <w:tmpl w:val="44D63CF8"/>
    <w:lvl w:ilvl="0" w:tplc="69925F7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7F54834"/>
    <w:multiLevelType w:val="hybridMultilevel"/>
    <w:tmpl w:val="8ABA8BF2"/>
    <w:lvl w:ilvl="0" w:tplc="B7D26B46">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B7D24"/>
    <w:multiLevelType w:val="hybridMultilevel"/>
    <w:tmpl w:val="60FAC312"/>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21" w15:restartNumberingAfterBreak="0">
    <w:nsid w:val="79D07D8A"/>
    <w:multiLevelType w:val="hybridMultilevel"/>
    <w:tmpl w:val="A7C80DF8"/>
    <w:lvl w:ilvl="0" w:tplc="1C10E872">
      <w:numFmt w:val="bullet"/>
      <w:lvlText w:val="•"/>
      <w:lvlJc w:val="left"/>
      <w:pPr>
        <w:ind w:left="284" w:hanging="284"/>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2"/>
  </w:num>
  <w:num w:numId="4">
    <w:abstractNumId w:val="9"/>
  </w:num>
  <w:num w:numId="5">
    <w:abstractNumId w:val="4"/>
  </w:num>
  <w:num w:numId="6">
    <w:abstractNumId w:val="7"/>
  </w:num>
  <w:num w:numId="7">
    <w:abstractNumId w:val="13"/>
  </w:num>
  <w:num w:numId="8">
    <w:abstractNumId w:val="14"/>
  </w:num>
  <w:num w:numId="9">
    <w:abstractNumId w:val="19"/>
  </w:num>
  <w:num w:numId="10">
    <w:abstractNumId w:val="15"/>
  </w:num>
  <w:num w:numId="11">
    <w:abstractNumId w:val="10"/>
  </w:num>
  <w:num w:numId="12">
    <w:abstractNumId w:val="21"/>
  </w:num>
  <w:num w:numId="13">
    <w:abstractNumId w:val="18"/>
  </w:num>
  <w:num w:numId="14">
    <w:abstractNumId w:val="8"/>
  </w:num>
  <w:num w:numId="15">
    <w:abstractNumId w:val="6"/>
    <w:lvlOverride w:ilvl="0">
      <w:lvl w:ilvl="0">
        <w:start w:val="1"/>
        <w:numFmt w:val="decimal"/>
        <w:pStyle w:val="ReportBody"/>
        <w:lvlText w:val="%1"/>
        <w:lvlJc w:val="left"/>
        <w:pPr>
          <w:tabs>
            <w:tab w:val="num" w:pos="493"/>
          </w:tabs>
          <w:ind w:left="493" w:hanging="493"/>
        </w:pPr>
        <w:rPr>
          <w:rFonts w:hint="default"/>
        </w:rPr>
      </w:lvl>
    </w:lvlOverride>
  </w:num>
  <w:num w:numId="16">
    <w:abstractNumId w:val="0"/>
  </w:num>
  <w:num w:numId="17">
    <w:abstractNumId w:val="3"/>
  </w:num>
  <w:num w:numId="18">
    <w:abstractNumId w:val="5"/>
  </w:num>
  <w:num w:numId="19">
    <w:abstractNumId w:val="1"/>
  </w:num>
  <w:num w:numId="20">
    <w:abstractNumId w:val="11"/>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45"/>
    <w:rsid w:val="0002696E"/>
    <w:rsid w:val="00033BD8"/>
    <w:rsid w:val="000350D2"/>
    <w:rsid w:val="0005239A"/>
    <w:rsid w:val="00066E4F"/>
    <w:rsid w:val="000738F8"/>
    <w:rsid w:val="00082A60"/>
    <w:rsid w:val="000E4D4C"/>
    <w:rsid w:val="00120A85"/>
    <w:rsid w:val="00144FFA"/>
    <w:rsid w:val="001576D2"/>
    <w:rsid w:val="00173926"/>
    <w:rsid w:val="001771FD"/>
    <w:rsid w:val="001775D4"/>
    <w:rsid w:val="001C2E4C"/>
    <w:rsid w:val="001E6796"/>
    <w:rsid w:val="002347F6"/>
    <w:rsid w:val="002445BF"/>
    <w:rsid w:val="00245C28"/>
    <w:rsid w:val="00256B35"/>
    <w:rsid w:val="00260464"/>
    <w:rsid w:val="00264A30"/>
    <w:rsid w:val="00287567"/>
    <w:rsid w:val="00292CDC"/>
    <w:rsid w:val="002A1DA0"/>
    <w:rsid w:val="002B0475"/>
    <w:rsid w:val="002E0DF4"/>
    <w:rsid w:val="002E6110"/>
    <w:rsid w:val="002F0E95"/>
    <w:rsid w:val="003330FC"/>
    <w:rsid w:val="00340874"/>
    <w:rsid w:val="003428DE"/>
    <w:rsid w:val="00343188"/>
    <w:rsid w:val="003507A8"/>
    <w:rsid w:val="00356760"/>
    <w:rsid w:val="00382570"/>
    <w:rsid w:val="00384A3A"/>
    <w:rsid w:val="003F2D07"/>
    <w:rsid w:val="004112F1"/>
    <w:rsid w:val="0041761A"/>
    <w:rsid w:val="00453E6C"/>
    <w:rsid w:val="0046142B"/>
    <w:rsid w:val="00483461"/>
    <w:rsid w:val="0049399A"/>
    <w:rsid w:val="004A4B32"/>
    <w:rsid w:val="004A542A"/>
    <w:rsid w:val="004B3983"/>
    <w:rsid w:val="004F0415"/>
    <w:rsid w:val="004F2383"/>
    <w:rsid w:val="00514F86"/>
    <w:rsid w:val="0051660D"/>
    <w:rsid w:val="0051745F"/>
    <w:rsid w:val="00523263"/>
    <w:rsid w:val="005264CC"/>
    <w:rsid w:val="005301DB"/>
    <w:rsid w:val="00531C68"/>
    <w:rsid w:val="00565D38"/>
    <w:rsid w:val="005702AE"/>
    <w:rsid w:val="0057304A"/>
    <w:rsid w:val="00590845"/>
    <w:rsid w:val="00594C82"/>
    <w:rsid w:val="00595890"/>
    <w:rsid w:val="005A74AF"/>
    <w:rsid w:val="005B3F7C"/>
    <w:rsid w:val="005C49EA"/>
    <w:rsid w:val="0064330B"/>
    <w:rsid w:val="00671EAC"/>
    <w:rsid w:val="006766E0"/>
    <w:rsid w:val="006C2F62"/>
    <w:rsid w:val="006C53FC"/>
    <w:rsid w:val="006E003E"/>
    <w:rsid w:val="006F4E2A"/>
    <w:rsid w:val="00704891"/>
    <w:rsid w:val="007075B8"/>
    <w:rsid w:val="007249E3"/>
    <w:rsid w:val="007350E4"/>
    <w:rsid w:val="00737178"/>
    <w:rsid w:val="00756EE1"/>
    <w:rsid w:val="0079375E"/>
    <w:rsid w:val="007C06AC"/>
    <w:rsid w:val="007F24A0"/>
    <w:rsid w:val="0088153D"/>
    <w:rsid w:val="00881E84"/>
    <w:rsid w:val="008D234A"/>
    <w:rsid w:val="008E5F23"/>
    <w:rsid w:val="008F3BD2"/>
    <w:rsid w:val="00944212"/>
    <w:rsid w:val="0095776C"/>
    <w:rsid w:val="00970267"/>
    <w:rsid w:val="009B481F"/>
    <w:rsid w:val="009C08B7"/>
    <w:rsid w:val="009C0D3D"/>
    <w:rsid w:val="009C610B"/>
    <w:rsid w:val="009C7073"/>
    <w:rsid w:val="009D1B7E"/>
    <w:rsid w:val="00A05EE0"/>
    <w:rsid w:val="00A4718E"/>
    <w:rsid w:val="00A569E5"/>
    <w:rsid w:val="00A61052"/>
    <w:rsid w:val="00A97F77"/>
    <w:rsid w:val="00AA3DBF"/>
    <w:rsid w:val="00AA6DDE"/>
    <w:rsid w:val="00AB7D1F"/>
    <w:rsid w:val="00AC0949"/>
    <w:rsid w:val="00AC2399"/>
    <w:rsid w:val="00AD5531"/>
    <w:rsid w:val="00AE5325"/>
    <w:rsid w:val="00B26814"/>
    <w:rsid w:val="00B3656B"/>
    <w:rsid w:val="00B5640C"/>
    <w:rsid w:val="00B75F80"/>
    <w:rsid w:val="00BB1A06"/>
    <w:rsid w:val="00BB4159"/>
    <w:rsid w:val="00BB4A15"/>
    <w:rsid w:val="00BB6DF3"/>
    <w:rsid w:val="00BD6806"/>
    <w:rsid w:val="00C00A37"/>
    <w:rsid w:val="00C131DA"/>
    <w:rsid w:val="00C2549F"/>
    <w:rsid w:val="00C50E6B"/>
    <w:rsid w:val="00C6475D"/>
    <w:rsid w:val="00C90C5F"/>
    <w:rsid w:val="00CA14D0"/>
    <w:rsid w:val="00CC15AC"/>
    <w:rsid w:val="00CD5E9E"/>
    <w:rsid w:val="00CE3138"/>
    <w:rsid w:val="00D00E42"/>
    <w:rsid w:val="00D21336"/>
    <w:rsid w:val="00D854E7"/>
    <w:rsid w:val="00DB3FBB"/>
    <w:rsid w:val="00DD3BFA"/>
    <w:rsid w:val="00DF5007"/>
    <w:rsid w:val="00E07B22"/>
    <w:rsid w:val="00E358E4"/>
    <w:rsid w:val="00E36035"/>
    <w:rsid w:val="00E52B7F"/>
    <w:rsid w:val="00E71186"/>
    <w:rsid w:val="00E734B7"/>
    <w:rsid w:val="00E95BA4"/>
    <w:rsid w:val="00EC1878"/>
    <w:rsid w:val="00EC60A5"/>
    <w:rsid w:val="00EE5E0C"/>
    <w:rsid w:val="00F00F8B"/>
    <w:rsid w:val="00F174B6"/>
    <w:rsid w:val="00F74334"/>
    <w:rsid w:val="00F75919"/>
    <w:rsid w:val="00FB043F"/>
    <w:rsid w:val="00FE60C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F84B2"/>
  <w15:chartTrackingRefBased/>
  <w15:docId w15:val="{3062BA86-B3FD-A749-84CE-623B6A8E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07"/>
    <w:pPr>
      <w:spacing w:before="120" w:after="120"/>
    </w:pPr>
    <w:rPr>
      <w:rFonts w:ascii="Verdana" w:hAnsi="Verdana"/>
      <w:sz w:val="20"/>
    </w:rPr>
  </w:style>
  <w:style w:type="paragraph" w:styleId="Heading1">
    <w:name w:val="heading 1"/>
    <w:basedOn w:val="Normal"/>
    <w:next w:val="Normal"/>
    <w:link w:val="Heading1Char"/>
    <w:uiPriority w:val="9"/>
    <w:qFormat/>
    <w:rsid w:val="00CD5E9E"/>
    <w:pPr>
      <w:keepNext/>
      <w:keepLines/>
      <w:spacing w:before="240" w:after="240"/>
      <w:outlineLvl w:val="0"/>
    </w:pPr>
    <w:rPr>
      <w:rFonts w:ascii="Georgia" w:eastAsiaTheme="majorEastAsia" w:hAnsi="Georgia" w:cstheme="majorBidi"/>
      <w:b/>
      <w:bCs/>
      <w:color w:val="252C65" w:themeColor="text2"/>
      <w:sz w:val="44"/>
      <w:szCs w:val="44"/>
    </w:rPr>
  </w:style>
  <w:style w:type="paragraph" w:styleId="Heading2">
    <w:name w:val="heading 2"/>
    <w:basedOn w:val="Heading1"/>
    <w:next w:val="Normal"/>
    <w:link w:val="Heading2Char"/>
    <w:uiPriority w:val="9"/>
    <w:qFormat/>
    <w:rsid w:val="00CD5E9E"/>
    <w:pPr>
      <w:pBdr>
        <w:bottom w:val="single" w:sz="4" w:space="2" w:color="auto"/>
      </w:pBdr>
      <w:spacing w:before="360"/>
      <w:outlineLvl w:val="1"/>
    </w:pPr>
    <w:rPr>
      <w:rFonts w:ascii="Verdana" w:hAnsi="Verdana"/>
      <w:color w:val="1CA56F" w:themeColor="accent6"/>
      <w:sz w:val="32"/>
      <w:szCs w:val="32"/>
    </w:rPr>
  </w:style>
  <w:style w:type="paragraph" w:styleId="Heading3">
    <w:name w:val="heading 3"/>
    <w:basedOn w:val="Heading2"/>
    <w:next w:val="Normal"/>
    <w:link w:val="Heading3Char"/>
    <w:uiPriority w:val="9"/>
    <w:qFormat/>
    <w:rsid w:val="00CD5E9E"/>
    <w:pPr>
      <w:pBdr>
        <w:bottom w:val="none" w:sz="0" w:space="0" w:color="auto"/>
      </w:pBdr>
      <w:outlineLvl w:val="2"/>
    </w:pPr>
    <w:rPr>
      <w:color w:val="252C65" w:themeColor="text2"/>
      <w:sz w:val="24"/>
      <w:szCs w:val="24"/>
    </w:rPr>
  </w:style>
  <w:style w:type="paragraph" w:styleId="Heading4">
    <w:name w:val="heading 4"/>
    <w:basedOn w:val="Normal"/>
    <w:next w:val="Normal"/>
    <w:link w:val="Heading4Char"/>
    <w:uiPriority w:val="9"/>
    <w:qFormat/>
    <w:rsid w:val="00EC60A5"/>
    <w:pPr>
      <w:keepNext/>
      <w:keepLines/>
      <w:spacing w:before="240"/>
      <w:jc w:val="both"/>
      <w:outlineLvl w:val="3"/>
    </w:pPr>
    <w:rPr>
      <w:rFonts w:eastAsiaTheme="majorEastAsia" w:cstheme="majorBidi"/>
      <w:b/>
      <w:bCs/>
      <w:i/>
      <w:iCs/>
      <w:color w:val="595959" w:themeColor="text1" w:themeTint="A6"/>
      <w:sz w:val="22"/>
    </w:rPr>
  </w:style>
  <w:style w:type="paragraph" w:styleId="Heading5">
    <w:name w:val="heading 5"/>
    <w:basedOn w:val="Normal"/>
    <w:next w:val="Normal"/>
    <w:link w:val="Heading5Char"/>
    <w:uiPriority w:val="9"/>
    <w:qFormat/>
    <w:rsid w:val="002B0475"/>
    <w:pPr>
      <w:keepNext/>
      <w:keepLines/>
      <w:spacing w:before="240"/>
      <w:outlineLvl w:val="4"/>
    </w:pPr>
    <w:rPr>
      <w:rFonts w:eastAsiaTheme="majorEastAsia" w:cstheme="majorBidi"/>
      <w:b/>
      <w:color w:val="252C65" w:themeColor="text2"/>
    </w:rPr>
  </w:style>
  <w:style w:type="paragraph" w:styleId="Heading6">
    <w:name w:val="heading 6"/>
    <w:basedOn w:val="Normal"/>
    <w:next w:val="Normal"/>
    <w:link w:val="Heading6Char"/>
    <w:uiPriority w:val="9"/>
    <w:qFormat/>
    <w:rsid w:val="002B0475"/>
    <w:pPr>
      <w:keepNext/>
      <w:keepLines/>
      <w:spacing w:before="240"/>
      <w:outlineLvl w:val="5"/>
    </w:pPr>
    <w:rPr>
      <w:rFonts w:eastAsiaTheme="majorEastAsia" w:cstheme="majorBidi"/>
      <w:b/>
      <w:i/>
      <w:color w:val="252C65" w:themeColor="text2"/>
    </w:rPr>
  </w:style>
  <w:style w:type="paragraph" w:styleId="Heading7">
    <w:name w:val="heading 7"/>
    <w:basedOn w:val="Normal"/>
    <w:next w:val="Normal"/>
    <w:link w:val="Heading7Char"/>
    <w:uiPriority w:val="9"/>
    <w:unhideWhenUsed/>
    <w:rsid w:val="00A97F77"/>
    <w:pPr>
      <w:keepNext/>
      <w:keepLines/>
      <w:spacing w:before="240"/>
      <w:outlineLvl w:val="6"/>
    </w:pPr>
    <w:rPr>
      <w:rFonts w:ascii="Georgia" w:eastAsiaTheme="majorEastAsia" w:hAnsi="Georgia" w:cstheme="majorBidi"/>
      <w:b/>
      <w:i/>
      <w:iCs/>
      <w:color w:val="FFFFFF" w:themeColor="background1"/>
      <w:sz w:val="44"/>
    </w:rPr>
  </w:style>
  <w:style w:type="paragraph" w:styleId="Heading8">
    <w:name w:val="heading 8"/>
    <w:basedOn w:val="Normal"/>
    <w:next w:val="Normal"/>
    <w:link w:val="Heading8Char"/>
    <w:uiPriority w:val="9"/>
    <w:unhideWhenUsed/>
    <w:rsid w:val="00A97F77"/>
    <w:pPr>
      <w:spacing w:line="276" w:lineRule="auto"/>
      <w:outlineLvl w:val="7"/>
    </w:pPr>
    <w:rPr>
      <w:rFonts w:ascii="Georgia" w:eastAsiaTheme="majorEastAsia" w:hAnsi="Georgia" w:cstheme="majorBidi"/>
      <w:iCs/>
      <w:color w:val="FFFFFF" w:themeColor="background1"/>
      <w:sz w:val="36"/>
    </w:rPr>
  </w:style>
  <w:style w:type="paragraph" w:styleId="Heading9">
    <w:name w:val="heading 9"/>
    <w:basedOn w:val="Normal"/>
    <w:next w:val="Normal"/>
    <w:link w:val="Heading9Char"/>
    <w:uiPriority w:val="9"/>
    <w:unhideWhenUsed/>
    <w:rsid w:val="00A610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845"/>
    <w:pPr>
      <w:tabs>
        <w:tab w:val="center" w:pos="4513"/>
        <w:tab w:val="right" w:pos="9026"/>
      </w:tabs>
    </w:pPr>
  </w:style>
  <w:style w:type="character" w:customStyle="1" w:styleId="HeaderChar">
    <w:name w:val="Header Char"/>
    <w:basedOn w:val="DefaultParagraphFont"/>
    <w:link w:val="Header"/>
    <w:uiPriority w:val="99"/>
    <w:rsid w:val="00590845"/>
  </w:style>
  <w:style w:type="paragraph" w:styleId="Footer">
    <w:name w:val="footer"/>
    <w:basedOn w:val="Normal"/>
    <w:link w:val="FooterChar"/>
    <w:uiPriority w:val="99"/>
    <w:unhideWhenUsed/>
    <w:rsid w:val="00590845"/>
    <w:pPr>
      <w:tabs>
        <w:tab w:val="center" w:pos="4513"/>
        <w:tab w:val="right" w:pos="9026"/>
      </w:tabs>
    </w:pPr>
  </w:style>
  <w:style w:type="character" w:customStyle="1" w:styleId="FooterChar">
    <w:name w:val="Footer Char"/>
    <w:basedOn w:val="DefaultParagraphFont"/>
    <w:link w:val="Footer"/>
    <w:uiPriority w:val="99"/>
    <w:rsid w:val="00590845"/>
  </w:style>
  <w:style w:type="paragraph" w:styleId="Title">
    <w:name w:val="Title"/>
    <w:basedOn w:val="Normal"/>
    <w:next w:val="Normal"/>
    <w:link w:val="TitleChar"/>
    <w:uiPriority w:val="14"/>
    <w:qFormat/>
    <w:rsid w:val="005702AE"/>
    <w:pPr>
      <w:contextualSpacing/>
    </w:pPr>
    <w:rPr>
      <w:rFonts w:ascii="Georgia" w:eastAsiaTheme="majorEastAsia" w:hAnsi="Georgia" w:cstheme="majorBidi"/>
      <w:b/>
      <w:color w:val="FFFFFF" w:themeColor="background1"/>
      <w:spacing w:val="-10"/>
      <w:kern w:val="28"/>
      <w:sz w:val="120"/>
      <w:szCs w:val="56"/>
      <w:lang w:val="mi-NZ"/>
    </w:rPr>
  </w:style>
  <w:style w:type="character" w:customStyle="1" w:styleId="TitleChar">
    <w:name w:val="Title Char"/>
    <w:basedOn w:val="DefaultParagraphFont"/>
    <w:link w:val="Title"/>
    <w:uiPriority w:val="14"/>
    <w:rsid w:val="00A61052"/>
    <w:rPr>
      <w:rFonts w:ascii="Georgia" w:eastAsiaTheme="majorEastAsia" w:hAnsi="Georgia" w:cstheme="majorBidi"/>
      <w:b/>
      <w:color w:val="FFFFFF" w:themeColor="background1"/>
      <w:spacing w:val="-10"/>
      <w:kern w:val="28"/>
      <w:sz w:val="120"/>
      <w:szCs w:val="56"/>
      <w:lang w:val="mi-NZ"/>
    </w:rPr>
  </w:style>
  <w:style w:type="paragraph" w:styleId="Subtitle">
    <w:name w:val="Subtitle"/>
    <w:basedOn w:val="Normal"/>
    <w:next w:val="Normal"/>
    <w:link w:val="SubtitleChar"/>
    <w:uiPriority w:val="15"/>
    <w:qFormat/>
    <w:rsid w:val="00AE5325"/>
    <w:pPr>
      <w:numPr>
        <w:ilvl w:val="1"/>
      </w:numPr>
      <w:spacing w:before="240" w:after="160"/>
      <w:ind w:left="-57"/>
    </w:pPr>
    <w:rPr>
      <w:rFonts w:cs="Times New Roman (Body CS)"/>
      <w:b/>
      <w:color w:val="252C65"/>
      <w:spacing w:val="-4"/>
      <w:sz w:val="32"/>
      <w:szCs w:val="22"/>
    </w:rPr>
  </w:style>
  <w:style w:type="character" w:customStyle="1" w:styleId="SubtitleChar">
    <w:name w:val="Subtitle Char"/>
    <w:basedOn w:val="DefaultParagraphFont"/>
    <w:link w:val="Subtitle"/>
    <w:uiPriority w:val="15"/>
    <w:rsid w:val="00AE5325"/>
    <w:rPr>
      <w:rFonts w:ascii="Verdana" w:hAnsi="Verdana" w:cs="Times New Roman (Body CS)"/>
      <w:b/>
      <w:color w:val="252C65"/>
      <w:spacing w:val="-4"/>
      <w:sz w:val="32"/>
      <w:szCs w:val="22"/>
    </w:rPr>
  </w:style>
  <w:style w:type="character" w:customStyle="1" w:styleId="Heading1Char">
    <w:name w:val="Heading 1 Char"/>
    <w:basedOn w:val="DefaultParagraphFont"/>
    <w:link w:val="Heading1"/>
    <w:uiPriority w:val="9"/>
    <w:rsid w:val="00CD5E9E"/>
    <w:rPr>
      <w:rFonts w:ascii="Georgia" w:eastAsiaTheme="majorEastAsia" w:hAnsi="Georgia" w:cstheme="majorBidi"/>
      <w:b/>
      <w:bCs/>
      <w:color w:val="252C65" w:themeColor="text2"/>
      <w:sz w:val="44"/>
      <w:szCs w:val="44"/>
    </w:rPr>
  </w:style>
  <w:style w:type="character" w:customStyle="1" w:styleId="Heading2Char">
    <w:name w:val="Heading 2 Char"/>
    <w:basedOn w:val="DefaultParagraphFont"/>
    <w:link w:val="Heading2"/>
    <w:uiPriority w:val="9"/>
    <w:rsid w:val="00CD5E9E"/>
    <w:rPr>
      <w:rFonts w:ascii="Verdana" w:eastAsiaTheme="majorEastAsia" w:hAnsi="Verdana" w:cstheme="majorBidi"/>
      <w:b/>
      <w:bCs/>
      <w:color w:val="1CA56F" w:themeColor="accent6"/>
      <w:sz w:val="32"/>
      <w:szCs w:val="32"/>
    </w:rPr>
  </w:style>
  <w:style w:type="character" w:customStyle="1" w:styleId="Heading3Char">
    <w:name w:val="Heading 3 Char"/>
    <w:basedOn w:val="DefaultParagraphFont"/>
    <w:link w:val="Heading3"/>
    <w:uiPriority w:val="9"/>
    <w:rsid w:val="00CD5E9E"/>
    <w:rPr>
      <w:rFonts w:ascii="Verdana" w:eastAsiaTheme="majorEastAsia" w:hAnsi="Verdana" w:cstheme="majorBidi"/>
      <w:b/>
      <w:bCs/>
      <w:color w:val="252C65" w:themeColor="text2"/>
    </w:rPr>
  </w:style>
  <w:style w:type="character" w:customStyle="1" w:styleId="Heading4Char">
    <w:name w:val="Heading 4 Char"/>
    <w:basedOn w:val="DefaultParagraphFont"/>
    <w:link w:val="Heading4"/>
    <w:uiPriority w:val="9"/>
    <w:rsid w:val="00EC60A5"/>
    <w:rPr>
      <w:rFonts w:ascii="Verdana" w:eastAsiaTheme="majorEastAsia" w:hAnsi="Verdana" w:cstheme="majorBidi"/>
      <w:b/>
      <w:bCs/>
      <w:i/>
      <w:iCs/>
      <w:color w:val="595959" w:themeColor="text1" w:themeTint="A6"/>
      <w:sz w:val="22"/>
    </w:rPr>
  </w:style>
  <w:style w:type="character" w:customStyle="1" w:styleId="Heading5Char">
    <w:name w:val="Heading 5 Char"/>
    <w:basedOn w:val="DefaultParagraphFont"/>
    <w:link w:val="Heading5"/>
    <w:uiPriority w:val="9"/>
    <w:rsid w:val="00DF5007"/>
    <w:rPr>
      <w:rFonts w:ascii="Verdana" w:eastAsiaTheme="majorEastAsia" w:hAnsi="Verdana" w:cstheme="majorBidi"/>
      <w:b/>
      <w:color w:val="252C65" w:themeColor="text2"/>
      <w:sz w:val="20"/>
    </w:rPr>
  </w:style>
  <w:style w:type="character" w:customStyle="1" w:styleId="Heading6Char">
    <w:name w:val="Heading 6 Char"/>
    <w:basedOn w:val="DefaultParagraphFont"/>
    <w:link w:val="Heading6"/>
    <w:uiPriority w:val="9"/>
    <w:rsid w:val="00DF5007"/>
    <w:rPr>
      <w:rFonts w:ascii="Verdana" w:eastAsiaTheme="majorEastAsia" w:hAnsi="Verdana" w:cstheme="majorBidi"/>
      <w:b/>
      <w:i/>
      <w:color w:val="252C65" w:themeColor="text2"/>
      <w:sz w:val="20"/>
    </w:rPr>
  </w:style>
  <w:style w:type="paragraph" w:styleId="ListParagraph">
    <w:name w:val="List Paragraph"/>
    <w:basedOn w:val="Normal"/>
    <w:uiPriority w:val="34"/>
    <w:unhideWhenUsed/>
    <w:qFormat/>
    <w:rsid w:val="00120A85"/>
    <w:pPr>
      <w:numPr>
        <w:numId w:val="18"/>
      </w:numPr>
    </w:pPr>
  </w:style>
  <w:style w:type="character" w:customStyle="1" w:styleId="Heading7Char">
    <w:name w:val="Heading 7 Char"/>
    <w:basedOn w:val="DefaultParagraphFont"/>
    <w:link w:val="Heading7"/>
    <w:uiPriority w:val="9"/>
    <w:rsid w:val="00A97F77"/>
    <w:rPr>
      <w:rFonts w:ascii="Georgia" w:eastAsiaTheme="majorEastAsia" w:hAnsi="Georgia" w:cstheme="majorBidi"/>
      <w:b/>
      <w:i/>
      <w:iCs/>
      <w:color w:val="FFFFFF" w:themeColor="background1"/>
      <w:sz w:val="44"/>
    </w:rPr>
  </w:style>
  <w:style w:type="character" w:customStyle="1" w:styleId="Heading8Char">
    <w:name w:val="Heading 8 Char"/>
    <w:basedOn w:val="DefaultParagraphFont"/>
    <w:link w:val="Heading8"/>
    <w:uiPriority w:val="9"/>
    <w:rsid w:val="00A97F77"/>
    <w:rPr>
      <w:rFonts w:ascii="Georgia" w:eastAsiaTheme="majorEastAsia" w:hAnsi="Georgia" w:cstheme="majorBidi"/>
      <w:iCs/>
      <w:color w:val="FFFFFF" w:themeColor="background1"/>
      <w:sz w:val="36"/>
    </w:rPr>
  </w:style>
  <w:style w:type="character" w:styleId="PageNumber">
    <w:name w:val="page number"/>
    <w:basedOn w:val="DefaultParagraphFont"/>
    <w:uiPriority w:val="99"/>
    <w:semiHidden/>
    <w:unhideWhenUsed/>
    <w:rsid w:val="00A97F77"/>
  </w:style>
  <w:style w:type="character" w:styleId="Hyperlink">
    <w:name w:val="Hyperlink"/>
    <w:basedOn w:val="DefaultParagraphFont"/>
    <w:uiPriority w:val="99"/>
    <w:unhideWhenUsed/>
    <w:rsid w:val="00A97F77"/>
    <w:rPr>
      <w:color w:val="0095D9" w:themeColor="hyperlink"/>
      <w:u w:val="single"/>
    </w:rPr>
  </w:style>
  <w:style w:type="paragraph" w:styleId="TOC1">
    <w:name w:val="toc 1"/>
    <w:basedOn w:val="Normal"/>
    <w:next w:val="Normal"/>
    <w:autoRedefine/>
    <w:uiPriority w:val="39"/>
    <w:unhideWhenUsed/>
    <w:rsid w:val="00260464"/>
    <w:pPr>
      <w:tabs>
        <w:tab w:val="right" w:leader="dot" w:pos="8488"/>
      </w:tabs>
      <w:spacing w:before="0" w:after="0"/>
    </w:pPr>
    <w:rPr>
      <w:noProof/>
      <w:color w:val="252C65" w:themeColor="text2"/>
      <w:sz w:val="22"/>
    </w:rPr>
  </w:style>
  <w:style w:type="paragraph" w:styleId="TOC2">
    <w:name w:val="toc 2"/>
    <w:basedOn w:val="Normal"/>
    <w:next w:val="Normal"/>
    <w:autoRedefine/>
    <w:uiPriority w:val="39"/>
    <w:unhideWhenUsed/>
    <w:rsid w:val="004A542A"/>
    <w:rPr>
      <w:sz w:val="22"/>
    </w:rPr>
  </w:style>
  <w:style w:type="paragraph" w:styleId="TOC3">
    <w:name w:val="toc 3"/>
    <w:basedOn w:val="Normal"/>
    <w:next w:val="Normal"/>
    <w:autoRedefine/>
    <w:uiPriority w:val="39"/>
    <w:unhideWhenUsed/>
    <w:rsid w:val="004A542A"/>
    <w:rPr>
      <w:i/>
      <w:color w:val="252C65" w:themeColor="text2"/>
      <w:sz w:val="18"/>
    </w:rPr>
  </w:style>
  <w:style w:type="paragraph" w:styleId="FootnoteText">
    <w:name w:val="footnote text"/>
    <w:basedOn w:val="Normal"/>
    <w:link w:val="FootnoteTextChar"/>
    <w:uiPriority w:val="4"/>
    <w:unhideWhenUsed/>
    <w:qFormat/>
    <w:rsid w:val="00F75919"/>
    <w:pPr>
      <w:spacing w:before="0" w:after="40"/>
    </w:pPr>
    <w:rPr>
      <w:sz w:val="18"/>
      <w:szCs w:val="20"/>
    </w:rPr>
  </w:style>
  <w:style w:type="character" w:customStyle="1" w:styleId="FootnoteTextChar">
    <w:name w:val="Footnote Text Char"/>
    <w:basedOn w:val="DefaultParagraphFont"/>
    <w:link w:val="FootnoteText"/>
    <w:uiPriority w:val="4"/>
    <w:rsid w:val="00F75919"/>
    <w:rPr>
      <w:rFonts w:ascii="Verdana" w:hAnsi="Verdana"/>
      <w:sz w:val="18"/>
      <w:szCs w:val="20"/>
    </w:rPr>
  </w:style>
  <w:style w:type="character" w:styleId="FootnoteReference">
    <w:name w:val="footnote reference"/>
    <w:basedOn w:val="DefaultParagraphFont"/>
    <w:unhideWhenUsed/>
    <w:rsid w:val="00A97F77"/>
    <w:rPr>
      <w:vertAlign w:val="superscript"/>
    </w:rPr>
  </w:style>
  <w:style w:type="paragraph" w:customStyle="1" w:styleId="IntroParagraph">
    <w:name w:val="Intro Paragraph"/>
    <w:basedOn w:val="Normal"/>
    <w:uiPriority w:val="1"/>
    <w:qFormat/>
    <w:rsid w:val="00144FFA"/>
    <w:pPr>
      <w:spacing w:before="240" w:after="240" w:line="276" w:lineRule="auto"/>
    </w:pPr>
    <w:rPr>
      <w:color w:val="252C65" w:themeColor="text2"/>
      <w:sz w:val="28"/>
    </w:rPr>
  </w:style>
  <w:style w:type="paragraph" w:styleId="NormalWeb">
    <w:name w:val="Normal (Web)"/>
    <w:basedOn w:val="Normal"/>
    <w:uiPriority w:val="99"/>
    <w:semiHidden/>
    <w:unhideWhenUsed/>
    <w:rsid w:val="00144FFA"/>
    <w:pPr>
      <w:spacing w:before="100" w:beforeAutospacing="1" w:after="100" w:afterAutospacing="1"/>
    </w:pPr>
    <w:rPr>
      <w:rFonts w:ascii="Times New Roman" w:eastAsia="Times New Roman" w:hAnsi="Times New Roman" w:cs="Times New Roman"/>
      <w:sz w:val="24"/>
      <w:lang w:eastAsia="zh-CN"/>
    </w:rPr>
  </w:style>
  <w:style w:type="character" w:styleId="Emphasis">
    <w:name w:val="Emphasis"/>
    <w:basedOn w:val="DefaultParagraphFont"/>
    <w:uiPriority w:val="20"/>
    <w:qFormat/>
    <w:rsid w:val="00144FFA"/>
    <w:rPr>
      <w:i/>
      <w:iCs/>
    </w:rPr>
  </w:style>
  <w:style w:type="paragraph" w:customStyle="1" w:styleId="MihiHeading">
    <w:name w:val="Mihi Heading"/>
    <w:uiPriority w:val="17"/>
    <w:qFormat/>
    <w:rsid w:val="00A61052"/>
    <w:rPr>
      <w:rFonts w:ascii="Georgia" w:eastAsiaTheme="majorEastAsia" w:hAnsi="Georgia" w:cstheme="majorBidi"/>
      <w:b/>
      <w:i/>
      <w:iCs/>
      <w:color w:val="FFFFFF" w:themeColor="background1"/>
      <w:sz w:val="44"/>
    </w:rPr>
  </w:style>
  <w:style w:type="paragraph" w:customStyle="1" w:styleId="MihiParagraph">
    <w:name w:val="Mihi Paragraph"/>
    <w:uiPriority w:val="17"/>
    <w:qFormat/>
    <w:rsid w:val="00A61052"/>
    <w:rPr>
      <w:rFonts w:ascii="Georgia" w:eastAsiaTheme="majorEastAsia" w:hAnsi="Georgia" w:cstheme="majorBidi"/>
      <w:iCs/>
      <w:color w:val="FFFFFF" w:themeColor="background1"/>
      <w:sz w:val="36"/>
    </w:rPr>
  </w:style>
  <w:style w:type="paragraph" w:styleId="Quote">
    <w:name w:val="Quote"/>
    <w:basedOn w:val="Normal"/>
    <w:next w:val="Normal"/>
    <w:link w:val="QuoteChar"/>
    <w:uiPriority w:val="10"/>
    <w:qFormat/>
    <w:rsid w:val="001C2E4C"/>
    <w:pPr>
      <w:pBdr>
        <w:bottom w:val="single" w:sz="4" w:space="4" w:color="auto"/>
      </w:pBdr>
      <w:spacing w:before="360" w:after="360"/>
      <w:ind w:right="864"/>
    </w:pPr>
    <w:rPr>
      <w:rFonts w:ascii="Georgia" w:hAnsi="Georgia"/>
      <w:iCs/>
      <w:color w:val="1CA56F" w:themeColor="accent6"/>
      <w:sz w:val="36"/>
    </w:rPr>
  </w:style>
  <w:style w:type="character" w:customStyle="1" w:styleId="QuoteChar">
    <w:name w:val="Quote Char"/>
    <w:basedOn w:val="DefaultParagraphFont"/>
    <w:link w:val="Quote"/>
    <w:uiPriority w:val="10"/>
    <w:rsid w:val="001C2E4C"/>
    <w:rPr>
      <w:rFonts w:ascii="Georgia" w:hAnsi="Georgia"/>
      <w:iCs/>
      <w:color w:val="1CA56F" w:themeColor="accent6"/>
      <w:sz w:val="36"/>
    </w:rPr>
  </w:style>
  <w:style w:type="table" w:styleId="TableGrid">
    <w:name w:val="Table Grid"/>
    <w:aliases w:val="MSD Table Grid"/>
    <w:basedOn w:val="TableNormal"/>
    <w:rsid w:val="007F24A0"/>
    <w:rPr>
      <w:rFonts w:ascii="Verdana" w:hAnsi="Verdana"/>
      <w:sz w:val="20"/>
    </w:rPr>
    <w:tblPr>
      <w:tblBorders>
        <w:top w:val="single" w:sz="4" w:space="0" w:color="auto"/>
        <w:bottom w:val="single" w:sz="4" w:space="0" w:color="auto"/>
        <w:insideH w:val="single" w:sz="4" w:space="0" w:color="auto"/>
      </w:tblBorders>
    </w:tblPr>
    <w:tblStylePr w:type="firstRow">
      <w:rPr>
        <w:b/>
      </w:rPr>
    </w:tblStylePr>
    <w:tblStylePr w:type="firstCol">
      <w:tblPr/>
      <w:tcPr>
        <w:shd w:val="clear" w:color="auto" w:fill="E5F4FB"/>
      </w:tcPr>
    </w:tblStylePr>
  </w:style>
  <w:style w:type="table" w:styleId="PlainTable4">
    <w:name w:val="Plain Table 4"/>
    <w:basedOn w:val="TableNormal"/>
    <w:uiPriority w:val="44"/>
    <w:rsid w:val="00144F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
    <w:name w:val="Reference"/>
    <w:basedOn w:val="Normal"/>
    <w:qFormat/>
    <w:rsid w:val="007F24A0"/>
    <w:pPr>
      <w:spacing w:after="240"/>
      <w:ind w:left="284" w:hanging="284"/>
    </w:pPr>
  </w:style>
  <w:style w:type="character" w:styleId="SubtleReference">
    <w:name w:val="Subtle Reference"/>
    <w:basedOn w:val="DefaultParagraphFont"/>
    <w:uiPriority w:val="31"/>
    <w:semiHidden/>
    <w:qFormat/>
    <w:rsid w:val="007F24A0"/>
    <w:rPr>
      <w:rFonts w:ascii="Verdana" w:hAnsi="Verdana"/>
      <w:b w:val="0"/>
      <w:caps w:val="0"/>
      <w:smallCaps w:val="0"/>
      <w:color w:val="252C65" w:themeColor="text2"/>
    </w:rPr>
  </w:style>
  <w:style w:type="paragraph" w:customStyle="1" w:styleId="QuoteReference">
    <w:name w:val="Quote Reference"/>
    <w:basedOn w:val="Normal"/>
    <w:uiPriority w:val="10"/>
    <w:qFormat/>
    <w:rsid w:val="007F24A0"/>
    <w:pPr>
      <w:spacing w:before="0" w:after="360"/>
    </w:pPr>
    <w:rPr>
      <w:rFonts w:cs="Times New Roman (Body CS)"/>
      <w:color w:val="252C65" w:themeColor="text2"/>
      <w:lang w:eastAsia="zh-CN"/>
    </w:rPr>
  </w:style>
  <w:style w:type="paragraph" w:customStyle="1" w:styleId="TitleMasthead">
    <w:name w:val="Title (Masthead)"/>
    <w:basedOn w:val="Title"/>
    <w:uiPriority w:val="14"/>
    <w:qFormat/>
    <w:rsid w:val="0005239A"/>
    <w:rPr>
      <w:sz w:val="72"/>
    </w:rPr>
  </w:style>
  <w:style w:type="character" w:customStyle="1" w:styleId="Heading9Char">
    <w:name w:val="Heading 9 Char"/>
    <w:basedOn w:val="DefaultParagraphFont"/>
    <w:link w:val="Heading9"/>
    <w:uiPriority w:val="9"/>
    <w:rsid w:val="00A61052"/>
    <w:rPr>
      <w:rFonts w:asciiTheme="majorHAnsi" w:eastAsiaTheme="majorEastAsia" w:hAnsiTheme="majorHAnsi" w:cstheme="majorBidi"/>
      <w:i/>
      <w:iCs/>
      <w:color w:val="272727" w:themeColor="text1" w:themeTint="D8"/>
      <w:sz w:val="21"/>
      <w:szCs w:val="21"/>
    </w:rPr>
  </w:style>
  <w:style w:type="paragraph" w:customStyle="1" w:styleId="InfoBody">
    <w:name w:val="Info Body"/>
    <w:basedOn w:val="Normal"/>
    <w:qFormat/>
    <w:rsid w:val="00CD5E9E"/>
    <w:pPr>
      <w:spacing w:before="0" w:line="288" w:lineRule="auto"/>
    </w:pPr>
    <w:rPr>
      <w:rFonts w:eastAsia="Calibri" w:cs="Arial"/>
      <w:kern w:val="28"/>
      <w:szCs w:val="20"/>
      <w:lang w:eastAsia="en-US"/>
    </w:rPr>
  </w:style>
  <w:style w:type="paragraph" w:customStyle="1" w:styleId="Info1">
    <w:name w:val="Info1"/>
    <w:basedOn w:val="Normal"/>
    <w:qFormat/>
    <w:rsid w:val="00CD5E9E"/>
    <w:pPr>
      <w:spacing w:before="9000" w:line="288" w:lineRule="auto"/>
    </w:pPr>
    <w:rPr>
      <w:rFonts w:eastAsia="Calibri" w:cs="Arial"/>
      <w:b/>
      <w:kern w:val="28"/>
      <w:sz w:val="24"/>
      <w:szCs w:val="20"/>
      <w:lang w:eastAsia="en-US"/>
    </w:rPr>
  </w:style>
  <w:style w:type="paragraph" w:customStyle="1" w:styleId="Info2">
    <w:name w:val="Info2"/>
    <w:basedOn w:val="Normal"/>
    <w:qFormat/>
    <w:rsid w:val="00CD5E9E"/>
    <w:pPr>
      <w:spacing w:before="0" w:line="288" w:lineRule="auto"/>
    </w:pPr>
    <w:rPr>
      <w:rFonts w:eastAsia="Calibri" w:cs="Arial"/>
      <w:b/>
      <w:kern w:val="28"/>
      <w:sz w:val="24"/>
      <w:szCs w:val="20"/>
      <w:lang w:eastAsia="en-US"/>
    </w:rPr>
  </w:style>
  <w:style w:type="table" w:styleId="ListTable6Colorful-Accent1">
    <w:name w:val="List Table 6 Colorful Accent 1"/>
    <w:basedOn w:val="TableNormal"/>
    <w:uiPriority w:val="51"/>
    <w:rsid w:val="00CD5E9E"/>
    <w:rPr>
      <w:color w:val="006FA2" w:themeColor="accent1" w:themeShade="BF"/>
    </w:rPr>
    <w:tblPr>
      <w:tblStyleRowBandSize w:val="1"/>
      <w:tblStyleColBandSize w:val="1"/>
      <w:tblBorders>
        <w:top w:val="single" w:sz="4" w:space="0" w:color="0095D9" w:themeColor="accent1"/>
        <w:bottom w:val="single" w:sz="4" w:space="0" w:color="0095D9" w:themeColor="accent1"/>
      </w:tblBorders>
    </w:tblPr>
    <w:tblStylePr w:type="firstRow">
      <w:rPr>
        <w:b/>
        <w:bCs/>
      </w:rPr>
      <w:tblPr/>
      <w:tcPr>
        <w:tcBorders>
          <w:bottom w:val="single" w:sz="4" w:space="0" w:color="0095D9" w:themeColor="accent1"/>
        </w:tcBorders>
      </w:tcPr>
    </w:tblStylePr>
    <w:tblStylePr w:type="lastRow">
      <w:rPr>
        <w:b/>
        <w:bCs/>
      </w:rPr>
      <w:tblPr/>
      <w:tcPr>
        <w:tcBorders>
          <w:top w:val="double" w:sz="4" w:space="0" w:color="0095D9" w:themeColor="accent1"/>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 w:type="table" w:styleId="PlainTable1">
    <w:name w:val="Plain Table 1"/>
    <w:basedOn w:val="TableNormal"/>
    <w:uiPriority w:val="41"/>
    <w:rsid w:val="00CD5E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CD5E9E"/>
    <w:pPr>
      <w:spacing w:after="0" w:line="259" w:lineRule="auto"/>
      <w:outlineLvl w:val="9"/>
    </w:pPr>
    <w:rPr>
      <w:rFonts w:asciiTheme="majorHAnsi" w:hAnsiTheme="majorHAnsi"/>
      <w:b w:val="0"/>
      <w:bCs w:val="0"/>
      <w:color w:val="006FA2" w:themeColor="accent1" w:themeShade="BF"/>
      <w:sz w:val="32"/>
      <w:szCs w:val="32"/>
      <w:lang w:val="en-US" w:eastAsia="en-US"/>
    </w:rPr>
  </w:style>
  <w:style w:type="table" w:styleId="GridTable2-Accent6">
    <w:name w:val="Grid Table 2 Accent 6"/>
    <w:basedOn w:val="TableNormal"/>
    <w:uiPriority w:val="47"/>
    <w:rsid w:val="00CD5E9E"/>
    <w:tblPr>
      <w:tblStyleRowBandSize w:val="1"/>
      <w:tblStyleColBandSize w:val="1"/>
      <w:tblBorders>
        <w:top w:val="single" w:sz="2" w:space="0" w:color="5CE3AD" w:themeColor="accent6" w:themeTint="99"/>
        <w:bottom w:val="single" w:sz="2" w:space="0" w:color="5CE3AD" w:themeColor="accent6" w:themeTint="99"/>
        <w:insideH w:val="single" w:sz="2" w:space="0" w:color="5CE3AD" w:themeColor="accent6" w:themeTint="99"/>
        <w:insideV w:val="single" w:sz="2" w:space="0" w:color="5CE3AD" w:themeColor="accent6" w:themeTint="99"/>
      </w:tblBorders>
    </w:tblPr>
    <w:tblStylePr w:type="firstRow">
      <w:rPr>
        <w:b/>
        <w:bCs/>
      </w:rPr>
      <w:tblPr/>
      <w:tcPr>
        <w:tcBorders>
          <w:top w:val="nil"/>
          <w:bottom w:val="single" w:sz="12" w:space="0" w:color="5CE3AD" w:themeColor="accent6" w:themeTint="99"/>
          <w:insideH w:val="nil"/>
          <w:insideV w:val="nil"/>
        </w:tcBorders>
        <w:shd w:val="clear" w:color="auto" w:fill="FFFFFF" w:themeFill="background1"/>
      </w:tcPr>
    </w:tblStylePr>
    <w:tblStylePr w:type="lastRow">
      <w:rPr>
        <w:b/>
        <w:bCs/>
      </w:rPr>
      <w:tblPr/>
      <w:tcPr>
        <w:tcBorders>
          <w:top w:val="double" w:sz="2" w:space="0" w:color="5CE3A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5E3" w:themeFill="accent6" w:themeFillTint="33"/>
      </w:tcPr>
    </w:tblStylePr>
    <w:tblStylePr w:type="band1Horz">
      <w:tblPr/>
      <w:tcPr>
        <w:shd w:val="clear" w:color="auto" w:fill="C8F5E3" w:themeFill="accent6" w:themeFillTint="33"/>
      </w:tcPr>
    </w:tblStylePr>
  </w:style>
  <w:style w:type="table" w:styleId="ListTable4-Accent6">
    <w:name w:val="List Table 4 Accent 6"/>
    <w:basedOn w:val="TableNormal"/>
    <w:uiPriority w:val="49"/>
    <w:rsid w:val="00CD5E9E"/>
    <w:tblPr>
      <w:tblStyleRowBandSize w:val="1"/>
      <w:tblStyleColBandSize w:val="1"/>
      <w:tblBorders>
        <w:top w:val="single" w:sz="4" w:space="0" w:color="5CE3AD" w:themeColor="accent6" w:themeTint="99"/>
        <w:left w:val="single" w:sz="4" w:space="0" w:color="5CE3AD" w:themeColor="accent6" w:themeTint="99"/>
        <w:bottom w:val="single" w:sz="4" w:space="0" w:color="5CE3AD" w:themeColor="accent6" w:themeTint="99"/>
        <w:right w:val="single" w:sz="4" w:space="0" w:color="5CE3AD" w:themeColor="accent6" w:themeTint="99"/>
        <w:insideH w:val="single" w:sz="4" w:space="0" w:color="5CE3AD" w:themeColor="accent6" w:themeTint="99"/>
      </w:tblBorders>
    </w:tblPr>
    <w:tblStylePr w:type="firstRow">
      <w:rPr>
        <w:b/>
        <w:bCs/>
        <w:color w:val="FFFFFF" w:themeColor="background1"/>
      </w:rPr>
      <w:tblPr/>
      <w:tcPr>
        <w:tcBorders>
          <w:top w:val="single" w:sz="4" w:space="0" w:color="1CA56F" w:themeColor="accent6"/>
          <w:left w:val="single" w:sz="4" w:space="0" w:color="1CA56F" w:themeColor="accent6"/>
          <w:bottom w:val="single" w:sz="4" w:space="0" w:color="1CA56F" w:themeColor="accent6"/>
          <w:right w:val="single" w:sz="4" w:space="0" w:color="1CA56F" w:themeColor="accent6"/>
          <w:insideH w:val="nil"/>
        </w:tcBorders>
        <w:shd w:val="clear" w:color="auto" w:fill="1CA56F" w:themeFill="accent6"/>
      </w:tcPr>
    </w:tblStylePr>
    <w:tblStylePr w:type="lastRow">
      <w:rPr>
        <w:b/>
        <w:bCs/>
      </w:rPr>
      <w:tblPr/>
      <w:tcPr>
        <w:tcBorders>
          <w:top w:val="double" w:sz="4" w:space="0" w:color="5CE3AD" w:themeColor="accent6" w:themeTint="99"/>
        </w:tcBorders>
      </w:tcPr>
    </w:tblStylePr>
    <w:tblStylePr w:type="firstCol">
      <w:rPr>
        <w:b/>
        <w:bCs/>
      </w:rPr>
    </w:tblStylePr>
    <w:tblStylePr w:type="lastCol">
      <w:rPr>
        <w:b/>
        <w:bCs/>
      </w:rPr>
    </w:tblStylePr>
    <w:tblStylePr w:type="band1Vert">
      <w:tblPr/>
      <w:tcPr>
        <w:shd w:val="clear" w:color="auto" w:fill="C8F5E3" w:themeFill="accent6" w:themeFillTint="33"/>
      </w:tcPr>
    </w:tblStylePr>
    <w:tblStylePr w:type="band1Horz">
      <w:tblPr/>
      <w:tcPr>
        <w:shd w:val="clear" w:color="auto" w:fill="C8F5E3" w:themeFill="accent6" w:themeFillTint="33"/>
      </w:tcPr>
    </w:tblStylePr>
  </w:style>
  <w:style w:type="table" w:styleId="ListTable6Colorful-Accent6">
    <w:name w:val="List Table 6 Colorful Accent 6"/>
    <w:basedOn w:val="TableNormal"/>
    <w:uiPriority w:val="51"/>
    <w:rsid w:val="00CD5E9E"/>
    <w:rPr>
      <w:color w:val="157B52" w:themeColor="accent6" w:themeShade="BF"/>
    </w:rPr>
    <w:tblPr>
      <w:tblStyleRowBandSize w:val="1"/>
      <w:tblStyleColBandSize w:val="1"/>
      <w:tblBorders>
        <w:top w:val="single" w:sz="4" w:space="0" w:color="1CA56F" w:themeColor="accent6"/>
        <w:bottom w:val="single" w:sz="4" w:space="0" w:color="1CA56F" w:themeColor="accent6"/>
      </w:tblBorders>
    </w:tblPr>
    <w:tblStylePr w:type="firstRow">
      <w:rPr>
        <w:b/>
        <w:bCs/>
      </w:rPr>
      <w:tblPr/>
      <w:tcPr>
        <w:tcBorders>
          <w:bottom w:val="single" w:sz="4" w:space="0" w:color="1CA56F" w:themeColor="accent6"/>
        </w:tcBorders>
      </w:tcPr>
    </w:tblStylePr>
    <w:tblStylePr w:type="lastRow">
      <w:rPr>
        <w:b/>
        <w:bCs/>
      </w:rPr>
      <w:tblPr/>
      <w:tcPr>
        <w:tcBorders>
          <w:top w:val="double" w:sz="4" w:space="0" w:color="1CA56F" w:themeColor="accent6"/>
        </w:tcBorders>
      </w:tcPr>
    </w:tblStylePr>
    <w:tblStylePr w:type="firstCol">
      <w:rPr>
        <w:b/>
        <w:bCs/>
      </w:rPr>
    </w:tblStylePr>
    <w:tblStylePr w:type="lastCol">
      <w:rPr>
        <w:b/>
        <w:bCs/>
      </w:rPr>
    </w:tblStylePr>
    <w:tblStylePr w:type="band1Vert">
      <w:tblPr/>
      <w:tcPr>
        <w:shd w:val="clear" w:color="auto" w:fill="C8F5E3" w:themeFill="accent6" w:themeFillTint="33"/>
      </w:tcPr>
    </w:tblStylePr>
    <w:tblStylePr w:type="band1Horz">
      <w:tblPr/>
      <w:tcPr>
        <w:shd w:val="clear" w:color="auto" w:fill="C8F5E3" w:themeFill="accent6" w:themeFillTint="33"/>
      </w:tcPr>
    </w:tblStylePr>
  </w:style>
  <w:style w:type="paragraph" w:customStyle="1" w:styleId="Indentpara">
    <w:name w:val="Indent para"/>
    <w:basedOn w:val="Normal"/>
    <w:qFormat/>
    <w:rsid w:val="00DF5007"/>
    <w:pPr>
      <w:spacing w:before="0"/>
      <w:ind w:left="851" w:right="843"/>
    </w:pPr>
    <w:rPr>
      <w:rFonts w:eastAsia="Times New Roman" w:cs="Times New Roman"/>
      <w:szCs w:val="20"/>
      <w:lang w:eastAsia="zh-CN"/>
    </w:rPr>
  </w:style>
  <w:style w:type="paragraph" w:customStyle="1" w:styleId="ReportBody">
    <w:name w:val="Report Body"/>
    <w:basedOn w:val="Normal"/>
    <w:link w:val="ReportBodyChar"/>
    <w:qFormat/>
    <w:rsid w:val="00120A85"/>
    <w:pPr>
      <w:numPr>
        <w:numId w:val="15"/>
      </w:numPr>
    </w:pPr>
    <w:rPr>
      <w:rFonts w:eastAsia="Times New Roman" w:cs="Arial"/>
      <w:color w:val="000000"/>
      <w:kern w:val="22"/>
      <w:szCs w:val="20"/>
      <w:lang w:eastAsia="en-NZ"/>
    </w:rPr>
  </w:style>
  <w:style w:type="paragraph" w:customStyle="1" w:styleId="ReportBody2">
    <w:name w:val="Report Body 2"/>
    <w:basedOn w:val="ReportBody"/>
    <w:qFormat/>
    <w:rsid w:val="00120A85"/>
    <w:pPr>
      <w:numPr>
        <w:ilvl w:val="1"/>
      </w:numPr>
      <w:tabs>
        <w:tab w:val="clear" w:pos="493"/>
      </w:tabs>
      <w:ind w:left="1440" w:hanging="360"/>
    </w:pPr>
  </w:style>
  <w:style w:type="character" w:customStyle="1" w:styleId="ReportBodyChar">
    <w:name w:val="Report Body Char"/>
    <w:basedOn w:val="DefaultParagraphFont"/>
    <w:link w:val="ReportBody"/>
    <w:rsid w:val="00120A85"/>
    <w:rPr>
      <w:rFonts w:ascii="Verdana" w:eastAsia="Times New Roman" w:hAnsi="Verdana" w:cs="Arial"/>
      <w:color w:val="000000"/>
      <w:kern w:val="22"/>
      <w:sz w:val="20"/>
      <w:szCs w:val="20"/>
      <w:lang w:eastAsia="en-NZ"/>
    </w:rPr>
  </w:style>
  <w:style w:type="paragraph" w:styleId="BalloonText">
    <w:name w:val="Balloon Text"/>
    <w:basedOn w:val="Normal"/>
    <w:link w:val="BalloonTextChar"/>
    <w:uiPriority w:val="99"/>
    <w:semiHidden/>
    <w:unhideWhenUsed/>
    <w:rsid w:val="00F759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919"/>
    <w:rPr>
      <w:rFonts w:ascii="Segoe UI" w:hAnsi="Segoe UI" w:cs="Segoe UI"/>
      <w:sz w:val="18"/>
      <w:szCs w:val="18"/>
    </w:rPr>
  </w:style>
  <w:style w:type="paragraph" w:styleId="Caption">
    <w:name w:val="caption"/>
    <w:basedOn w:val="Normal"/>
    <w:next w:val="Normal"/>
    <w:unhideWhenUsed/>
    <w:qFormat/>
    <w:rsid w:val="00F75919"/>
    <w:pPr>
      <w:suppressAutoHyphens/>
      <w:autoSpaceDE w:val="0"/>
      <w:autoSpaceDN w:val="0"/>
      <w:adjustRightInd w:val="0"/>
      <w:spacing w:before="0" w:after="200"/>
      <w:textAlignment w:val="center"/>
    </w:pPr>
    <w:rPr>
      <w:rFonts w:eastAsia="Times New Roman" w:cs="Arial"/>
      <w:i/>
      <w:iCs/>
      <w:color w:val="252C65" w:themeColor="text2"/>
      <w:sz w:val="18"/>
      <w:szCs w:val="18"/>
      <w:lang w:eastAsia="en-NZ"/>
    </w:rPr>
  </w:style>
  <w:style w:type="character" w:styleId="UnresolvedMention">
    <w:name w:val="Unresolved Mention"/>
    <w:basedOn w:val="DefaultParagraphFont"/>
    <w:uiPriority w:val="99"/>
    <w:semiHidden/>
    <w:unhideWhenUsed/>
    <w:rsid w:val="00F75919"/>
    <w:rPr>
      <w:color w:val="605E5C"/>
      <w:shd w:val="clear" w:color="auto" w:fill="E1DFDD"/>
    </w:rPr>
  </w:style>
  <w:style w:type="paragraph" w:styleId="TableofFigures">
    <w:name w:val="table of figures"/>
    <w:basedOn w:val="Normal"/>
    <w:next w:val="Normal"/>
    <w:uiPriority w:val="99"/>
    <w:unhideWhenUsed/>
    <w:rsid w:val="008F3BD2"/>
    <w:pPr>
      <w:spacing w:after="0"/>
    </w:pPr>
  </w:style>
  <w:style w:type="character" w:styleId="CommentReference">
    <w:name w:val="annotation reference"/>
    <w:basedOn w:val="DefaultParagraphFont"/>
    <w:uiPriority w:val="99"/>
    <w:semiHidden/>
    <w:unhideWhenUsed/>
    <w:rsid w:val="00382570"/>
    <w:rPr>
      <w:sz w:val="16"/>
      <w:szCs w:val="16"/>
    </w:rPr>
  </w:style>
  <w:style w:type="paragraph" w:styleId="CommentText">
    <w:name w:val="annotation text"/>
    <w:basedOn w:val="Normal"/>
    <w:link w:val="CommentTextChar"/>
    <w:uiPriority w:val="99"/>
    <w:semiHidden/>
    <w:unhideWhenUsed/>
    <w:rsid w:val="00382570"/>
    <w:rPr>
      <w:szCs w:val="20"/>
    </w:rPr>
  </w:style>
  <w:style w:type="character" w:customStyle="1" w:styleId="CommentTextChar">
    <w:name w:val="Comment Text Char"/>
    <w:basedOn w:val="DefaultParagraphFont"/>
    <w:link w:val="CommentText"/>
    <w:uiPriority w:val="99"/>
    <w:semiHidden/>
    <w:rsid w:val="00382570"/>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82570"/>
    <w:rPr>
      <w:b/>
      <w:bCs/>
    </w:rPr>
  </w:style>
  <w:style w:type="character" w:customStyle="1" w:styleId="CommentSubjectChar">
    <w:name w:val="Comment Subject Char"/>
    <w:basedOn w:val="CommentTextChar"/>
    <w:link w:val="CommentSubject"/>
    <w:uiPriority w:val="99"/>
    <w:semiHidden/>
    <w:rsid w:val="00382570"/>
    <w:rPr>
      <w:rFonts w:ascii="Verdana" w:hAnsi="Verdana"/>
      <w:b/>
      <w:bCs/>
      <w:sz w:val="20"/>
      <w:szCs w:val="20"/>
    </w:rPr>
  </w:style>
  <w:style w:type="character" w:styleId="FollowedHyperlink">
    <w:name w:val="FollowedHyperlink"/>
    <w:basedOn w:val="DefaultParagraphFont"/>
    <w:uiPriority w:val="99"/>
    <w:semiHidden/>
    <w:unhideWhenUsed/>
    <w:rsid w:val="002347F6"/>
    <w:rPr>
      <w:color w:val="5B3690" w:themeColor="followedHyperlink"/>
      <w:u w:val="single"/>
    </w:rPr>
  </w:style>
  <w:style w:type="paragraph" w:styleId="Revision">
    <w:name w:val="Revision"/>
    <w:hidden/>
    <w:uiPriority w:val="99"/>
    <w:semiHidden/>
    <w:rsid w:val="005A74AF"/>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13069">
      <w:bodyDiv w:val="1"/>
      <w:marLeft w:val="0"/>
      <w:marRight w:val="0"/>
      <w:marTop w:val="0"/>
      <w:marBottom w:val="0"/>
      <w:divBdr>
        <w:top w:val="none" w:sz="0" w:space="0" w:color="auto"/>
        <w:left w:val="none" w:sz="0" w:space="0" w:color="auto"/>
        <w:bottom w:val="none" w:sz="0" w:space="0" w:color="auto"/>
        <w:right w:val="none" w:sz="0" w:space="0" w:color="auto"/>
      </w:divBdr>
    </w:div>
    <w:div w:id="373507516">
      <w:bodyDiv w:val="1"/>
      <w:marLeft w:val="0"/>
      <w:marRight w:val="0"/>
      <w:marTop w:val="0"/>
      <w:marBottom w:val="0"/>
      <w:divBdr>
        <w:top w:val="none" w:sz="0" w:space="0" w:color="auto"/>
        <w:left w:val="none" w:sz="0" w:space="0" w:color="auto"/>
        <w:bottom w:val="none" w:sz="0" w:space="0" w:color="auto"/>
        <w:right w:val="none" w:sz="0" w:space="0" w:color="auto"/>
      </w:divBdr>
    </w:div>
    <w:div w:id="385834440">
      <w:bodyDiv w:val="1"/>
      <w:marLeft w:val="0"/>
      <w:marRight w:val="0"/>
      <w:marTop w:val="0"/>
      <w:marBottom w:val="0"/>
      <w:divBdr>
        <w:top w:val="none" w:sz="0" w:space="0" w:color="auto"/>
        <w:left w:val="none" w:sz="0" w:space="0" w:color="auto"/>
        <w:bottom w:val="none" w:sz="0" w:space="0" w:color="auto"/>
        <w:right w:val="none" w:sz="0" w:space="0" w:color="auto"/>
      </w:divBdr>
    </w:div>
    <w:div w:id="415781698">
      <w:bodyDiv w:val="1"/>
      <w:marLeft w:val="0"/>
      <w:marRight w:val="0"/>
      <w:marTop w:val="0"/>
      <w:marBottom w:val="0"/>
      <w:divBdr>
        <w:top w:val="none" w:sz="0" w:space="0" w:color="auto"/>
        <w:left w:val="none" w:sz="0" w:space="0" w:color="auto"/>
        <w:bottom w:val="none" w:sz="0" w:space="0" w:color="auto"/>
        <w:right w:val="none" w:sz="0" w:space="0" w:color="auto"/>
      </w:divBdr>
    </w:div>
    <w:div w:id="617181709">
      <w:bodyDiv w:val="1"/>
      <w:marLeft w:val="0"/>
      <w:marRight w:val="0"/>
      <w:marTop w:val="0"/>
      <w:marBottom w:val="0"/>
      <w:divBdr>
        <w:top w:val="none" w:sz="0" w:space="0" w:color="auto"/>
        <w:left w:val="none" w:sz="0" w:space="0" w:color="auto"/>
        <w:bottom w:val="none" w:sz="0" w:space="0" w:color="auto"/>
        <w:right w:val="none" w:sz="0" w:space="0" w:color="auto"/>
      </w:divBdr>
    </w:div>
    <w:div w:id="739403161">
      <w:bodyDiv w:val="1"/>
      <w:marLeft w:val="0"/>
      <w:marRight w:val="0"/>
      <w:marTop w:val="0"/>
      <w:marBottom w:val="0"/>
      <w:divBdr>
        <w:top w:val="none" w:sz="0" w:space="0" w:color="auto"/>
        <w:left w:val="none" w:sz="0" w:space="0" w:color="auto"/>
        <w:bottom w:val="none" w:sz="0" w:space="0" w:color="auto"/>
        <w:right w:val="none" w:sz="0" w:space="0" w:color="auto"/>
      </w:divBdr>
    </w:div>
    <w:div w:id="879786404">
      <w:bodyDiv w:val="1"/>
      <w:marLeft w:val="0"/>
      <w:marRight w:val="0"/>
      <w:marTop w:val="0"/>
      <w:marBottom w:val="0"/>
      <w:divBdr>
        <w:top w:val="none" w:sz="0" w:space="0" w:color="auto"/>
        <w:left w:val="none" w:sz="0" w:space="0" w:color="auto"/>
        <w:bottom w:val="none" w:sz="0" w:space="0" w:color="auto"/>
        <w:right w:val="none" w:sz="0" w:space="0" w:color="auto"/>
      </w:divBdr>
    </w:div>
    <w:div w:id="1048527493">
      <w:bodyDiv w:val="1"/>
      <w:marLeft w:val="0"/>
      <w:marRight w:val="0"/>
      <w:marTop w:val="0"/>
      <w:marBottom w:val="0"/>
      <w:divBdr>
        <w:top w:val="none" w:sz="0" w:space="0" w:color="auto"/>
        <w:left w:val="none" w:sz="0" w:space="0" w:color="auto"/>
        <w:bottom w:val="none" w:sz="0" w:space="0" w:color="auto"/>
        <w:right w:val="none" w:sz="0" w:space="0" w:color="auto"/>
      </w:divBdr>
    </w:div>
    <w:div w:id="1079328959">
      <w:bodyDiv w:val="1"/>
      <w:marLeft w:val="0"/>
      <w:marRight w:val="0"/>
      <w:marTop w:val="0"/>
      <w:marBottom w:val="0"/>
      <w:divBdr>
        <w:top w:val="none" w:sz="0" w:space="0" w:color="auto"/>
        <w:left w:val="none" w:sz="0" w:space="0" w:color="auto"/>
        <w:bottom w:val="none" w:sz="0" w:space="0" w:color="auto"/>
        <w:right w:val="none" w:sz="0" w:space="0" w:color="auto"/>
      </w:divBdr>
    </w:div>
    <w:div w:id="1661302238">
      <w:bodyDiv w:val="1"/>
      <w:marLeft w:val="0"/>
      <w:marRight w:val="0"/>
      <w:marTop w:val="0"/>
      <w:marBottom w:val="0"/>
      <w:divBdr>
        <w:top w:val="none" w:sz="0" w:space="0" w:color="auto"/>
        <w:left w:val="none" w:sz="0" w:space="0" w:color="auto"/>
        <w:bottom w:val="none" w:sz="0" w:space="0" w:color="auto"/>
        <w:right w:val="none" w:sz="0" w:space="0" w:color="auto"/>
      </w:divBdr>
    </w:div>
    <w:div w:id="1770157225">
      <w:bodyDiv w:val="1"/>
      <w:marLeft w:val="0"/>
      <w:marRight w:val="0"/>
      <w:marTop w:val="0"/>
      <w:marBottom w:val="0"/>
      <w:divBdr>
        <w:top w:val="none" w:sz="0" w:space="0" w:color="auto"/>
        <w:left w:val="none" w:sz="0" w:space="0" w:color="auto"/>
        <w:bottom w:val="none" w:sz="0" w:space="0" w:color="auto"/>
        <w:right w:val="none" w:sz="0" w:space="0" w:color="auto"/>
      </w:divBdr>
    </w:div>
    <w:div w:id="20647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8" Type="http://schemas.openxmlformats.org/officeDocument/2006/relationships/hyperlink" Target="https://www.anz.co.nz/content/dam/anzconz/documents/economics-and-market-research/2020/ANZ-BusinessOutlook20200630.pdf" TargetMode="External"/><Relationship Id="rId13" Type="http://schemas.openxmlformats.org/officeDocument/2006/relationships/hyperlink" Target="http://www.oecd.org/economic-outlook/june-2020/" TargetMode="External"/><Relationship Id="rId18" Type="http://schemas.openxmlformats.org/officeDocument/2006/relationships/hyperlink" Target="https://www.beehive.govt.nz/release/targeted-extension-wage-subsidy-scheme" TargetMode="External"/><Relationship Id="rId3" Type="http://schemas.openxmlformats.org/officeDocument/2006/relationships/hyperlink" Target="https://shorthand.radionz.co.nz/coronavirus-timeline/" TargetMode="External"/><Relationship Id="rId7" Type="http://schemas.openxmlformats.org/officeDocument/2006/relationships/hyperlink" Target="https://www.mckinsey.com/industries/healthcare-systems-and-services/our-insights/covid-19-saving-thousands-of-lives-and-trillions-in-livelihoods" TargetMode="External"/><Relationship Id="rId12" Type="http://schemas.openxmlformats.org/officeDocument/2006/relationships/hyperlink" Target="https://nzier.org.nz/static/media/filer_public/e0/2f/e02f3f0c-a26f-4a0c-8acf-5737423ef337/nzier_insight_90_land-based_industries.pdf" TargetMode="External"/><Relationship Id="rId17" Type="http://schemas.openxmlformats.org/officeDocument/2006/relationships/hyperlink" Target="https://www.beehive.govt.nz/sites/default/files/2020-03/Wage%20subsidy%20scheme%20factsheet.pdf" TargetMode="External"/><Relationship Id="rId2" Type="http://schemas.openxmlformats.org/officeDocument/2006/relationships/hyperlink" Target="https://www.anz.co.nz/content/dam/anzconz/documents/economics-and-market-research/2020/ANZ-CPI-20200304.pdf" TargetMode="External"/><Relationship Id="rId16" Type="http://schemas.openxmlformats.org/officeDocument/2006/relationships/hyperlink" Target="https://www.msd.govt.nz/documents/about-msd-and-our-work/publications-resources/statistics/covid-19/the-impacts-of-covid-19-on-one-off-hardship-assistance.pdf" TargetMode="External"/><Relationship Id="rId1" Type="http://schemas.openxmlformats.org/officeDocument/2006/relationships/hyperlink" Target="https://www.rbnz.govt.nz/-/media/ReserveBank/Files/Publications/Analytical%20notes/2018/an2018-01.pdf?revision=7377a00f-a898-43d4-b1b2-5dbff8005bdb" TargetMode="External"/><Relationship Id="rId6" Type="http://schemas.openxmlformats.org/officeDocument/2006/relationships/hyperlink" Target="https://www.rbnz.govt.nz/-/media/ReserveBank/Files/Publications/Analytical%20notes/2020/AN2020-04.pdf?revision=6c59d0c8-a81f-48bb-931c-0e38209139ba" TargetMode="External"/><Relationship Id="rId11" Type="http://schemas.openxmlformats.org/officeDocument/2006/relationships/hyperlink" Target="https://www.stats.govt.nz/news/covid-19-slows-labour-market-activity" TargetMode="External"/><Relationship Id="rId5" Type="http://schemas.openxmlformats.org/officeDocument/2006/relationships/hyperlink" Target="https://enz.govt.nz/news-and-research/ed-news/international-education-contributes-5-1-billion-to-new-zealand" TargetMode="External"/><Relationship Id="rId15" Type="http://schemas.openxmlformats.org/officeDocument/2006/relationships/hyperlink" Target="https://www.msd.govt.nz/documents/about-msd-and-our-work/publications-resources/statistics/benefit/2020/topic-briefs/topic-brief-jobseeker-support-work-ready-grants-to-end-april-2020.pdf" TargetMode="External"/><Relationship Id="rId10" Type="http://schemas.openxmlformats.org/officeDocument/2006/relationships/hyperlink" Target="https://treasury.govt.nz/publications/nzac/nzac-qa-note-html" TargetMode="External"/><Relationship Id="rId19" Type="http://schemas.openxmlformats.org/officeDocument/2006/relationships/hyperlink" Target="https://www.beehive.govt.nz/sites/default/files/2020-05/COVID%20Income%20Relief%20Payment%20fact%20sheet%20FINAL.pdf" TargetMode="External"/><Relationship Id="rId4" Type="http://schemas.openxmlformats.org/officeDocument/2006/relationships/hyperlink" Target="https://www.mbie.govt.nz/immigration-and-tourism/tourism-research-and-data/tourism-data-releases/tourism-and-the-economy/" TargetMode="External"/><Relationship Id="rId9" Type="http://schemas.openxmlformats.org/officeDocument/2006/relationships/hyperlink" Target="https://treasury.govt.nz/sites/default/files/2020-06/nzac-qanda-note-30jun20.pdf" TargetMode="External"/><Relationship Id="rId14" Type="http://schemas.openxmlformats.org/officeDocument/2006/relationships/hyperlink" Target="https://www.msd.govt.nz/documents/about-msd-and-our-work/publications-resources/statistics/covid-19/impact-of-covid-on-benefit-numbers-in-historic-perspective-12-august.pdf" TargetMode="External"/></Relationships>
</file>

<file path=word/theme/theme1.xml><?xml version="1.0" encoding="utf-8"?>
<a:theme xmlns:a="http://schemas.openxmlformats.org/drawingml/2006/main" name="Office Theme">
  <a:themeElements>
    <a:clrScheme name="Ministry of Social Development">
      <a:dk1>
        <a:srgbClr val="000000"/>
      </a:dk1>
      <a:lt1>
        <a:srgbClr val="FFFFFF"/>
      </a:lt1>
      <a:dk2>
        <a:srgbClr val="252C65"/>
      </a:dk2>
      <a:lt2>
        <a:srgbClr val="F89D49"/>
      </a:lt2>
      <a:accent1>
        <a:srgbClr val="0095D9"/>
      </a:accent1>
      <a:accent2>
        <a:srgbClr val="F15930"/>
      </a:accent2>
      <a:accent3>
        <a:srgbClr val="8CC646"/>
      </a:accent3>
      <a:accent4>
        <a:srgbClr val="FFD530"/>
      </a:accent4>
      <a:accent5>
        <a:srgbClr val="5B3690"/>
      </a:accent5>
      <a:accent6>
        <a:srgbClr val="1CA56F"/>
      </a:accent6>
      <a:hlink>
        <a:srgbClr val="0095D9"/>
      </a:hlink>
      <a:folHlink>
        <a:srgbClr val="5B36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E24A-D896-4C2F-A150-B9ACA818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29</Pages>
  <Words>9276</Words>
  <Characters>52874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Stojkov</dc:creator>
  <cp:keywords>benefit system update</cp:keywords>
  <dc:description/>
  <cp:lastModifiedBy>Jelena Stojkov</cp:lastModifiedBy>
  <cp:revision>15</cp:revision>
  <cp:lastPrinted>2020-10-23T01:01:00Z</cp:lastPrinted>
  <dcterms:created xsi:type="dcterms:W3CDTF">2020-09-29T03:30:00Z</dcterms:created>
  <dcterms:modified xsi:type="dcterms:W3CDTF">2020-10-29T02:20:00Z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A12789725</vt:lpwstr>
  </property>
  <property fmtid="{D5CDD505-2E9C-101B-9397-08002B2CF9AE}" pid="4" name="Objective-Title">
    <vt:lpwstr>BSU-August 2020 for publishing</vt:lpwstr>
  </property>
  <property fmtid="{D5CDD505-2E9C-101B-9397-08002B2CF9AE}" pid="5" name="Objective-Comment">
    <vt:lpwstr/>
  </property>
  <property fmtid="{D5CDD505-2E9C-101B-9397-08002B2CF9AE}" pid="6" name="Objective-CreationStamp">
    <vt:filetime>2020-09-20T23:50:34Z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2020-09-30T01:14:51Z</vt:filetime>
  </property>
  <property fmtid="{D5CDD505-2E9C-101B-9397-08002B2CF9AE}" pid="11" name="Objective-Owner">
    <vt:lpwstr>Jelena Stojkov</vt:lpwstr>
  </property>
  <property fmtid="{D5CDD505-2E9C-101B-9397-08002B2CF9AE}" pid="12" name="Objective-Path">
    <vt:lpwstr>Global Folder:MSD INFORMATION REPOSITORY:Governance:Budget Management:Crown Forecasting:Information Requests:Special Topics and Research:001 - Benefit System Monitoring Report:June 2020 Quarter:</vt:lpwstr>
  </property>
  <property fmtid="{D5CDD505-2E9C-101B-9397-08002B2CF9AE}" pid="13" name="Objective-Parent">
    <vt:lpwstr>June 2020 Quarter</vt:lpwstr>
  </property>
  <property fmtid="{D5CDD505-2E9C-101B-9397-08002B2CF9AE}" pid="14" name="Objective-State">
    <vt:lpwstr>Being Edited</vt:lpwstr>
  </property>
  <property fmtid="{D5CDD505-2E9C-101B-9397-08002B2CF9AE}" pid="15" name="Objective-Version">
    <vt:lpwstr>11.1</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GO/BU/03/05/19-13765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