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949" w:rsidRDefault="00E05949">
      <w:pPr>
        <w:pStyle w:val="Heading"/>
        <w:rPr>
          <w:rFonts w:ascii="Times New Roman" w:hAnsi="Times New Roman"/>
          <w:b/>
          <w:bCs/>
          <w:i/>
          <w:iCs/>
          <w:sz w:val="22"/>
          <w:szCs w:val="22"/>
        </w:rPr>
      </w:pPr>
    </w:p>
    <w:p w:rsidR="00E05949" w:rsidRPr="007F6143" w:rsidRDefault="009A1012">
      <w:pPr>
        <w:pStyle w:val="Title"/>
        <w:jc w:val="center"/>
        <w:rPr>
          <w:rStyle w:val="BookTitle"/>
          <w:rFonts w:ascii="Times New Roman" w:hAnsi="Times New Roman" w:cs="Times New Roman"/>
          <w:sz w:val="40"/>
          <w:szCs w:val="40"/>
        </w:rPr>
      </w:pPr>
      <w:r w:rsidRPr="007F6143">
        <w:rPr>
          <w:rStyle w:val="BookTitle"/>
          <w:rFonts w:ascii="Times New Roman" w:hAnsi="Times New Roman" w:cs="Times New Roman"/>
          <w:sz w:val="40"/>
          <w:szCs w:val="40"/>
        </w:rPr>
        <w:t>Impact of School</w:t>
      </w:r>
      <w:r w:rsidR="005C41F5">
        <w:rPr>
          <w:rStyle w:val="BookTitle"/>
          <w:rFonts w:ascii="Times New Roman" w:hAnsi="Times New Roman" w:cs="Times New Roman"/>
          <w:sz w:val="40"/>
          <w:szCs w:val="40"/>
        </w:rPr>
        <w:t>-</w:t>
      </w:r>
      <w:r w:rsidRPr="007F6143">
        <w:rPr>
          <w:rStyle w:val="BookTitle"/>
          <w:rFonts w:ascii="Times New Roman" w:hAnsi="Times New Roman" w:cs="Times New Roman"/>
          <w:sz w:val="40"/>
          <w:szCs w:val="40"/>
        </w:rPr>
        <w:t>Based Support on Educational Outcomes of Teen-Mothers: Evidence from New Zealand’s “Teen Parent Unit</w:t>
      </w:r>
      <w:r w:rsidR="000E06B5" w:rsidRPr="007F6143">
        <w:rPr>
          <w:rStyle w:val="BookTitle"/>
          <w:rFonts w:ascii="Times New Roman" w:hAnsi="Times New Roman" w:cs="Times New Roman"/>
          <w:sz w:val="40"/>
          <w:szCs w:val="40"/>
        </w:rPr>
        <w:t>s</w:t>
      </w:r>
      <w:r w:rsidRPr="007F6143">
        <w:rPr>
          <w:rStyle w:val="BookTitle"/>
          <w:rFonts w:ascii="Times New Roman" w:hAnsi="Times New Roman" w:cs="Times New Roman"/>
          <w:sz w:val="40"/>
          <w:szCs w:val="40"/>
        </w:rPr>
        <w:t xml:space="preserve">” </w:t>
      </w:r>
    </w:p>
    <w:p w:rsidR="00E05949" w:rsidRPr="00B12C8E" w:rsidRDefault="00E05949" w:rsidP="00B043AF">
      <w:pPr>
        <w:pStyle w:val="Body"/>
        <w:spacing w:before="360" w:after="360"/>
        <w:jc w:val="center"/>
      </w:pPr>
    </w:p>
    <w:p w:rsidR="00E05949" w:rsidRPr="00B12C8E" w:rsidRDefault="009A1012" w:rsidP="00B043AF">
      <w:pPr>
        <w:pStyle w:val="Body"/>
        <w:spacing w:before="240" w:after="240" w:line="240" w:lineRule="auto"/>
        <w:jc w:val="center"/>
      </w:pPr>
      <w:r w:rsidRPr="00B12C8E">
        <w:rPr>
          <w:lang w:val="en-US"/>
        </w:rPr>
        <w:t xml:space="preserve">Rhema Vaithianathan, </w:t>
      </w:r>
      <w:r w:rsidR="00B51992">
        <w:rPr>
          <w:lang w:val="en-US"/>
        </w:rPr>
        <w:t>School</w:t>
      </w:r>
      <w:r w:rsidR="00B51992" w:rsidRPr="00B12C8E">
        <w:rPr>
          <w:lang w:val="en-US"/>
        </w:rPr>
        <w:t xml:space="preserve"> </w:t>
      </w:r>
      <w:r w:rsidRPr="00B12C8E">
        <w:rPr>
          <w:lang w:val="en-US"/>
        </w:rPr>
        <w:t xml:space="preserve">of Economics, </w:t>
      </w:r>
      <w:r w:rsidR="005575E4">
        <w:rPr>
          <w:lang w:val="en-US"/>
        </w:rPr>
        <w:t>Auckland University of Techn</w:t>
      </w:r>
      <w:r w:rsidR="00B51992">
        <w:rPr>
          <w:lang w:val="en-US"/>
        </w:rPr>
        <w:t>ology (AUT)</w:t>
      </w:r>
      <w:r w:rsidRPr="00B12C8E">
        <w:rPr>
          <w:rStyle w:val="FootnoteReference"/>
        </w:rPr>
        <w:footnoteReference w:id="2"/>
      </w:r>
    </w:p>
    <w:p w:rsidR="00E05949" w:rsidRPr="00B12C8E" w:rsidRDefault="009A1012" w:rsidP="00B043AF">
      <w:pPr>
        <w:pStyle w:val="Body"/>
        <w:spacing w:before="240" w:after="240" w:line="240" w:lineRule="auto"/>
        <w:jc w:val="center"/>
      </w:pPr>
      <w:r w:rsidRPr="00B12C8E">
        <w:rPr>
          <w:lang w:val="en-US"/>
        </w:rPr>
        <w:t xml:space="preserve">Tim Maloney, </w:t>
      </w:r>
      <w:r w:rsidR="00B51992">
        <w:rPr>
          <w:lang w:val="en-US"/>
        </w:rPr>
        <w:t>School</w:t>
      </w:r>
      <w:r w:rsidR="00B51992" w:rsidRPr="00B12C8E">
        <w:rPr>
          <w:lang w:val="en-US"/>
        </w:rPr>
        <w:t xml:space="preserve"> </w:t>
      </w:r>
      <w:r w:rsidRPr="00B12C8E">
        <w:rPr>
          <w:lang w:val="en-US"/>
        </w:rPr>
        <w:t>of Economics, AUT</w:t>
      </w:r>
    </w:p>
    <w:p w:rsidR="00E05949" w:rsidRPr="00B12C8E" w:rsidRDefault="009A1012" w:rsidP="00B043AF">
      <w:pPr>
        <w:pStyle w:val="Body"/>
        <w:spacing w:before="240" w:after="240" w:line="240" w:lineRule="auto"/>
        <w:jc w:val="center"/>
      </w:pPr>
      <w:r w:rsidRPr="00B12C8E">
        <w:rPr>
          <w:lang w:val="en-US"/>
        </w:rPr>
        <w:t>Moira Wilson, Ministry of Social Development</w:t>
      </w:r>
      <w:r w:rsidR="00621071">
        <w:rPr>
          <w:lang w:val="en-US"/>
        </w:rPr>
        <w:t xml:space="preserve"> </w:t>
      </w:r>
      <w:r w:rsidR="00673FB8">
        <w:rPr>
          <w:lang w:val="en-US"/>
        </w:rPr>
        <w:t>(</w:t>
      </w:r>
      <w:r w:rsidRPr="00B12C8E">
        <w:rPr>
          <w:lang w:val="en-US"/>
        </w:rPr>
        <w:t>MSD</w:t>
      </w:r>
      <w:r w:rsidR="00673FB8">
        <w:rPr>
          <w:lang w:val="en-US"/>
        </w:rPr>
        <w:t>)</w:t>
      </w:r>
    </w:p>
    <w:p w:rsidR="00E05949" w:rsidRDefault="009A1012" w:rsidP="00B043AF">
      <w:pPr>
        <w:pStyle w:val="Body"/>
        <w:spacing w:before="240" w:after="240" w:line="240" w:lineRule="auto"/>
        <w:jc w:val="center"/>
        <w:rPr>
          <w:lang w:val="en-US"/>
        </w:rPr>
      </w:pPr>
      <w:r w:rsidRPr="00B12C8E">
        <w:rPr>
          <w:lang w:val="en-US"/>
        </w:rPr>
        <w:t xml:space="preserve">Anita Staneva, </w:t>
      </w:r>
      <w:r w:rsidR="00B51992">
        <w:rPr>
          <w:lang w:val="en-US"/>
        </w:rPr>
        <w:t>School</w:t>
      </w:r>
      <w:r w:rsidR="00B51992" w:rsidRPr="00B12C8E">
        <w:rPr>
          <w:lang w:val="en-US"/>
        </w:rPr>
        <w:t xml:space="preserve"> </w:t>
      </w:r>
      <w:r w:rsidRPr="00B12C8E">
        <w:rPr>
          <w:lang w:val="en-US"/>
        </w:rPr>
        <w:t>of Economics, AUT</w:t>
      </w:r>
    </w:p>
    <w:p w:rsidR="00C83814" w:rsidRPr="00B12C8E" w:rsidRDefault="00C83814" w:rsidP="00B043AF">
      <w:pPr>
        <w:pStyle w:val="Body"/>
        <w:spacing w:before="240" w:after="240" w:line="240" w:lineRule="auto"/>
        <w:jc w:val="center"/>
      </w:pPr>
      <w:r>
        <w:rPr>
          <w:lang w:val="en-US"/>
        </w:rPr>
        <w:t xml:space="preserve">Nan Jiang, </w:t>
      </w:r>
      <w:r w:rsidR="00B51992">
        <w:rPr>
          <w:lang w:val="en-US"/>
        </w:rPr>
        <w:t>School</w:t>
      </w:r>
      <w:r w:rsidR="00B51992" w:rsidRPr="00B12C8E">
        <w:rPr>
          <w:lang w:val="en-US"/>
        </w:rPr>
        <w:t xml:space="preserve"> </w:t>
      </w:r>
      <w:r w:rsidR="00A4032A" w:rsidRPr="00B12C8E">
        <w:rPr>
          <w:lang w:val="en-US"/>
        </w:rPr>
        <w:t>of Economics, AUT</w:t>
      </w:r>
    </w:p>
    <w:p w:rsidR="00E05949" w:rsidRDefault="00E05949">
      <w:pPr>
        <w:pStyle w:val="Body"/>
        <w:jc w:val="center"/>
      </w:pPr>
    </w:p>
    <w:p w:rsidR="0016115C" w:rsidRPr="0016115C" w:rsidRDefault="0016115C">
      <w:pPr>
        <w:pStyle w:val="Body"/>
        <w:jc w:val="center"/>
      </w:pPr>
      <w:r w:rsidRPr="0016115C">
        <w:t>Working Paper</w:t>
      </w:r>
    </w:p>
    <w:p w:rsidR="00E05949" w:rsidRDefault="006A4B84">
      <w:pPr>
        <w:pStyle w:val="Body"/>
        <w:jc w:val="center"/>
        <w:rPr>
          <w:i/>
          <w:iCs/>
          <w:lang w:val="en-US"/>
        </w:rPr>
      </w:pPr>
      <w:r>
        <w:rPr>
          <w:i/>
          <w:iCs/>
          <w:lang w:val="en-US"/>
        </w:rPr>
        <w:t>February</w:t>
      </w:r>
      <w:r w:rsidR="009E1C78">
        <w:rPr>
          <w:i/>
          <w:iCs/>
          <w:lang w:val="en-US"/>
        </w:rPr>
        <w:t xml:space="preserve"> </w:t>
      </w:r>
      <w:r w:rsidR="009A1012" w:rsidRPr="00B12C8E">
        <w:rPr>
          <w:i/>
          <w:iCs/>
          <w:lang w:val="en-US"/>
        </w:rPr>
        <w:t>201</w:t>
      </w:r>
      <w:r>
        <w:rPr>
          <w:i/>
          <w:iCs/>
          <w:lang w:val="en-US"/>
        </w:rPr>
        <w:t>7</w:t>
      </w:r>
    </w:p>
    <w:p w:rsidR="00223B92" w:rsidRDefault="00223B92">
      <w:pPr>
        <w:pStyle w:val="Body"/>
        <w:jc w:val="center"/>
        <w:rPr>
          <w:i/>
          <w:iCs/>
          <w:lang w:val="en-US"/>
        </w:rPr>
      </w:pPr>
    </w:p>
    <w:p w:rsidR="007A02D0" w:rsidRDefault="00223B92" w:rsidP="00A126B4">
      <w:pPr>
        <w:rPr>
          <w:rFonts w:cs="Arial Unicode MS"/>
          <w:i/>
          <w:iCs/>
          <w:color w:val="000000"/>
          <w:szCs w:val="22"/>
          <w:u w:color="000000"/>
          <w:lang w:eastAsia="en-SG"/>
        </w:rPr>
      </w:pPr>
      <w:r>
        <w:rPr>
          <w:i/>
          <w:iCs/>
        </w:rPr>
        <w:br w:type="page"/>
      </w:r>
    </w:p>
    <w:p w:rsidR="0016115C" w:rsidRDefault="00223B92" w:rsidP="00F258BB">
      <w:pPr>
        <w:pStyle w:val="Body"/>
        <w:rPr>
          <w:iCs/>
          <w:lang w:val="en-US"/>
        </w:rPr>
      </w:pPr>
      <w:r w:rsidRPr="0021065A">
        <w:rPr>
          <w:b/>
          <w:bCs/>
          <w:iCs/>
          <w:lang w:val="en-US"/>
        </w:rPr>
        <w:t xml:space="preserve">Acknowledgements </w:t>
      </w:r>
      <w:r w:rsidR="00E40365">
        <w:rPr>
          <w:iCs/>
          <w:lang w:val="en-US"/>
        </w:rPr>
        <w:br/>
        <w:t>This</w:t>
      </w:r>
      <w:r w:rsidRPr="0021065A">
        <w:rPr>
          <w:iCs/>
          <w:lang w:val="en-US"/>
        </w:rPr>
        <w:t xml:space="preserve"> research was supported by funding from MSD and in-kind contributions from AUT and MSD.  The authors gratefully acknowledge the assistance and advice provided by the many people who helped at different stages of the project. Particular thanks are due to Associate Professor Tue Gørgens </w:t>
      </w:r>
      <w:r w:rsidR="006B71DD" w:rsidRPr="0021065A">
        <w:rPr>
          <w:iCs/>
          <w:lang w:val="en-US"/>
        </w:rPr>
        <w:t>(</w:t>
      </w:r>
      <w:r w:rsidRPr="0021065A">
        <w:rPr>
          <w:iCs/>
          <w:lang w:val="en-US"/>
        </w:rPr>
        <w:t xml:space="preserve">Research School of Economics, </w:t>
      </w:r>
      <w:r w:rsidR="00945238" w:rsidRPr="0021065A">
        <w:rPr>
          <w:iCs/>
          <w:lang w:val="en-US"/>
        </w:rPr>
        <w:t xml:space="preserve">Australian National University </w:t>
      </w:r>
      <w:r w:rsidRPr="0021065A">
        <w:rPr>
          <w:iCs/>
          <w:lang w:val="en-US"/>
        </w:rPr>
        <w:t xml:space="preserve">College of Business </w:t>
      </w:r>
      <w:r w:rsidR="00945238" w:rsidRPr="0021065A">
        <w:rPr>
          <w:iCs/>
          <w:lang w:val="en-US"/>
        </w:rPr>
        <w:t xml:space="preserve">&amp; </w:t>
      </w:r>
      <w:r w:rsidRPr="0021065A">
        <w:rPr>
          <w:iCs/>
          <w:lang w:val="en-US"/>
        </w:rPr>
        <w:t>Economics</w:t>
      </w:r>
      <w:r w:rsidR="006B71DD" w:rsidRPr="0021065A">
        <w:rPr>
          <w:iCs/>
          <w:lang w:val="en-US"/>
        </w:rPr>
        <w:t>)</w:t>
      </w:r>
      <w:r w:rsidRPr="0021065A">
        <w:rPr>
          <w:iCs/>
          <w:lang w:val="en-US"/>
        </w:rPr>
        <w:t xml:space="preserve"> and Dr Dean Hyslop ‎</w:t>
      </w:r>
      <w:r w:rsidR="006B71DD" w:rsidRPr="0021065A">
        <w:rPr>
          <w:iCs/>
          <w:lang w:val="en-US"/>
        </w:rPr>
        <w:t>(</w:t>
      </w:r>
      <w:r w:rsidRPr="0021065A">
        <w:rPr>
          <w:iCs/>
          <w:lang w:val="en-US"/>
        </w:rPr>
        <w:t xml:space="preserve">Senior Fellow, Motu Economic </w:t>
      </w:r>
      <w:r w:rsidR="00B51992" w:rsidRPr="0021065A">
        <w:rPr>
          <w:iCs/>
          <w:lang w:val="en-US"/>
        </w:rPr>
        <w:t xml:space="preserve">and </w:t>
      </w:r>
      <w:r w:rsidRPr="0021065A">
        <w:rPr>
          <w:iCs/>
          <w:lang w:val="en-US"/>
        </w:rPr>
        <w:t>Public Policy Research</w:t>
      </w:r>
      <w:r w:rsidR="006B71DD" w:rsidRPr="0021065A">
        <w:rPr>
          <w:iCs/>
          <w:lang w:val="en-US"/>
        </w:rPr>
        <w:t>)</w:t>
      </w:r>
      <w:r w:rsidRPr="0021065A">
        <w:rPr>
          <w:iCs/>
          <w:lang w:val="en-US"/>
        </w:rPr>
        <w:t xml:space="preserve"> for statistical advice</w:t>
      </w:r>
      <w:r w:rsidR="00F258BB">
        <w:rPr>
          <w:iCs/>
          <w:lang w:val="en-US"/>
        </w:rPr>
        <w:t xml:space="preserve"> and </w:t>
      </w:r>
      <w:r w:rsidR="00F258BB">
        <w:t xml:space="preserve">Dr </w:t>
      </w:r>
      <w:r w:rsidR="00F258BB" w:rsidRPr="00E4732F">
        <w:t>Beverly Lawton</w:t>
      </w:r>
      <w:r w:rsidR="00281748">
        <w:t xml:space="preserve"> (</w:t>
      </w:r>
      <w:r w:rsidR="00F258BB" w:rsidRPr="00E4732F">
        <w:t>University of Otago</w:t>
      </w:r>
      <w:r w:rsidR="00F258BB">
        <w:t xml:space="preserve"> Wellington</w:t>
      </w:r>
      <w:r w:rsidR="00281748">
        <w:t>)</w:t>
      </w:r>
      <w:r w:rsidR="00F258BB">
        <w:t xml:space="preserve"> </w:t>
      </w:r>
      <w:r w:rsidR="005B61A6">
        <w:t xml:space="preserve">and members of the MSD Publications Committee </w:t>
      </w:r>
      <w:r w:rsidR="00F258BB">
        <w:t>for helpful comments on an earlier draft</w:t>
      </w:r>
      <w:r w:rsidRPr="0021065A">
        <w:rPr>
          <w:iCs/>
          <w:lang w:val="en-US"/>
        </w:rPr>
        <w:t xml:space="preserve">. </w:t>
      </w:r>
      <w:r w:rsidR="008B34DC">
        <w:rPr>
          <w:iCs/>
          <w:lang w:val="en-US"/>
        </w:rPr>
        <w:t>We gratefully acknowledge the s</w:t>
      </w:r>
      <w:r w:rsidRPr="0021065A">
        <w:rPr>
          <w:iCs/>
          <w:lang w:val="en-US"/>
        </w:rPr>
        <w:t>upport provided by Rissa Ota (MSD), Sarah Tumen (the Treasury) and Ashlee Cuneen (</w:t>
      </w:r>
      <w:r w:rsidR="006B71DD" w:rsidRPr="0021065A">
        <w:rPr>
          <w:iCs/>
          <w:lang w:val="en-US"/>
        </w:rPr>
        <w:t>Ministry of Education</w:t>
      </w:r>
      <w:r w:rsidRPr="0021065A">
        <w:rPr>
          <w:iCs/>
          <w:lang w:val="en-US"/>
        </w:rPr>
        <w:t>).</w:t>
      </w:r>
      <w:r w:rsidR="0016115C">
        <w:rPr>
          <w:iCs/>
          <w:lang w:val="en-US"/>
        </w:rPr>
        <w:t xml:space="preserve"> </w:t>
      </w:r>
    </w:p>
    <w:p w:rsidR="0021065A" w:rsidRDefault="00223B92" w:rsidP="00223B92">
      <w:pPr>
        <w:pStyle w:val="Body"/>
        <w:rPr>
          <w:iCs/>
          <w:lang w:val="en-US"/>
        </w:rPr>
      </w:pPr>
      <w:r w:rsidRPr="0021065A">
        <w:rPr>
          <w:b/>
          <w:bCs/>
          <w:iCs/>
          <w:lang w:val="en-US"/>
        </w:rPr>
        <w:t>Agency Disclaimers</w:t>
      </w:r>
      <w:r w:rsidR="0034204B">
        <w:rPr>
          <w:b/>
          <w:bCs/>
          <w:iCs/>
          <w:lang w:val="en-US"/>
        </w:rPr>
        <w:t xml:space="preserve"> </w:t>
      </w:r>
      <w:r w:rsidRPr="0021065A">
        <w:rPr>
          <w:iCs/>
          <w:lang w:val="en-US"/>
        </w:rPr>
        <w:t>Access to the data used in this study was provided by Statistics New Zealand under conditions designed to give effect to the security and confidentiality provisions of the Statistics Act 1975. The results presented in this study are the work of the authors, not Statistics N</w:t>
      </w:r>
      <w:r w:rsidR="00944970" w:rsidRPr="0021065A">
        <w:rPr>
          <w:iCs/>
          <w:lang w:val="en-US"/>
        </w:rPr>
        <w:t>ew Zealand</w:t>
      </w:r>
      <w:r w:rsidRPr="0021065A">
        <w:rPr>
          <w:iCs/>
          <w:lang w:val="en-US"/>
        </w:rPr>
        <w:t>. The views expressed are those of the researchers. They do not necessarily reflect the position of MSD or those involved in the advisory or review processes. MSD has made every effort to ensure the information in this report is reliable, but does not guarantee its accuracy and does not accept liability for any errors.</w:t>
      </w:r>
    </w:p>
    <w:p w:rsidR="00223B92" w:rsidRDefault="00223B92" w:rsidP="00223B92">
      <w:pPr>
        <w:pStyle w:val="Body"/>
        <w:rPr>
          <w:iCs/>
          <w:lang w:val="en-US"/>
        </w:rPr>
      </w:pPr>
      <w:r w:rsidRPr="0021065A">
        <w:rPr>
          <w:b/>
          <w:bCs/>
          <w:iCs/>
          <w:lang w:val="en-US"/>
        </w:rPr>
        <w:t xml:space="preserve">Note on Random Rounding </w:t>
      </w:r>
      <w:r w:rsidRPr="0021065A">
        <w:rPr>
          <w:iCs/>
          <w:lang w:val="en-US"/>
        </w:rPr>
        <w:br/>
        <w:t>All counts presented in this study have had Statistics New Zealand confidentiality rules applied. This includes the random rounding of all counts to base 3. Therefore, the sample counts presented are not exact, and in some cases aggregating sub-samples will not yield the exact population counts.</w:t>
      </w:r>
    </w:p>
    <w:p w:rsidR="0016115C" w:rsidRPr="0016115C" w:rsidRDefault="0016115C" w:rsidP="0016115C">
      <w:pPr>
        <w:pStyle w:val="Info2"/>
        <w:rPr>
          <w:rFonts w:ascii="Times New Roman" w:eastAsia="Arial Unicode MS" w:hAnsi="Times New Roman" w:cs="Arial Unicode MS"/>
          <w:bCs/>
          <w:iCs/>
          <w:color w:val="000000"/>
          <w:kern w:val="0"/>
          <w:szCs w:val="22"/>
          <w:u w:color="000000"/>
          <w:bdr w:val="nil"/>
          <w:lang w:val="en-US" w:eastAsia="en-SG"/>
        </w:rPr>
      </w:pPr>
      <w:r w:rsidRPr="0016115C">
        <w:rPr>
          <w:rFonts w:ascii="Times New Roman" w:eastAsia="Arial Unicode MS" w:hAnsi="Times New Roman" w:cs="Arial Unicode MS"/>
          <w:bCs/>
          <w:iCs/>
          <w:color w:val="000000"/>
          <w:kern w:val="0"/>
          <w:szCs w:val="22"/>
          <w:u w:color="000000"/>
          <w:bdr w:val="nil"/>
          <w:lang w:val="en-US" w:eastAsia="en-SG"/>
        </w:rPr>
        <w:t>Published</w:t>
      </w:r>
    </w:p>
    <w:p w:rsidR="0016115C" w:rsidRDefault="006A4B84" w:rsidP="0016115C">
      <w:pPr>
        <w:pStyle w:val="InfoBody"/>
        <w:rPr>
          <w:rFonts w:ascii="Times New Roman" w:eastAsia="Arial Unicode MS" w:hAnsi="Times New Roman" w:cs="Arial Unicode MS"/>
          <w:iCs/>
          <w:color w:val="000000"/>
          <w:kern w:val="0"/>
          <w:sz w:val="24"/>
          <w:szCs w:val="22"/>
          <w:u w:color="000000"/>
          <w:bdr w:val="nil"/>
          <w:lang w:val="en-US" w:eastAsia="en-SG"/>
        </w:rPr>
      </w:pPr>
      <w:r w:rsidRPr="006A4B84">
        <w:rPr>
          <w:rFonts w:ascii="Times New Roman" w:eastAsia="Arial Unicode MS" w:hAnsi="Times New Roman" w:cs="Arial Unicode MS"/>
          <w:iCs/>
          <w:color w:val="000000"/>
          <w:kern w:val="0"/>
          <w:sz w:val="24"/>
          <w:szCs w:val="22"/>
          <w:u w:color="000000"/>
          <w:bdr w:val="nil"/>
          <w:lang w:val="en-US" w:eastAsia="en-SG"/>
        </w:rPr>
        <w:t>Ministry of Social Development, Wellington.</w:t>
      </w:r>
    </w:p>
    <w:p w:rsidR="00D95BC7" w:rsidRDefault="00D95BC7" w:rsidP="0016115C">
      <w:pPr>
        <w:pStyle w:val="InfoBody"/>
        <w:rPr>
          <w:rFonts w:ascii="Times New Roman" w:eastAsia="Arial Unicode MS" w:hAnsi="Times New Roman" w:cs="Arial Unicode MS"/>
          <w:iCs/>
          <w:color w:val="000000"/>
          <w:kern w:val="0"/>
          <w:sz w:val="24"/>
          <w:szCs w:val="22"/>
          <w:u w:color="000000"/>
          <w:bdr w:val="nil"/>
          <w:lang w:val="en-US" w:eastAsia="en-SG"/>
        </w:rPr>
      </w:pPr>
    </w:p>
    <w:p w:rsidR="00D95BC7" w:rsidRPr="00D95BC7" w:rsidRDefault="00D95BC7" w:rsidP="00D95BC7">
      <w:pPr>
        <w:pStyle w:val="Info2"/>
        <w:rPr>
          <w:rFonts w:ascii="Times New Roman" w:eastAsia="Arial Unicode MS" w:hAnsi="Times New Roman" w:cs="Arial Unicode MS"/>
          <w:bCs/>
          <w:iCs/>
          <w:color w:val="000000"/>
          <w:kern w:val="0"/>
          <w:szCs w:val="22"/>
          <w:u w:color="000000"/>
          <w:bdr w:val="nil"/>
          <w:lang w:val="en-US" w:eastAsia="en-SG"/>
        </w:rPr>
      </w:pPr>
      <w:r w:rsidRPr="00D95BC7">
        <w:rPr>
          <w:rFonts w:ascii="Times New Roman" w:eastAsia="Arial Unicode MS" w:hAnsi="Times New Roman" w:cs="Arial Unicode MS"/>
          <w:bCs/>
          <w:iCs/>
          <w:color w:val="000000"/>
          <w:kern w:val="0"/>
          <w:szCs w:val="22"/>
          <w:u w:color="000000"/>
          <w:bdr w:val="nil"/>
          <w:lang w:val="en-US" w:eastAsia="en-SG"/>
        </w:rPr>
        <w:t>ISBN</w:t>
      </w:r>
    </w:p>
    <w:p w:rsidR="00D95BC7" w:rsidRPr="006A4B84" w:rsidRDefault="00D95BC7" w:rsidP="0016115C">
      <w:pPr>
        <w:pStyle w:val="InfoBody"/>
        <w:rPr>
          <w:rFonts w:ascii="Times New Roman" w:eastAsia="Arial Unicode MS" w:hAnsi="Times New Roman" w:cs="Arial Unicode MS"/>
          <w:iCs/>
          <w:color w:val="000000"/>
          <w:kern w:val="0"/>
          <w:sz w:val="24"/>
          <w:szCs w:val="22"/>
          <w:u w:color="000000"/>
          <w:bdr w:val="nil"/>
          <w:lang w:val="en-US" w:eastAsia="en-SG"/>
        </w:rPr>
      </w:pPr>
      <w:r w:rsidRPr="00D95BC7">
        <w:rPr>
          <w:rFonts w:ascii="Times New Roman" w:eastAsia="Arial Unicode MS" w:hAnsi="Times New Roman" w:cs="Arial Unicode MS"/>
          <w:iCs/>
          <w:color w:val="000000"/>
          <w:kern w:val="0"/>
          <w:sz w:val="24"/>
          <w:szCs w:val="22"/>
          <w:u w:color="000000"/>
          <w:bdr w:val="nil"/>
          <w:lang w:val="en-US" w:eastAsia="en-SG"/>
        </w:rPr>
        <w:t>978-0-947513-69-6 (</w:t>
      </w:r>
      <w:r>
        <w:rPr>
          <w:rFonts w:ascii="Times New Roman" w:eastAsia="Arial Unicode MS" w:hAnsi="Times New Roman" w:cs="Arial Unicode MS"/>
          <w:iCs/>
          <w:color w:val="000000"/>
          <w:kern w:val="0"/>
          <w:sz w:val="24"/>
          <w:szCs w:val="22"/>
          <w:u w:color="000000"/>
          <w:bdr w:val="nil"/>
          <w:lang w:val="en-US" w:eastAsia="en-SG"/>
        </w:rPr>
        <w:t>O</w:t>
      </w:r>
      <w:r w:rsidRPr="00D95BC7">
        <w:rPr>
          <w:rFonts w:ascii="Times New Roman" w:eastAsia="Arial Unicode MS" w:hAnsi="Times New Roman" w:cs="Arial Unicode MS"/>
          <w:iCs/>
          <w:color w:val="000000"/>
          <w:kern w:val="0"/>
          <w:sz w:val="24"/>
          <w:szCs w:val="22"/>
          <w:u w:color="000000"/>
          <w:bdr w:val="nil"/>
          <w:lang w:val="en-US" w:eastAsia="en-SG"/>
        </w:rPr>
        <w:t>nline)</w:t>
      </w:r>
    </w:p>
    <w:p w:rsidR="00575983" w:rsidRDefault="00575983">
      <w:pPr>
        <w:rPr>
          <w:rFonts w:cs="Arial Unicode MS"/>
          <w:i/>
          <w:iCs/>
          <w:color w:val="000000"/>
          <w:szCs w:val="22"/>
          <w:u w:color="000000"/>
          <w:lang w:eastAsia="en-SG"/>
        </w:rPr>
      </w:pPr>
      <w:r>
        <w:rPr>
          <w:i/>
          <w:iCs/>
        </w:rPr>
        <w:br w:type="page"/>
      </w:r>
    </w:p>
    <w:sdt>
      <w:sdtPr>
        <w:rPr>
          <w:rFonts w:ascii="Times New Roman" w:eastAsia="Arial Unicode MS" w:hAnsi="Times New Roman" w:cs="Times New Roman"/>
          <w:b w:val="0"/>
          <w:bCs w:val="0"/>
          <w:color w:val="auto"/>
          <w:sz w:val="24"/>
          <w:szCs w:val="24"/>
          <w:bdr w:val="nil"/>
          <w:lang w:eastAsia="en-US"/>
        </w:rPr>
        <w:id w:val="1127434827"/>
        <w:docPartObj>
          <w:docPartGallery w:val="Table of Contents"/>
          <w:docPartUnique/>
        </w:docPartObj>
      </w:sdtPr>
      <w:sdtEndPr>
        <w:rPr>
          <w:noProof/>
        </w:rPr>
      </w:sdtEndPr>
      <w:sdtContent>
        <w:p w:rsidR="003550CD" w:rsidRDefault="003550CD">
          <w:pPr>
            <w:pStyle w:val="TOCHeading"/>
            <w:rPr>
              <w:rFonts w:ascii="Times New Roman" w:hAnsi="Times New Roman" w:cs="Times New Roman"/>
              <w:color w:val="auto"/>
            </w:rPr>
          </w:pPr>
          <w:r w:rsidRPr="00FF758E">
            <w:rPr>
              <w:rFonts w:ascii="Times New Roman" w:hAnsi="Times New Roman" w:cs="Times New Roman"/>
              <w:color w:val="auto"/>
            </w:rPr>
            <w:t>Contents</w:t>
          </w:r>
        </w:p>
        <w:p w:rsidR="0076025D" w:rsidRPr="0076025D" w:rsidRDefault="0076025D" w:rsidP="0076025D">
          <w:pPr>
            <w:rPr>
              <w:lang w:eastAsia="ja-JP"/>
            </w:rPr>
          </w:pPr>
        </w:p>
        <w:p w:rsidR="00673FB8" w:rsidRDefault="00F84BE7">
          <w:pPr>
            <w:pStyle w:val="TOC1"/>
            <w:tabs>
              <w:tab w:val="right" w:leader="dot" w:pos="9010"/>
            </w:tabs>
            <w:rPr>
              <w:rFonts w:asciiTheme="minorHAnsi" w:eastAsiaTheme="minorEastAsia" w:hAnsiTheme="minorHAnsi" w:cstheme="minorBidi"/>
              <w:noProof/>
              <w:sz w:val="22"/>
              <w:szCs w:val="22"/>
              <w:bdr w:val="none" w:sz="0" w:space="0" w:color="auto"/>
              <w:lang w:val="en-NZ" w:eastAsia="en-NZ"/>
            </w:rPr>
          </w:pPr>
          <w:r w:rsidRPr="00C366C1">
            <w:fldChar w:fldCharType="begin"/>
          </w:r>
          <w:r w:rsidR="003550CD" w:rsidRPr="00B12C8E">
            <w:instrText xml:space="preserve"> TOC \o "1-3" \h \z \u </w:instrText>
          </w:r>
          <w:r w:rsidRPr="00C366C1">
            <w:fldChar w:fldCharType="separate"/>
          </w:r>
          <w:hyperlink w:anchor="_Toc473803304" w:history="1">
            <w:r w:rsidR="00673FB8" w:rsidRPr="00ED344E">
              <w:rPr>
                <w:rStyle w:val="Hyperlink"/>
                <w:noProof/>
                <w:lang w:val="fr-FR"/>
              </w:rPr>
              <w:t>Executive Summary</w:t>
            </w:r>
            <w:r w:rsidR="00673FB8">
              <w:rPr>
                <w:noProof/>
                <w:webHidden/>
              </w:rPr>
              <w:tab/>
            </w:r>
            <w:r w:rsidR="00673FB8">
              <w:rPr>
                <w:noProof/>
                <w:webHidden/>
              </w:rPr>
              <w:fldChar w:fldCharType="begin"/>
            </w:r>
            <w:r w:rsidR="00673FB8">
              <w:rPr>
                <w:noProof/>
                <w:webHidden/>
              </w:rPr>
              <w:instrText xml:space="preserve"> PAGEREF _Toc473803304 \h </w:instrText>
            </w:r>
            <w:r w:rsidR="00673FB8">
              <w:rPr>
                <w:noProof/>
                <w:webHidden/>
              </w:rPr>
            </w:r>
            <w:r w:rsidR="00673FB8">
              <w:rPr>
                <w:noProof/>
                <w:webHidden/>
              </w:rPr>
              <w:fldChar w:fldCharType="separate"/>
            </w:r>
            <w:r w:rsidR="00673FB8">
              <w:rPr>
                <w:noProof/>
                <w:webHidden/>
              </w:rPr>
              <w:t>6</w:t>
            </w:r>
            <w:r w:rsidR="00673FB8">
              <w:rPr>
                <w:noProof/>
                <w:webHidden/>
              </w:rPr>
              <w:fldChar w:fldCharType="end"/>
            </w:r>
          </w:hyperlink>
        </w:p>
        <w:p w:rsidR="00673FB8" w:rsidRDefault="00E86701">
          <w:pPr>
            <w:pStyle w:val="TOC1"/>
            <w:tabs>
              <w:tab w:val="left" w:pos="480"/>
              <w:tab w:val="right" w:leader="dot" w:pos="9010"/>
            </w:tabs>
            <w:rPr>
              <w:rFonts w:asciiTheme="minorHAnsi" w:eastAsiaTheme="minorEastAsia" w:hAnsiTheme="minorHAnsi" w:cstheme="minorBidi"/>
              <w:noProof/>
              <w:sz w:val="22"/>
              <w:szCs w:val="22"/>
              <w:bdr w:val="none" w:sz="0" w:space="0" w:color="auto"/>
              <w:lang w:val="en-NZ" w:eastAsia="en-NZ"/>
            </w:rPr>
          </w:pPr>
          <w:hyperlink w:anchor="_Toc473803305" w:history="1">
            <w:r w:rsidR="00673FB8" w:rsidRPr="00ED344E">
              <w:rPr>
                <w:rStyle w:val="Hyperlink"/>
                <w:noProof/>
                <w:lang w:val="fr-FR"/>
              </w:rPr>
              <w:t>1</w:t>
            </w:r>
            <w:r w:rsidR="00673FB8">
              <w:rPr>
                <w:rFonts w:asciiTheme="minorHAnsi" w:eastAsiaTheme="minorEastAsia" w:hAnsiTheme="minorHAnsi" w:cstheme="minorBidi"/>
                <w:noProof/>
                <w:sz w:val="22"/>
                <w:szCs w:val="22"/>
                <w:bdr w:val="none" w:sz="0" w:space="0" w:color="auto"/>
                <w:lang w:val="en-NZ" w:eastAsia="en-NZ"/>
              </w:rPr>
              <w:tab/>
            </w:r>
            <w:r w:rsidR="00673FB8" w:rsidRPr="00ED344E">
              <w:rPr>
                <w:rStyle w:val="Hyperlink"/>
                <w:noProof/>
                <w:lang w:val="fr-FR"/>
              </w:rPr>
              <w:t>Introduction</w:t>
            </w:r>
            <w:r w:rsidR="00673FB8">
              <w:rPr>
                <w:noProof/>
                <w:webHidden/>
              </w:rPr>
              <w:tab/>
            </w:r>
            <w:r w:rsidR="00673FB8">
              <w:rPr>
                <w:noProof/>
                <w:webHidden/>
              </w:rPr>
              <w:fldChar w:fldCharType="begin"/>
            </w:r>
            <w:r w:rsidR="00673FB8">
              <w:rPr>
                <w:noProof/>
                <w:webHidden/>
              </w:rPr>
              <w:instrText xml:space="preserve"> PAGEREF _Toc473803305 \h </w:instrText>
            </w:r>
            <w:r w:rsidR="00673FB8">
              <w:rPr>
                <w:noProof/>
                <w:webHidden/>
              </w:rPr>
            </w:r>
            <w:r w:rsidR="00673FB8">
              <w:rPr>
                <w:noProof/>
                <w:webHidden/>
              </w:rPr>
              <w:fldChar w:fldCharType="separate"/>
            </w:r>
            <w:r w:rsidR="00673FB8">
              <w:rPr>
                <w:noProof/>
                <w:webHidden/>
              </w:rPr>
              <w:t>8</w:t>
            </w:r>
            <w:r w:rsidR="00673FB8">
              <w:rPr>
                <w:noProof/>
                <w:webHidden/>
              </w:rPr>
              <w:fldChar w:fldCharType="end"/>
            </w:r>
          </w:hyperlink>
        </w:p>
        <w:p w:rsidR="00673FB8" w:rsidRDefault="00E86701">
          <w:pPr>
            <w:pStyle w:val="TOC1"/>
            <w:tabs>
              <w:tab w:val="left" w:pos="480"/>
              <w:tab w:val="right" w:leader="dot" w:pos="9010"/>
            </w:tabs>
            <w:rPr>
              <w:rFonts w:asciiTheme="minorHAnsi" w:eastAsiaTheme="minorEastAsia" w:hAnsiTheme="minorHAnsi" w:cstheme="minorBidi"/>
              <w:noProof/>
              <w:sz w:val="22"/>
              <w:szCs w:val="22"/>
              <w:bdr w:val="none" w:sz="0" w:space="0" w:color="auto"/>
              <w:lang w:val="en-NZ" w:eastAsia="en-NZ"/>
            </w:rPr>
          </w:pPr>
          <w:hyperlink w:anchor="_Toc473803306" w:history="1">
            <w:r w:rsidR="00673FB8" w:rsidRPr="00ED344E">
              <w:rPr>
                <w:rStyle w:val="Hyperlink"/>
                <w:noProof/>
              </w:rPr>
              <w:t>2</w:t>
            </w:r>
            <w:r w:rsidR="00673FB8">
              <w:rPr>
                <w:rFonts w:asciiTheme="minorHAnsi" w:eastAsiaTheme="minorEastAsia" w:hAnsiTheme="minorHAnsi" w:cstheme="minorBidi"/>
                <w:noProof/>
                <w:sz w:val="22"/>
                <w:szCs w:val="22"/>
                <w:bdr w:val="none" w:sz="0" w:space="0" w:color="auto"/>
                <w:lang w:val="en-NZ" w:eastAsia="en-NZ"/>
              </w:rPr>
              <w:tab/>
            </w:r>
            <w:r w:rsidR="00673FB8" w:rsidRPr="00ED344E">
              <w:rPr>
                <w:rStyle w:val="Hyperlink"/>
                <w:noProof/>
                <w:lang w:val="fr-FR"/>
              </w:rPr>
              <w:t>Teen Parent Units</w:t>
            </w:r>
            <w:r w:rsidR="00673FB8">
              <w:rPr>
                <w:noProof/>
                <w:webHidden/>
              </w:rPr>
              <w:tab/>
            </w:r>
            <w:r w:rsidR="00673FB8">
              <w:rPr>
                <w:noProof/>
                <w:webHidden/>
              </w:rPr>
              <w:fldChar w:fldCharType="begin"/>
            </w:r>
            <w:r w:rsidR="00673FB8">
              <w:rPr>
                <w:noProof/>
                <w:webHidden/>
              </w:rPr>
              <w:instrText xml:space="preserve"> PAGEREF _Toc473803306 \h </w:instrText>
            </w:r>
            <w:r w:rsidR="00673FB8">
              <w:rPr>
                <w:noProof/>
                <w:webHidden/>
              </w:rPr>
            </w:r>
            <w:r w:rsidR="00673FB8">
              <w:rPr>
                <w:noProof/>
                <w:webHidden/>
              </w:rPr>
              <w:fldChar w:fldCharType="separate"/>
            </w:r>
            <w:r w:rsidR="00673FB8">
              <w:rPr>
                <w:noProof/>
                <w:webHidden/>
              </w:rPr>
              <w:t>10</w:t>
            </w:r>
            <w:r w:rsidR="00673FB8">
              <w:rPr>
                <w:noProof/>
                <w:webHidden/>
              </w:rPr>
              <w:fldChar w:fldCharType="end"/>
            </w:r>
          </w:hyperlink>
        </w:p>
        <w:p w:rsidR="00673FB8" w:rsidRDefault="00E86701">
          <w:pPr>
            <w:pStyle w:val="TOC1"/>
            <w:tabs>
              <w:tab w:val="left" w:pos="480"/>
              <w:tab w:val="right" w:leader="dot" w:pos="9010"/>
            </w:tabs>
            <w:rPr>
              <w:rFonts w:asciiTheme="minorHAnsi" w:eastAsiaTheme="minorEastAsia" w:hAnsiTheme="minorHAnsi" w:cstheme="minorBidi"/>
              <w:noProof/>
              <w:sz w:val="22"/>
              <w:szCs w:val="22"/>
              <w:bdr w:val="none" w:sz="0" w:space="0" w:color="auto"/>
              <w:lang w:val="en-NZ" w:eastAsia="en-NZ"/>
            </w:rPr>
          </w:pPr>
          <w:hyperlink w:anchor="_Toc473803307" w:history="1">
            <w:r w:rsidR="00673FB8" w:rsidRPr="00ED344E">
              <w:rPr>
                <w:rStyle w:val="Hyperlink"/>
                <w:noProof/>
                <w:lang w:val="fr-FR"/>
              </w:rPr>
              <w:t>3</w:t>
            </w:r>
            <w:r w:rsidR="00673FB8">
              <w:rPr>
                <w:rFonts w:asciiTheme="minorHAnsi" w:eastAsiaTheme="minorEastAsia" w:hAnsiTheme="minorHAnsi" w:cstheme="minorBidi"/>
                <w:noProof/>
                <w:sz w:val="22"/>
                <w:szCs w:val="22"/>
                <w:bdr w:val="none" w:sz="0" w:space="0" w:color="auto"/>
                <w:lang w:val="en-NZ" w:eastAsia="en-NZ"/>
              </w:rPr>
              <w:tab/>
            </w:r>
            <w:r w:rsidR="00673FB8" w:rsidRPr="00ED344E">
              <w:rPr>
                <w:rStyle w:val="Hyperlink"/>
                <w:noProof/>
                <w:lang w:val="fr-FR"/>
              </w:rPr>
              <w:t>Existing Evidence Base</w:t>
            </w:r>
            <w:r w:rsidR="00673FB8">
              <w:rPr>
                <w:noProof/>
                <w:webHidden/>
              </w:rPr>
              <w:tab/>
            </w:r>
            <w:r w:rsidR="00673FB8">
              <w:rPr>
                <w:noProof/>
                <w:webHidden/>
              </w:rPr>
              <w:fldChar w:fldCharType="begin"/>
            </w:r>
            <w:r w:rsidR="00673FB8">
              <w:rPr>
                <w:noProof/>
                <w:webHidden/>
              </w:rPr>
              <w:instrText xml:space="preserve"> PAGEREF _Toc473803307 \h </w:instrText>
            </w:r>
            <w:r w:rsidR="00673FB8">
              <w:rPr>
                <w:noProof/>
                <w:webHidden/>
              </w:rPr>
            </w:r>
            <w:r w:rsidR="00673FB8">
              <w:rPr>
                <w:noProof/>
                <w:webHidden/>
              </w:rPr>
              <w:fldChar w:fldCharType="separate"/>
            </w:r>
            <w:r w:rsidR="00673FB8">
              <w:rPr>
                <w:noProof/>
                <w:webHidden/>
              </w:rPr>
              <w:t>12</w:t>
            </w:r>
            <w:r w:rsidR="00673FB8">
              <w:rPr>
                <w:noProof/>
                <w:webHidden/>
              </w:rPr>
              <w:fldChar w:fldCharType="end"/>
            </w:r>
          </w:hyperlink>
        </w:p>
        <w:p w:rsidR="00673FB8" w:rsidRDefault="00E86701">
          <w:pPr>
            <w:pStyle w:val="TOC1"/>
            <w:tabs>
              <w:tab w:val="left" w:pos="480"/>
              <w:tab w:val="right" w:leader="dot" w:pos="9010"/>
            </w:tabs>
            <w:rPr>
              <w:rFonts w:asciiTheme="minorHAnsi" w:eastAsiaTheme="minorEastAsia" w:hAnsiTheme="minorHAnsi" w:cstheme="minorBidi"/>
              <w:noProof/>
              <w:sz w:val="22"/>
              <w:szCs w:val="22"/>
              <w:bdr w:val="none" w:sz="0" w:space="0" w:color="auto"/>
              <w:lang w:val="en-NZ" w:eastAsia="en-NZ"/>
            </w:rPr>
          </w:pPr>
          <w:hyperlink w:anchor="_Toc473803308" w:history="1">
            <w:r w:rsidR="00673FB8" w:rsidRPr="00ED344E">
              <w:rPr>
                <w:rStyle w:val="Hyperlink"/>
                <w:noProof/>
                <w:lang w:val="fr-FR"/>
              </w:rPr>
              <w:t>4</w:t>
            </w:r>
            <w:r w:rsidR="00673FB8">
              <w:rPr>
                <w:rFonts w:asciiTheme="minorHAnsi" w:eastAsiaTheme="minorEastAsia" w:hAnsiTheme="minorHAnsi" w:cstheme="minorBidi"/>
                <w:noProof/>
                <w:sz w:val="22"/>
                <w:szCs w:val="22"/>
                <w:bdr w:val="none" w:sz="0" w:space="0" w:color="auto"/>
                <w:lang w:val="en-NZ" w:eastAsia="en-NZ"/>
              </w:rPr>
              <w:tab/>
            </w:r>
            <w:r w:rsidR="00673FB8" w:rsidRPr="00ED344E">
              <w:rPr>
                <w:rStyle w:val="Hyperlink"/>
                <w:noProof/>
                <w:lang w:val="fr-FR"/>
              </w:rPr>
              <w:t>Data Sources</w:t>
            </w:r>
            <w:r w:rsidR="00673FB8">
              <w:rPr>
                <w:noProof/>
                <w:webHidden/>
              </w:rPr>
              <w:tab/>
            </w:r>
            <w:r w:rsidR="00673FB8">
              <w:rPr>
                <w:noProof/>
                <w:webHidden/>
              </w:rPr>
              <w:fldChar w:fldCharType="begin"/>
            </w:r>
            <w:r w:rsidR="00673FB8">
              <w:rPr>
                <w:noProof/>
                <w:webHidden/>
              </w:rPr>
              <w:instrText xml:space="preserve"> PAGEREF _Toc473803308 \h </w:instrText>
            </w:r>
            <w:r w:rsidR="00673FB8">
              <w:rPr>
                <w:noProof/>
                <w:webHidden/>
              </w:rPr>
            </w:r>
            <w:r w:rsidR="00673FB8">
              <w:rPr>
                <w:noProof/>
                <w:webHidden/>
              </w:rPr>
              <w:fldChar w:fldCharType="separate"/>
            </w:r>
            <w:r w:rsidR="00673FB8">
              <w:rPr>
                <w:noProof/>
                <w:webHidden/>
              </w:rPr>
              <w:t>15</w:t>
            </w:r>
            <w:r w:rsidR="00673FB8">
              <w:rPr>
                <w:noProof/>
                <w:webHidden/>
              </w:rPr>
              <w:fldChar w:fldCharType="end"/>
            </w:r>
          </w:hyperlink>
        </w:p>
        <w:p w:rsidR="00673FB8" w:rsidRDefault="00E86701">
          <w:pPr>
            <w:pStyle w:val="TOC1"/>
            <w:tabs>
              <w:tab w:val="left" w:pos="480"/>
              <w:tab w:val="right" w:leader="dot" w:pos="9010"/>
            </w:tabs>
            <w:rPr>
              <w:rFonts w:asciiTheme="minorHAnsi" w:eastAsiaTheme="minorEastAsia" w:hAnsiTheme="minorHAnsi" w:cstheme="minorBidi"/>
              <w:noProof/>
              <w:sz w:val="22"/>
              <w:szCs w:val="22"/>
              <w:bdr w:val="none" w:sz="0" w:space="0" w:color="auto"/>
              <w:lang w:val="en-NZ" w:eastAsia="en-NZ"/>
            </w:rPr>
          </w:pPr>
          <w:hyperlink w:anchor="_Toc473803309" w:history="1">
            <w:r w:rsidR="00673FB8" w:rsidRPr="00ED344E">
              <w:rPr>
                <w:rStyle w:val="Hyperlink"/>
                <w:noProof/>
                <w:lang w:val="fr-FR"/>
              </w:rPr>
              <w:t>5</w:t>
            </w:r>
            <w:r w:rsidR="00673FB8">
              <w:rPr>
                <w:rFonts w:asciiTheme="minorHAnsi" w:eastAsiaTheme="minorEastAsia" w:hAnsiTheme="minorHAnsi" w:cstheme="minorBidi"/>
                <w:noProof/>
                <w:sz w:val="22"/>
                <w:szCs w:val="22"/>
                <w:bdr w:val="none" w:sz="0" w:space="0" w:color="auto"/>
                <w:lang w:val="en-NZ" w:eastAsia="en-NZ"/>
              </w:rPr>
              <w:tab/>
            </w:r>
            <w:r w:rsidR="00673FB8" w:rsidRPr="00ED344E">
              <w:rPr>
                <w:rStyle w:val="Hyperlink"/>
                <w:noProof/>
                <w:lang w:val="fr-FR"/>
              </w:rPr>
              <w:t>Describing Enrolment Patterns of Young Mothers</w:t>
            </w:r>
            <w:r w:rsidR="00673FB8">
              <w:rPr>
                <w:noProof/>
                <w:webHidden/>
              </w:rPr>
              <w:tab/>
            </w:r>
            <w:r w:rsidR="00673FB8">
              <w:rPr>
                <w:noProof/>
                <w:webHidden/>
              </w:rPr>
              <w:fldChar w:fldCharType="begin"/>
            </w:r>
            <w:r w:rsidR="00673FB8">
              <w:rPr>
                <w:noProof/>
                <w:webHidden/>
              </w:rPr>
              <w:instrText xml:space="preserve"> PAGEREF _Toc473803309 \h </w:instrText>
            </w:r>
            <w:r w:rsidR="00673FB8">
              <w:rPr>
                <w:noProof/>
                <w:webHidden/>
              </w:rPr>
            </w:r>
            <w:r w:rsidR="00673FB8">
              <w:rPr>
                <w:noProof/>
                <w:webHidden/>
              </w:rPr>
              <w:fldChar w:fldCharType="separate"/>
            </w:r>
            <w:r w:rsidR="00673FB8">
              <w:rPr>
                <w:noProof/>
                <w:webHidden/>
              </w:rPr>
              <w:t>20</w:t>
            </w:r>
            <w:r w:rsidR="00673FB8">
              <w:rPr>
                <w:noProof/>
                <w:webHidden/>
              </w:rPr>
              <w:fldChar w:fldCharType="end"/>
            </w:r>
          </w:hyperlink>
        </w:p>
        <w:p w:rsidR="00673FB8" w:rsidRDefault="00E86701">
          <w:pPr>
            <w:pStyle w:val="TOC1"/>
            <w:tabs>
              <w:tab w:val="left" w:pos="480"/>
              <w:tab w:val="right" w:leader="dot" w:pos="9010"/>
            </w:tabs>
            <w:rPr>
              <w:rFonts w:asciiTheme="minorHAnsi" w:eastAsiaTheme="minorEastAsia" w:hAnsiTheme="minorHAnsi" w:cstheme="minorBidi"/>
              <w:noProof/>
              <w:sz w:val="22"/>
              <w:szCs w:val="22"/>
              <w:bdr w:val="none" w:sz="0" w:space="0" w:color="auto"/>
              <w:lang w:val="en-NZ" w:eastAsia="en-NZ"/>
            </w:rPr>
          </w:pPr>
          <w:hyperlink w:anchor="_Toc473803310" w:history="1">
            <w:r w:rsidR="00673FB8" w:rsidRPr="00ED344E">
              <w:rPr>
                <w:rStyle w:val="Hyperlink"/>
                <w:noProof/>
                <w:lang w:val="fr-FR"/>
              </w:rPr>
              <w:t>6</w:t>
            </w:r>
            <w:r w:rsidR="00673FB8">
              <w:rPr>
                <w:rFonts w:asciiTheme="minorHAnsi" w:eastAsiaTheme="minorEastAsia" w:hAnsiTheme="minorHAnsi" w:cstheme="minorBidi"/>
                <w:noProof/>
                <w:sz w:val="22"/>
                <w:szCs w:val="22"/>
                <w:bdr w:val="none" w:sz="0" w:space="0" w:color="auto"/>
                <w:lang w:val="en-NZ" w:eastAsia="en-NZ"/>
              </w:rPr>
              <w:tab/>
            </w:r>
            <w:r w:rsidR="00673FB8" w:rsidRPr="00ED344E">
              <w:rPr>
                <w:rStyle w:val="Hyperlink"/>
                <w:noProof/>
                <w:lang w:val="fr-FR"/>
              </w:rPr>
              <w:t>TPUs and Educational Outcomes for Young Mothers</w:t>
            </w:r>
            <w:r w:rsidR="00673FB8">
              <w:rPr>
                <w:noProof/>
                <w:webHidden/>
              </w:rPr>
              <w:tab/>
            </w:r>
            <w:r w:rsidR="00673FB8">
              <w:rPr>
                <w:noProof/>
                <w:webHidden/>
              </w:rPr>
              <w:fldChar w:fldCharType="begin"/>
            </w:r>
            <w:r w:rsidR="00673FB8">
              <w:rPr>
                <w:noProof/>
                <w:webHidden/>
              </w:rPr>
              <w:instrText xml:space="preserve"> PAGEREF _Toc473803310 \h </w:instrText>
            </w:r>
            <w:r w:rsidR="00673FB8">
              <w:rPr>
                <w:noProof/>
                <w:webHidden/>
              </w:rPr>
            </w:r>
            <w:r w:rsidR="00673FB8">
              <w:rPr>
                <w:noProof/>
                <w:webHidden/>
              </w:rPr>
              <w:fldChar w:fldCharType="separate"/>
            </w:r>
            <w:r w:rsidR="00673FB8">
              <w:rPr>
                <w:noProof/>
                <w:webHidden/>
              </w:rPr>
              <w:t>25</w:t>
            </w:r>
            <w:r w:rsidR="00673FB8">
              <w:rPr>
                <w:noProof/>
                <w:webHidden/>
              </w:rPr>
              <w:fldChar w:fldCharType="end"/>
            </w:r>
          </w:hyperlink>
        </w:p>
        <w:p w:rsidR="00673FB8" w:rsidRDefault="00E86701">
          <w:pPr>
            <w:pStyle w:val="TOC2"/>
            <w:tabs>
              <w:tab w:val="left" w:pos="880"/>
              <w:tab w:val="right" w:leader="dot" w:pos="9010"/>
            </w:tabs>
            <w:rPr>
              <w:rFonts w:asciiTheme="minorHAnsi" w:eastAsiaTheme="minorEastAsia" w:hAnsiTheme="minorHAnsi" w:cstheme="minorBidi"/>
              <w:noProof/>
              <w:sz w:val="22"/>
              <w:szCs w:val="22"/>
              <w:bdr w:val="none" w:sz="0" w:space="0" w:color="auto"/>
              <w:lang w:val="en-NZ" w:eastAsia="en-NZ"/>
            </w:rPr>
          </w:pPr>
          <w:hyperlink w:anchor="_Toc473803311" w:history="1">
            <w:r w:rsidR="00673FB8" w:rsidRPr="00ED344E">
              <w:rPr>
                <w:rStyle w:val="Hyperlink"/>
                <w:noProof/>
              </w:rPr>
              <w:t>6.1</w:t>
            </w:r>
            <w:r w:rsidR="00673FB8">
              <w:rPr>
                <w:rFonts w:asciiTheme="minorHAnsi" w:eastAsiaTheme="minorEastAsia" w:hAnsiTheme="minorHAnsi" w:cstheme="minorBidi"/>
                <w:noProof/>
                <w:sz w:val="22"/>
                <w:szCs w:val="22"/>
                <w:bdr w:val="none" w:sz="0" w:space="0" w:color="auto"/>
                <w:lang w:val="en-NZ" w:eastAsia="en-NZ"/>
              </w:rPr>
              <w:tab/>
            </w:r>
            <w:r w:rsidR="00673FB8" w:rsidRPr="00ED344E">
              <w:rPr>
                <w:rStyle w:val="Hyperlink"/>
                <w:noProof/>
              </w:rPr>
              <w:t>Estimation Strategy</w:t>
            </w:r>
            <w:r w:rsidR="00673FB8">
              <w:rPr>
                <w:noProof/>
                <w:webHidden/>
              </w:rPr>
              <w:tab/>
            </w:r>
            <w:r w:rsidR="00673FB8">
              <w:rPr>
                <w:noProof/>
                <w:webHidden/>
              </w:rPr>
              <w:fldChar w:fldCharType="begin"/>
            </w:r>
            <w:r w:rsidR="00673FB8">
              <w:rPr>
                <w:noProof/>
                <w:webHidden/>
              </w:rPr>
              <w:instrText xml:space="preserve"> PAGEREF _Toc473803311 \h </w:instrText>
            </w:r>
            <w:r w:rsidR="00673FB8">
              <w:rPr>
                <w:noProof/>
                <w:webHidden/>
              </w:rPr>
            </w:r>
            <w:r w:rsidR="00673FB8">
              <w:rPr>
                <w:noProof/>
                <w:webHidden/>
              </w:rPr>
              <w:fldChar w:fldCharType="separate"/>
            </w:r>
            <w:r w:rsidR="00673FB8">
              <w:rPr>
                <w:noProof/>
                <w:webHidden/>
              </w:rPr>
              <w:t>26</w:t>
            </w:r>
            <w:r w:rsidR="00673FB8">
              <w:rPr>
                <w:noProof/>
                <w:webHidden/>
              </w:rPr>
              <w:fldChar w:fldCharType="end"/>
            </w:r>
          </w:hyperlink>
        </w:p>
        <w:p w:rsidR="00673FB8" w:rsidRDefault="00E86701">
          <w:pPr>
            <w:pStyle w:val="TOC2"/>
            <w:tabs>
              <w:tab w:val="left" w:pos="880"/>
              <w:tab w:val="right" w:leader="dot" w:pos="9010"/>
            </w:tabs>
            <w:rPr>
              <w:rFonts w:asciiTheme="minorHAnsi" w:eastAsiaTheme="minorEastAsia" w:hAnsiTheme="minorHAnsi" w:cstheme="minorBidi"/>
              <w:noProof/>
              <w:sz w:val="22"/>
              <w:szCs w:val="22"/>
              <w:bdr w:val="none" w:sz="0" w:space="0" w:color="auto"/>
              <w:lang w:val="en-NZ" w:eastAsia="en-NZ"/>
            </w:rPr>
          </w:pPr>
          <w:hyperlink w:anchor="_Toc473803312" w:history="1">
            <w:r w:rsidR="00673FB8" w:rsidRPr="00ED344E">
              <w:rPr>
                <w:rStyle w:val="Hyperlink"/>
                <w:noProof/>
              </w:rPr>
              <w:t>6.2</w:t>
            </w:r>
            <w:r w:rsidR="00673FB8">
              <w:rPr>
                <w:rFonts w:asciiTheme="minorHAnsi" w:eastAsiaTheme="minorEastAsia" w:hAnsiTheme="minorHAnsi" w:cstheme="minorBidi"/>
                <w:noProof/>
                <w:sz w:val="22"/>
                <w:szCs w:val="22"/>
                <w:bdr w:val="none" w:sz="0" w:space="0" w:color="auto"/>
                <w:lang w:val="en-NZ" w:eastAsia="en-NZ"/>
              </w:rPr>
              <w:tab/>
            </w:r>
            <w:r w:rsidR="00673FB8" w:rsidRPr="00ED344E">
              <w:rPr>
                <w:rStyle w:val="Hyperlink"/>
                <w:noProof/>
              </w:rPr>
              <w:t>Schooling Outcomes for Young Mothers and Proximity to a TPU</w:t>
            </w:r>
            <w:r w:rsidR="00673FB8">
              <w:rPr>
                <w:noProof/>
                <w:webHidden/>
              </w:rPr>
              <w:tab/>
            </w:r>
            <w:r w:rsidR="00673FB8">
              <w:rPr>
                <w:noProof/>
                <w:webHidden/>
              </w:rPr>
              <w:fldChar w:fldCharType="begin"/>
            </w:r>
            <w:r w:rsidR="00673FB8">
              <w:rPr>
                <w:noProof/>
                <w:webHidden/>
              </w:rPr>
              <w:instrText xml:space="preserve"> PAGEREF _Toc473803312 \h </w:instrText>
            </w:r>
            <w:r w:rsidR="00673FB8">
              <w:rPr>
                <w:noProof/>
                <w:webHidden/>
              </w:rPr>
            </w:r>
            <w:r w:rsidR="00673FB8">
              <w:rPr>
                <w:noProof/>
                <w:webHidden/>
              </w:rPr>
              <w:fldChar w:fldCharType="separate"/>
            </w:r>
            <w:r w:rsidR="00673FB8">
              <w:rPr>
                <w:noProof/>
                <w:webHidden/>
              </w:rPr>
              <w:t>27</w:t>
            </w:r>
            <w:r w:rsidR="00673FB8">
              <w:rPr>
                <w:noProof/>
                <w:webHidden/>
              </w:rPr>
              <w:fldChar w:fldCharType="end"/>
            </w:r>
          </w:hyperlink>
        </w:p>
        <w:p w:rsidR="00673FB8" w:rsidRDefault="00E86701">
          <w:pPr>
            <w:pStyle w:val="TOC2"/>
            <w:tabs>
              <w:tab w:val="left" w:pos="880"/>
              <w:tab w:val="right" w:leader="dot" w:pos="9010"/>
            </w:tabs>
            <w:rPr>
              <w:rFonts w:asciiTheme="minorHAnsi" w:eastAsiaTheme="minorEastAsia" w:hAnsiTheme="minorHAnsi" w:cstheme="minorBidi"/>
              <w:noProof/>
              <w:sz w:val="22"/>
              <w:szCs w:val="22"/>
              <w:bdr w:val="none" w:sz="0" w:space="0" w:color="auto"/>
              <w:lang w:val="en-NZ" w:eastAsia="en-NZ"/>
            </w:rPr>
          </w:pPr>
          <w:hyperlink w:anchor="_Toc473803313" w:history="1">
            <w:r w:rsidR="00673FB8" w:rsidRPr="00ED344E">
              <w:rPr>
                <w:rStyle w:val="Hyperlink"/>
                <w:noProof/>
              </w:rPr>
              <w:t>6.3</w:t>
            </w:r>
            <w:r w:rsidR="00673FB8">
              <w:rPr>
                <w:rFonts w:asciiTheme="minorHAnsi" w:eastAsiaTheme="minorEastAsia" w:hAnsiTheme="minorHAnsi" w:cstheme="minorBidi"/>
                <w:noProof/>
                <w:sz w:val="22"/>
                <w:szCs w:val="22"/>
                <w:bdr w:val="none" w:sz="0" w:space="0" w:color="auto"/>
                <w:lang w:val="en-NZ" w:eastAsia="en-NZ"/>
              </w:rPr>
              <w:tab/>
            </w:r>
            <w:r w:rsidR="00673FB8" w:rsidRPr="00ED344E">
              <w:rPr>
                <w:rStyle w:val="Hyperlink"/>
                <w:noProof/>
              </w:rPr>
              <w:t>Selection into Birth and Access to a TPU</w:t>
            </w:r>
            <w:r w:rsidR="00673FB8">
              <w:rPr>
                <w:noProof/>
                <w:webHidden/>
              </w:rPr>
              <w:tab/>
            </w:r>
            <w:r w:rsidR="00673FB8">
              <w:rPr>
                <w:noProof/>
                <w:webHidden/>
              </w:rPr>
              <w:fldChar w:fldCharType="begin"/>
            </w:r>
            <w:r w:rsidR="00673FB8">
              <w:rPr>
                <w:noProof/>
                <w:webHidden/>
              </w:rPr>
              <w:instrText xml:space="preserve"> PAGEREF _Toc473803313 \h </w:instrText>
            </w:r>
            <w:r w:rsidR="00673FB8">
              <w:rPr>
                <w:noProof/>
                <w:webHidden/>
              </w:rPr>
            </w:r>
            <w:r w:rsidR="00673FB8">
              <w:rPr>
                <w:noProof/>
                <w:webHidden/>
              </w:rPr>
              <w:fldChar w:fldCharType="separate"/>
            </w:r>
            <w:r w:rsidR="00673FB8">
              <w:rPr>
                <w:noProof/>
                <w:webHidden/>
              </w:rPr>
              <w:t>30</w:t>
            </w:r>
            <w:r w:rsidR="00673FB8">
              <w:rPr>
                <w:noProof/>
                <w:webHidden/>
              </w:rPr>
              <w:fldChar w:fldCharType="end"/>
            </w:r>
          </w:hyperlink>
        </w:p>
        <w:p w:rsidR="00673FB8" w:rsidRDefault="00E86701">
          <w:pPr>
            <w:pStyle w:val="TOC1"/>
            <w:tabs>
              <w:tab w:val="left" w:pos="480"/>
              <w:tab w:val="right" w:leader="dot" w:pos="9010"/>
            </w:tabs>
            <w:rPr>
              <w:rFonts w:asciiTheme="minorHAnsi" w:eastAsiaTheme="minorEastAsia" w:hAnsiTheme="minorHAnsi" w:cstheme="minorBidi"/>
              <w:noProof/>
              <w:sz w:val="22"/>
              <w:szCs w:val="22"/>
              <w:bdr w:val="none" w:sz="0" w:space="0" w:color="auto"/>
              <w:lang w:val="en-NZ" w:eastAsia="en-NZ"/>
            </w:rPr>
          </w:pPr>
          <w:hyperlink w:anchor="_Toc473803314" w:history="1">
            <w:r w:rsidR="00673FB8" w:rsidRPr="00ED344E">
              <w:rPr>
                <w:rStyle w:val="Hyperlink"/>
                <w:noProof/>
                <w:lang w:val="fr-FR"/>
              </w:rPr>
              <w:t>7</w:t>
            </w:r>
            <w:r w:rsidR="00673FB8">
              <w:rPr>
                <w:rFonts w:asciiTheme="minorHAnsi" w:eastAsiaTheme="minorEastAsia" w:hAnsiTheme="minorHAnsi" w:cstheme="minorBidi"/>
                <w:noProof/>
                <w:sz w:val="22"/>
                <w:szCs w:val="22"/>
                <w:bdr w:val="none" w:sz="0" w:space="0" w:color="auto"/>
                <w:lang w:val="en-NZ" w:eastAsia="en-NZ"/>
              </w:rPr>
              <w:tab/>
            </w:r>
            <w:r w:rsidR="00673FB8" w:rsidRPr="00ED344E">
              <w:rPr>
                <w:rStyle w:val="Hyperlink"/>
                <w:noProof/>
                <w:lang w:val="fr-FR"/>
              </w:rPr>
              <w:t>Impact of TPU vs. Mainstream Schools for the Enrolled Sample</w:t>
            </w:r>
            <w:r w:rsidR="00673FB8">
              <w:rPr>
                <w:noProof/>
                <w:webHidden/>
              </w:rPr>
              <w:tab/>
            </w:r>
            <w:r w:rsidR="00673FB8">
              <w:rPr>
                <w:noProof/>
                <w:webHidden/>
              </w:rPr>
              <w:fldChar w:fldCharType="begin"/>
            </w:r>
            <w:r w:rsidR="00673FB8">
              <w:rPr>
                <w:noProof/>
                <w:webHidden/>
              </w:rPr>
              <w:instrText xml:space="preserve"> PAGEREF _Toc473803314 \h </w:instrText>
            </w:r>
            <w:r w:rsidR="00673FB8">
              <w:rPr>
                <w:noProof/>
                <w:webHidden/>
              </w:rPr>
            </w:r>
            <w:r w:rsidR="00673FB8">
              <w:rPr>
                <w:noProof/>
                <w:webHidden/>
              </w:rPr>
              <w:fldChar w:fldCharType="separate"/>
            </w:r>
            <w:r w:rsidR="00673FB8">
              <w:rPr>
                <w:noProof/>
                <w:webHidden/>
              </w:rPr>
              <w:t>32</w:t>
            </w:r>
            <w:r w:rsidR="00673FB8">
              <w:rPr>
                <w:noProof/>
                <w:webHidden/>
              </w:rPr>
              <w:fldChar w:fldCharType="end"/>
            </w:r>
          </w:hyperlink>
        </w:p>
        <w:p w:rsidR="00673FB8" w:rsidRDefault="00E86701">
          <w:pPr>
            <w:pStyle w:val="TOC1"/>
            <w:tabs>
              <w:tab w:val="left" w:pos="480"/>
              <w:tab w:val="right" w:leader="dot" w:pos="9010"/>
            </w:tabs>
            <w:rPr>
              <w:rFonts w:asciiTheme="minorHAnsi" w:eastAsiaTheme="minorEastAsia" w:hAnsiTheme="minorHAnsi" w:cstheme="minorBidi"/>
              <w:noProof/>
              <w:sz w:val="22"/>
              <w:szCs w:val="22"/>
              <w:bdr w:val="none" w:sz="0" w:space="0" w:color="auto"/>
              <w:lang w:val="en-NZ" w:eastAsia="en-NZ"/>
            </w:rPr>
          </w:pPr>
          <w:hyperlink w:anchor="_Toc473803315" w:history="1">
            <w:r w:rsidR="00673FB8" w:rsidRPr="00ED344E">
              <w:rPr>
                <w:rStyle w:val="Hyperlink"/>
                <w:noProof/>
                <w:lang w:val="fr-FR"/>
              </w:rPr>
              <w:t>8</w:t>
            </w:r>
            <w:r w:rsidR="00673FB8">
              <w:rPr>
                <w:rFonts w:asciiTheme="minorHAnsi" w:eastAsiaTheme="minorEastAsia" w:hAnsiTheme="minorHAnsi" w:cstheme="minorBidi"/>
                <w:noProof/>
                <w:sz w:val="22"/>
                <w:szCs w:val="22"/>
                <w:bdr w:val="none" w:sz="0" w:space="0" w:color="auto"/>
                <w:lang w:val="en-NZ" w:eastAsia="en-NZ"/>
              </w:rPr>
              <w:tab/>
            </w:r>
            <w:r w:rsidR="00673FB8" w:rsidRPr="00ED344E">
              <w:rPr>
                <w:rStyle w:val="Hyperlink"/>
                <w:noProof/>
                <w:lang w:val="fr-FR"/>
              </w:rPr>
              <w:t>Limitations</w:t>
            </w:r>
            <w:r w:rsidR="00673FB8">
              <w:rPr>
                <w:noProof/>
                <w:webHidden/>
              </w:rPr>
              <w:tab/>
            </w:r>
            <w:r w:rsidR="00673FB8">
              <w:rPr>
                <w:noProof/>
                <w:webHidden/>
              </w:rPr>
              <w:fldChar w:fldCharType="begin"/>
            </w:r>
            <w:r w:rsidR="00673FB8">
              <w:rPr>
                <w:noProof/>
                <w:webHidden/>
              </w:rPr>
              <w:instrText xml:space="preserve"> PAGEREF _Toc473803315 \h </w:instrText>
            </w:r>
            <w:r w:rsidR="00673FB8">
              <w:rPr>
                <w:noProof/>
                <w:webHidden/>
              </w:rPr>
            </w:r>
            <w:r w:rsidR="00673FB8">
              <w:rPr>
                <w:noProof/>
                <w:webHidden/>
              </w:rPr>
              <w:fldChar w:fldCharType="separate"/>
            </w:r>
            <w:r w:rsidR="00673FB8">
              <w:rPr>
                <w:noProof/>
                <w:webHidden/>
              </w:rPr>
              <w:t>36</w:t>
            </w:r>
            <w:r w:rsidR="00673FB8">
              <w:rPr>
                <w:noProof/>
                <w:webHidden/>
              </w:rPr>
              <w:fldChar w:fldCharType="end"/>
            </w:r>
          </w:hyperlink>
        </w:p>
        <w:p w:rsidR="00673FB8" w:rsidRDefault="00E86701">
          <w:pPr>
            <w:pStyle w:val="TOC1"/>
            <w:tabs>
              <w:tab w:val="left" w:pos="480"/>
              <w:tab w:val="right" w:leader="dot" w:pos="9010"/>
            </w:tabs>
            <w:rPr>
              <w:rFonts w:asciiTheme="minorHAnsi" w:eastAsiaTheme="minorEastAsia" w:hAnsiTheme="minorHAnsi" w:cstheme="minorBidi"/>
              <w:noProof/>
              <w:sz w:val="22"/>
              <w:szCs w:val="22"/>
              <w:bdr w:val="none" w:sz="0" w:space="0" w:color="auto"/>
              <w:lang w:val="en-NZ" w:eastAsia="en-NZ"/>
            </w:rPr>
          </w:pPr>
          <w:hyperlink w:anchor="_Toc473803316" w:history="1">
            <w:r w:rsidR="00673FB8" w:rsidRPr="00ED344E">
              <w:rPr>
                <w:rStyle w:val="Hyperlink"/>
                <w:rFonts w:eastAsia="Times New Roman"/>
                <w:noProof/>
                <w:lang w:val="fr-FR"/>
              </w:rPr>
              <w:t>9</w:t>
            </w:r>
            <w:r w:rsidR="00673FB8">
              <w:rPr>
                <w:rFonts w:asciiTheme="minorHAnsi" w:eastAsiaTheme="minorEastAsia" w:hAnsiTheme="minorHAnsi" w:cstheme="minorBidi"/>
                <w:noProof/>
                <w:sz w:val="22"/>
                <w:szCs w:val="22"/>
                <w:bdr w:val="none" w:sz="0" w:space="0" w:color="auto"/>
                <w:lang w:val="en-NZ" w:eastAsia="en-NZ"/>
              </w:rPr>
              <w:tab/>
            </w:r>
            <w:r w:rsidR="00673FB8" w:rsidRPr="00ED344E">
              <w:rPr>
                <w:rStyle w:val="Hyperlink"/>
                <w:noProof/>
                <w:lang w:val="fr-FR"/>
              </w:rPr>
              <w:t>Conclusions</w:t>
            </w:r>
            <w:r w:rsidR="00673FB8">
              <w:rPr>
                <w:noProof/>
                <w:webHidden/>
              </w:rPr>
              <w:tab/>
            </w:r>
            <w:r w:rsidR="00673FB8">
              <w:rPr>
                <w:noProof/>
                <w:webHidden/>
              </w:rPr>
              <w:fldChar w:fldCharType="begin"/>
            </w:r>
            <w:r w:rsidR="00673FB8">
              <w:rPr>
                <w:noProof/>
                <w:webHidden/>
              </w:rPr>
              <w:instrText xml:space="preserve"> PAGEREF _Toc473803316 \h </w:instrText>
            </w:r>
            <w:r w:rsidR="00673FB8">
              <w:rPr>
                <w:noProof/>
                <w:webHidden/>
              </w:rPr>
            </w:r>
            <w:r w:rsidR="00673FB8">
              <w:rPr>
                <w:noProof/>
                <w:webHidden/>
              </w:rPr>
              <w:fldChar w:fldCharType="separate"/>
            </w:r>
            <w:r w:rsidR="00673FB8">
              <w:rPr>
                <w:noProof/>
                <w:webHidden/>
              </w:rPr>
              <w:t>38</w:t>
            </w:r>
            <w:r w:rsidR="00673FB8">
              <w:rPr>
                <w:noProof/>
                <w:webHidden/>
              </w:rPr>
              <w:fldChar w:fldCharType="end"/>
            </w:r>
          </w:hyperlink>
        </w:p>
        <w:p w:rsidR="00673FB8" w:rsidRDefault="00E86701">
          <w:pPr>
            <w:pStyle w:val="TOC1"/>
            <w:tabs>
              <w:tab w:val="right" w:leader="dot" w:pos="9010"/>
            </w:tabs>
            <w:rPr>
              <w:rFonts w:asciiTheme="minorHAnsi" w:eastAsiaTheme="minorEastAsia" w:hAnsiTheme="minorHAnsi" w:cstheme="minorBidi"/>
              <w:noProof/>
              <w:sz w:val="22"/>
              <w:szCs w:val="22"/>
              <w:bdr w:val="none" w:sz="0" w:space="0" w:color="auto"/>
              <w:lang w:val="en-NZ" w:eastAsia="en-NZ"/>
            </w:rPr>
          </w:pPr>
          <w:hyperlink w:anchor="_Toc473803317" w:history="1">
            <w:r w:rsidR="00673FB8" w:rsidRPr="00ED344E">
              <w:rPr>
                <w:rStyle w:val="Hyperlink"/>
                <w:noProof/>
              </w:rPr>
              <w:t>References</w:t>
            </w:r>
            <w:r w:rsidR="00673FB8">
              <w:rPr>
                <w:noProof/>
                <w:webHidden/>
              </w:rPr>
              <w:tab/>
            </w:r>
            <w:r w:rsidR="00673FB8">
              <w:rPr>
                <w:noProof/>
                <w:webHidden/>
              </w:rPr>
              <w:fldChar w:fldCharType="begin"/>
            </w:r>
            <w:r w:rsidR="00673FB8">
              <w:rPr>
                <w:noProof/>
                <w:webHidden/>
              </w:rPr>
              <w:instrText xml:space="preserve"> PAGEREF _Toc473803317 \h </w:instrText>
            </w:r>
            <w:r w:rsidR="00673FB8">
              <w:rPr>
                <w:noProof/>
                <w:webHidden/>
              </w:rPr>
            </w:r>
            <w:r w:rsidR="00673FB8">
              <w:rPr>
                <w:noProof/>
                <w:webHidden/>
              </w:rPr>
              <w:fldChar w:fldCharType="separate"/>
            </w:r>
            <w:r w:rsidR="00673FB8">
              <w:rPr>
                <w:noProof/>
                <w:webHidden/>
              </w:rPr>
              <w:t>39</w:t>
            </w:r>
            <w:r w:rsidR="00673FB8">
              <w:rPr>
                <w:noProof/>
                <w:webHidden/>
              </w:rPr>
              <w:fldChar w:fldCharType="end"/>
            </w:r>
          </w:hyperlink>
        </w:p>
        <w:p w:rsidR="00673FB8" w:rsidRDefault="00E86701">
          <w:pPr>
            <w:pStyle w:val="TOC1"/>
            <w:tabs>
              <w:tab w:val="right" w:leader="dot" w:pos="9010"/>
            </w:tabs>
            <w:rPr>
              <w:rFonts w:asciiTheme="minorHAnsi" w:eastAsiaTheme="minorEastAsia" w:hAnsiTheme="minorHAnsi" w:cstheme="minorBidi"/>
              <w:noProof/>
              <w:sz w:val="22"/>
              <w:szCs w:val="22"/>
              <w:bdr w:val="none" w:sz="0" w:space="0" w:color="auto"/>
              <w:lang w:val="en-NZ" w:eastAsia="en-NZ"/>
            </w:rPr>
          </w:pPr>
          <w:hyperlink w:anchor="_Toc473803318" w:history="1">
            <w:r w:rsidR="00673FB8" w:rsidRPr="00ED344E">
              <w:rPr>
                <w:rStyle w:val="Hyperlink"/>
                <w:noProof/>
                <w:u w:color="000000"/>
              </w:rPr>
              <w:t>Appendix – Supplementary Tables and Figures</w:t>
            </w:r>
            <w:r w:rsidR="00673FB8">
              <w:rPr>
                <w:noProof/>
                <w:webHidden/>
              </w:rPr>
              <w:tab/>
            </w:r>
            <w:r w:rsidR="00673FB8">
              <w:rPr>
                <w:noProof/>
                <w:webHidden/>
              </w:rPr>
              <w:fldChar w:fldCharType="begin"/>
            </w:r>
            <w:r w:rsidR="00673FB8">
              <w:rPr>
                <w:noProof/>
                <w:webHidden/>
              </w:rPr>
              <w:instrText xml:space="preserve"> PAGEREF _Toc473803318 \h </w:instrText>
            </w:r>
            <w:r w:rsidR="00673FB8">
              <w:rPr>
                <w:noProof/>
                <w:webHidden/>
              </w:rPr>
            </w:r>
            <w:r w:rsidR="00673FB8">
              <w:rPr>
                <w:noProof/>
                <w:webHidden/>
              </w:rPr>
              <w:fldChar w:fldCharType="separate"/>
            </w:r>
            <w:r w:rsidR="00673FB8">
              <w:rPr>
                <w:noProof/>
                <w:webHidden/>
              </w:rPr>
              <w:t>41</w:t>
            </w:r>
            <w:r w:rsidR="00673FB8">
              <w:rPr>
                <w:noProof/>
                <w:webHidden/>
              </w:rPr>
              <w:fldChar w:fldCharType="end"/>
            </w:r>
          </w:hyperlink>
        </w:p>
        <w:p w:rsidR="003550CD" w:rsidRPr="00B12C8E" w:rsidRDefault="00F84BE7">
          <w:r w:rsidRPr="00C366C1">
            <w:rPr>
              <w:b/>
              <w:bCs/>
              <w:noProof/>
            </w:rPr>
            <w:fldChar w:fldCharType="end"/>
          </w:r>
        </w:p>
      </w:sdtContent>
    </w:sdt>
    <w:p w:rsidR="0067771B" w:rsidRDefault="0067771B" w:rsidP="0067771B">
      <w:pPr>
        <w:rPr>
          <w:b/>
          <w:sz w:val="32"/>
          <w:szCs w:val="32"/>
        </w:rPr>
      </w:pPr>
      <w:bookmarkStart w:id="0" w:name="_Toc386619900"/>
      <w:bookmarkStart w:id="1" w:name="_Toc402433424"/>
    </w:p>
    <w:p w:rsidR="0067771B" w:rsidRDefault="0067771B">
      <w:pPr>
        <w:rPr>
          <w:b/>
          <w:sz w:val="32"/>
          <w:szCs w:val="32"/>
        </w:rPr>
      </w:pPr>
      <w:r>
        <w:rPr>
          <w:b/>
          <w:sz w:val="32"/>
          <w:szCs w:val="32"/>
        </w:rPr>
        <w:br w:type="page"/>
      </w:r>
    </w:p>
    <w:p w:rsidR="0067771B" w:rsidRDefault="0067771B" w:rsidP="00EB1E61">
      <w:pPr>
        <w:spacing w:after="240"/>
        <w:rPr>
          <w:b/>
          <w:sz w:val="32"/>
          <w:szCs w:val="32"/>
        </w:rPr>
      </w:pPr>
      <w:r>
        <w:rPr>
          <w:b/>
          <w:sz w:val="32"/>
          <w:szCs w:val="32"/>
        </w:rPr>
        <w:t>List of T</w:t>
      </w:r>
      <w:r w:rsidRPr="00333029">
        <w:rPr>
          <w:b/>
          <w:sz w:val="32"/>
          <w:szCs w:val="32"/>
        </w:rPr>
        <w:t>ables</w:t>
      </w:r>
      <w:bookmarkEnd w:id="0"/>
      <w:bookmarkEnd w:id="1"/>
    </w:p>
    <w:p w:rsidR="006C39FE" w:rsidRPr="00EB1E61" w:rsidRDefault="006C39FE" w:rsidP="00AD4BEC">
      <w:pPr>
        <w:spacing w:after="120"/>
        <w:rPr>
          <w:b/>
          <w:sz w:val="32"/>
          <w:szCs w:val="32"/>
        </w:rPr>
      </w:pPr>
    </w:p>
    <w:p w:rsidR="00AD4BEC" w:rsidRDefault="006C39FE" w:rsidP="00AD4BEC">
      <w:pPr>
        <w:pStyle w:val="TableofFigures"/>
        <w:tabs>
          <w:tab w:val="right" w:leader="dot" w:pos="9010"/>
        </w:tabs>
        <w:spacing w:after="120"/>
        <w:rPr>
          <w:rFonts w:asciiTheme="minorHAnsi" w:eastAsiaTheme="minorEastAsia" w:hAnsiTheme="minorHAnsi" w:cstheme="minorBidi"/>
          <w:noProof/>
          <w:sz w:val="22"/>
          <w:szCs w:val="22"/>
          <w:bdr w:val="none" w:sz="0" w:space="0" w:color="auto"/>
          <w:lang w:val="en-NZ" w:eastAsia="en-NZ"/>
        </w:rPr>
      </w:pPr>
      <w:r>
        <w:rPr>
          <w:sz w:val="22"/>
          <w:szCs w:val="22"/>
        </w:rPr>
        <w:fldChar w:fldCharType="begin"/>
      </w:r>
      <w:r>
        <w:rPr>
          <w:sz w:val="22"/>
          <w:szCs w:val="22"/>
        </w:rPr>
        <w:instrText xml:space="preserve"> TOC \h \z \c "Table" </w:instrText>
      </w:r>
      <w:r>
        <w:rPr>
          <w:sz w:val="22"/>
          <w:szCs w:val="22"/>
        </w:rPr>
        <w:fldChar w:fldCharType="separate"/>
      </w:r>
      <w:hyperlink w:anchor="_Toc475430713" w:history="1">
        <w:r w:rsidR="00AD4BEC" w:rsidRPr="00F41393">
          <w:rPr>
            <w:rStyle w:val="Hyperlink"/>
            <w:noProof/>
          </w:rPr>
          <w:t>Table 1: Study cohort and estimated resident female population</w:t>
        </w:r>
        <w:r w:rsidR="00AD4BEC">
          <w:rPr>
            <w:noProof/>
            <w:webHidden/>
          </w:rPr>
          <w:tab/>
        </w:r>
        <w:r w:rsidR="00AD4BEC">
          <w:rPr>
            <w:noProof/>
            <w:webHidden/>
          </w:rPr>
          <w:fldChar w:fldCharType="begin"/>
        </w:r>
        <w:r w:rsidR="00AD4BEC">
          <w:rPr>
            <w:noProof/>
            <w:webHidden/>
          </w:rPr>
          <w:instrText xml:space="preserve"> PAGEREF _Toc475430713 \h </w:instrText>
        </w:r>
        <w:r w:rsidR="00AD4BEC">
          <w:rPr>
            <w:noProof/>
            <w:webHidden/>
          </w:rPr>
        </w:r>
        <w:r w:rsidR="00AD4BEC">
          <w:rPr>
            <w:noProof/>
            <w:webHidden/>
          </w:rPr>
          <w:fldChar w:fldCharType="separate"/>
        </w:r>
        <w:r w:rsidR="00AD4BEC">
          <w:rPr>
            <w:noProof/>
            <w:webHidden/>
          </w:rPr>
          <w:t>16</w:t>
        </w:r>
        <w:r w:rsidR="00AD4BEC">
          <w:rPr>
            <w:noProof/>
            <w:webHidden/>
          </w:rPr>
          <w:fldChar w:fldCharType="end"/>
        </w:r>
      </w:hyperlink>
    </w:p>
    <w:p w:rsidR="00AD4BEC" w:rsidRDefault="00E86701" w:rsidP="00AD4BEC">
      <w:pPr>
        <w:pStyle w:val="TableofFigures"/>
        <w:tabs>
          <w:tab w:val="right" w:leader="dot" w:pos="9010"/>
        </w:tabs>
        <w:spacing w:after="120"/>
        <w:rPr>
          <w:rFonts w:asciiTheme="minorHAnsi" w:eastAsiaTheme="minorEastAsia" w:hAnsiTheme="minorHAnsi" w:cstheme="minorBidi"/>
          <w:noProof/>
          <w:sz w:val="22"/>
          <w:szCs w:val="22"/>
          <w:bdr w:val="none" w:sz="0" w:space="0" w:color="auto"/>
          <w:lang w:val="en-NZ" w:eastAsia="en-NZ"/>
        </w:rPr>
      </w:pPr>
      <w:hyperlink w:anchor="_Toc475430714" w:history="1">
        <w:r w:rsidR="00AD4BEC" w:rsidRPr="00F41393">
          <w:rPr>
            <w:rStyle w:val="Hyperlink"/>
            <w:noProof/>
          </w:rPr>
          <w:t>Table 2: Characteristics of study sample</w:t>
        </w:r>
        <w:r w:rsidR="00AD4BEC">
          <w:rPr>
            <w:noProof/>
            <w:webHidden/>
          </w:rPr>
          <w:tab/>
        </w:r>
        <w:r w:rsidR="00AD4BEC">
          <w:rPr>
            <w:noProof/>
            <w:webHidden/>
          </w:rPr>
          <w:fldChar w:fldCharType="begin"/>
        </w:r>
        <w:r w:rsidR="00AD4BEC">
          <w:rPr>
            <w:noProof/>
            <w:webHidden/>
          </w:rPr>
          <w:instrText xml:space="preserve"> PAGEREF _Toc475430714 \h </w:instrText>
        </w:r>
        <w:r w:rsidR="00AD4BEC">
          <w:rPr>
            <w:noProof/>
            <w:webHidden/>
          </w:rPr>
        </w:r>
        <w:r w:rsidR="00AD4BEC">
          <w:rPr>
            <w:noProof/>
            <w:webHidden/>
          </w:rPr>
          <w:fldChar w:fldCharType="separate"/>
        </w:r>
        <w:r w:rsidR="00AD4BEC">
          <w:rPr>
            <w:noProof/>
            <w:webHidden/>
          </w:rPr>
          <w:t>17</w:t>
        </w:r>
        <w:r w:rsidR="00AD4BEC">
          <w:rPr>
            <w:noProof/>
            <w:webHidden/>
          </w:rPr>
          <w:fldChar w:fldCharType="end"/>
        </w:r>
      </w:hyperlink>
    </w:p>
    <w:p w:rsidR="00AD4BEC" w:rsidRDefault="00E86701" w:rsidP="00AD4BEC">
      <w:pPr>
        <w:pStyle w:val="TableofFigures"/>
        <w:tabs>
          <w:tab w:val="right" w:leader="dot" w:pos="9010"/>
        </w:tabs>
        <w:spacing w:after="120"/>
        <w:rPr>
          <w:rFonts w:asciiTheme="minorHAnsi" w:eastAsiaTheme="minorEastAsia" w:hAnsiTheme="minorHAnsi" w:cstheme="minorBidi"/>
          <w:noProof/>
          <w:sz w:val="22"/>
          <w:szCs w:val="22"/>
          <w:bdr w:val="none" w:sz="0" w:space="0" w:color="auto"/>
          <w:lang w:val="en-NZ" w:eastAsia="en-NZ"/>
        </w:rPr>
      </w:pPr>
      <w:hyperlink w:anchor="_Toc475430715" w:history="1">
        <w:r w:rsidR="00AD4BEC" w:rsidRPr="00F41393">
          <w:rPr>
            <w:rStyle w:val="Hyperlink"/>
            <w:noProof/>
          </w:rPr>
          <w:t>Table 3: Censoring of study sample</w:t>
        </w:r>
        <w:r w:rsidR="00AD4BEC">
          <w:rPr>
            <w:noProof/>
            <w:webHidden/>
          </w:rPr>
          <w:tab/>
        </w:r>
        <w:r w:rsidR="00AD4BEC">
          <w:rPr>
            <w:noProof/>
            <w:webHidden/>
          </w:rPr>
          <w:fldChar w:fldCharType="begin"/>
        </w:r>
        <w:r w:rsidR="00AD4BEC">
          <w:rPr>
            <w:noProof/>
            <w:webHidden/>
          </w:rPr>
          <w:instrText xml:space="preserve"> PAGEREF _Toc475430715 \h </w:instrText>
        </w:r>
        <w:r w:rsidR="00AD4BEC">
          <w:rPr>
            <w:noProof/>
            <w:webHidden/>
          </w:rPr>
        </w:r>
        <w:r w:rsidR="00AD4BEC">
          <w:rPr>
            <w:noProof/>
            <w:webHidden/>
          </w:rPr>
          <w:fldChar w:fldCharType="separate"/>
        </w:r>
        <w:r w:rsidR="00AD4BEC">
          <w:rPr>
            <w:noProof/>
            <w:webHidden/>
          </w:rPr>
          <w:t>18</w:t>
        </w:r>
        <w:r w:rsidR="00AD4BEC">
          <w:rPr>
            <w:noProof/>
            <w:webHidden/>
          </w:rPr>
          <w:fldChar w:fldCharType="end"/>
        </w:r>
      </w:hyperlink>
    </w:p>
    <w:p w:rsidR="00AD4BEC" w:rsidRDefault="00E86701" w:rsidP="00AD4BEC">
      <w:pPr>
        <w:pStyle w:val="TableofFigures"/>
        <w:tabs>
          <w:tab w:val="right" w:leader="dot" w:pos="9010"/>
        </w:tabs>
        <w:spacing w:after="120"/>
        <w:rPr>
          <w:rFonts w:asciiTheme="minorHAnsi" w:eastAsiaTheme="minorEastAsia" w:hAnsiTheme="minorHAnsi" w:cstheme="minorBidi"/>
          <w:noProof/>
          <w:sz w:val="22"/>
          <w:szCs w:val="22"/>
          <w:bdr w:val="none" w:sz="0" w:space="0" w:color="auto"/>
          <w:lang w:val="en-NZ" w:eastAsia="en-NZ"/>
        </w:rPr>
      </w:pPr>
      <w:hyperlink w:anchor="_Toc475430716" w:history="1">
        <w:r w:rsidR="00AD4BEC" w:rsidRPr="00F41393">
          <w:rPr>
            <w:rStyle w:val="Hyperlink"/>
            <w:noProof/>
          </w:rPr>
          <w:t>Table 4: Proportion of teen mothers enrolled in school at conception by age at first birth</w:t>
        </w:r>
        <w:r w:rsidR="00AD4BEC">
          <w:rPr>
            <w:noProof/>
            <w:webHidden/>
          </w:rPr>
          <w:tab/>
        </w:r>
        <w:r w:rsidR="00AD4BEC">
          <w:rPr>
            <w:noProof/>
            <w:webHidden/>
          </w:rPr>
          <w:fldChar w:fldCharType="begin"/>
        </w:r>
        <w:r w:rsidR="00AD4BEC">
          <w:rPr>
            <w:noProof/>
            <w:webHidden/>
          </w:rPr>
          <w:instrText xml:space="preserve"> PAGEREF _Toc475430716 \h </w:instrText>
        </w:r>
        <w:r w:rsidR="00AD4BEC">
          <w:rPr>
            <w:noProof/>
            <w:webHidden/>
          </w:rPr>
        </w:r>
        <w:r w:rsidR="00AD4BEC">
          <w:rPr>
            <w:noProof/>
            <w:webHidden/>
          </w:rPr>
          <w:fldChar w:fldCharType="separate"/>
        </w:r>
        <w:r w:rsidR="00AD4BEC">
          <w:rPr>
            <w:noProof/>
            <w:webHidden/>
          </w:rPr>
          <w:t>21</w:t>
        </w:r>
        <w:r w:rsidR="00AD4BEC">
          <w:rPr>
            <w:noProof/>
            <w:webHidden/>
          </w:rPr>
          <w:fldChar w:fldCharType="end"/>
        </w:r>
      </w:hyperlink>
    </w:p>
    <w:p w:rsidR="00AD4BEC" w:rsidRDefault="00E86701" w:rsidP="00AD4BEC">
      <w:pPr>
        <w:pStyle w:val="TableofFigures"/>
        <w:tabs>
          <w:tab w:val="right" w:leader="dot" w:pos="9010"/>
        </w:tabs>
        <w:spacing w:after="120"/>
        <w:rPr>
          <w:rFonts w:asciiTheme="minorHAnsi" w:eastAsiaTheme="minorEastAsia" w:hAnsiTheme="minorHAnsi" w:cstheme="minorBidi"/>
          <w:noProof/>
          <w:sz w:val="22"/>
          <w:szCs w:val="22"/>
          <w:bdr w:val="none" w:sz="0" w:space="0" w:color="auto"/>
          <w:lang w:val="en-NZ" w:eastAsia="en-NZ"/>
        </w:rPr>
      </w:pPr>
      <w:hyperlink w:anchor="_Toc475430717" w:history="1">
        <w:r w:rsidR="00AD4BEC" w:rsidRPr="00F41393">
          <w:rPr>
            <w:rStyle w:val="Hyperlink"/>
            <w:noProof/>
          </w:rPr>
          <w:t>Table 5: Proportion of teen mothers enrolled post-birth by age at first birth</w:t>
        </w:r>
        <w:r w:rsidR="00AD4BEC">
          <w:rPr>
            <w:noProof/>
            <w:webHidden/>
          </w:rPr>
          <w:tab/>
        </w:r>
        <w:r w:rsidR="00AD4BEC">
          <w:rPr>
            <w:noProof/>
            <w:webHidden/>
          </w:rPr>
          <w:fldChar w:fldCharType="begin"/>
        </w:r>
        <w:r w:rsidR="00AD4BEC">
          <w:rPr>
            <w:noProof/>
            <w:webHidden/>
          </w:rPr>
          <w:instrText xml:space="preserve"> PAGEREF _Toc475430717 \h </w:instrText>
        </w:r>
        <w:r w:rsidR="00AD4BEC">
          <w:rPr>
            <w:noProof/>
            <w:webHidden/>
          </w:rPr>
        </w:r>
        <w:r w:rsidR="00AD4BEC">
          <w:rPr>
            <w:noProof/>
            <w:webHidden/>
          </w:rPr>
          <w:fldChar w:fldCharType="separate"/>
        </w:r>
        <w:r w:rsidR="00AD4BEC">
          <w:rPr>
            <w:noProof/>
            <w:webHidden/>
          </w:rPr>
          <w:t>22</w:t>
        </w:r>
        <w:r w:rsidR="00AD4BEC">
          <w:rPr>
            <w:noProof/>
            <w:webHidden/>
          </w:rPr>
          <w:fldChar w:fldCharType="end"/>
        </w:r>
      </w:hyperlink>
    </w:p>
    <w:p w:rsidR="00AD4BEC" w:rsidRDefault="00E86701" w:rsidP="00AD4BEC">
      <w:pPr>
        <w:pStyle w:val="TableofFigures"/>
        <w:tabs>
          <w:tab w:val="right" w:leader="dot" w:pos="9010"/>
        </w:tabs>
        <w:spacing w:after="120"/>
        <w:rPr>
          <w:rFonts w:asciiTheme="minorHAnsi" w:eastAsiaTheme="minorEastAsia" w:hAnsiTheme="minorHAnsi" w:cstheme="minorBidi"/>
          <w:noProof/>
          <w:sz w:val="22"/>
          <w:szCs w:val="22"/>
          <w:bdr w:val="none" w:sz="0" w:space="0" w:color="auto"/>
          <w:lang w:val="en-NZ" w:eastAsia="en-NZ"/>
        </w:rPr>
      </w:pPr>
      <w:hyperlink w:anchor="_Toc475430718" w:history="1">
        <w:r w:rsidR="00AD4BEC" w:rsidRPr="00F41393">
          <w:rPr>
            <w:rStyle w:val="Hyperlink"/>
            <w:noProof/>
          </w:rPr>
          <w:t>Table 6: Enrolment status of teen mothers at conception and post-birth</w:t>
        </w:r>
        <w:r w:rsidR="00AD4BEC">
          <w:rPr>
            <w:noProof/>
            <w:webHidden/>
          </w:rPr>
          <w:tab/>
        </w:r>
        <w:r w:rsidR="00AD4BEC">
          <w:rPr>
            <w:noProof/>
            <w:webHidden/>
          </w:rPr>
          <w:fldChar w:fldCharType="begin"/>
        </w:r>
        <w:r w:rsidR="00AD4BEC">
          <w:rPr>
            <w:noProof/>
            <w:webHidden/>
          </w:rPr>
          <w:instrText xml:space="preserve"> PAGEREF _Toc475430718 \h </w:instrText>
        </w:r>
        <w:r w:rsidR="00AD4BEC">
          <w:rPr>
            <w:noProof/>
            <w:webHidden/>
          </w:rPr>
        </w:r>
        <w:r w:rsidR="00AD4BEC">
          <w:rPr>
            <w:noProof/>
            <w:webHidden/>
          </w:rPr>
          <w:fldChar w:fldCharType="separate"/>
        </w:r>
        <w:r w:rsidR="00AD4BEC">
          <w:rPr>
            <w:noProof/>
            <w:webHidden/>
          </w:rPr>
          <w:t>23</w:t>
        </w:r>
        <w:r w:rsidR="00AD4BEC">
          <w:rPr>
            <w:noProof/>
            <w:webHidden/>
          </w:rPr>
          <w:fldChar w:fldCharType="end"/>
        </w:r>
      </w:hyperlink>
    </w:p>
    <w:p w:rsidR="00AD4BEC" w:rsidRDefault="00E86701" w:rsidP="00AD4BEC">
      <w:pPr>
        <w:pStyle w:val="TableofFigures"/>
        <w:tabs>
          <w:tab w:val="right" w:leader="dot" w:pos="9010"/>
        </w:tabs>
        <w:spacing w:after="120"/>
        <w:rPr>
          <w:rFonts w:asciiTheme="minorHAnsi" w:eastAsiaTheme="minorEastAsia" w:hAnsiTheme="minorHAnsi" w:cstheme="minorBidi"/>
          <w:noProof/>
          <w:sz w:val="22"/>
          <w:szCs w:val="22"/>
          <w:bdr w:val="none" w:sz="0" w:space="0" w:color="auto"/>
          <w:lang w:val="en-NZ" w:eastAsia="en-NZ"/>
        </w:rPr>
      </w:pPr>
      <w:hyperlink w:anchor="_Toc475430719" w:history="1">
        <w:r w:rsidR="00AD4BEC" w:rsidRPr="00F41393">
          <w:rPr>
            <w:rStyle w:val="Hyperlink"/>
            <w:noProof/>
          </w:rPr>
          <w:t>Table 7: Marginal effects for teen mothers on probability of post-birth enrolment</w:t>
        </w:r>
        <w:r w:rsidR="00AD4BEC">
          <w:rPr>
            <w:noProof/>
            <w:webHidden/>
          </w:rPr>
          <w:tab/>
        </w:r>
        <w:r w:rsidR="00AD4BEC">
          <w:rPr>
            <w:noProof/>
            <w:webHidden/>
          </w:rPr>
          <w:fldChar w:fldCharType="begin"/>
        </w:r>
        <w:r w:rsidR="00AD4BEC">
          <w:rPr>
            <w:noProof/>
            <w:webHidden/>
          </w:rPr>
          <w:instrText xml:space="preserve"> PAGEREF _Toc475430719 \h </w:instrText>
        </w:r>
        <w:r w:rsidR="00AD4BEC">
          <w:rPr>
            <w:noProof/>
            <w:webHidden/>
          </w:rPr>
        </w:r>
        <w:r w:rsidR="00AD4BEC">
          <w:rPr>
            <w:noProof/>
            <w:webHidden/>
          </w:rPr>
          <w:fldChar w:fldCharType="separate"/>
        </w:r>
        <w:r w:rsidR="00AD4BEC">
          <w:rPr>
            <w:noProof/>
            <w:webHidden/>
          </w:rPr>
          <w:t>28</w:t>
        </w:r>
        <w:r w:rsidR="00AD4BEC">
          <w:rPr>
            <w:noProof/>
            <w:webHidden/>
          </w:rPr>
          <w:fldChar w:fldCharType="end"/>
        </w:r>
      </w:hyperlink>
    </w:p>
    <w:p w:rsidR="00AD4BEC" w:rsidRDefault="00E86701" w:rsidP="00AD4BEC">
      <w:pPr>
        <w:pStyle w:val="TableofFigures"/>
        <w:tabs>
          <w:tab w:val="right" w:leader="dot" w:pos="9010"/>
        </w:tabs>
        <w:spacing w:after="120"/>
        <w:rPr>
          <w:rFonts w:asciiTheme="minorHAnsi" w:eastAsiaTheme="minorEastAsia" w:hAnsiTheme="minorHAnsi" w:cstheme="minorBidi"/>
          <w:noProof/>
          <w:sz w:val="22"/>
          <w:szCs w:val="22"/>
          <w:bdr w:val="none" w:sz="0" w:space="0" w:color="auto"/>
          <w:lang w:val="en-NZ" w:eastAsia="en-NZ"/>
        </w:rPr>
      </w:pPr>
      <w:hyperlink w:anchor="_Toc475430720" w:history="1">
        <w:r w:rsidR="00AD4BEC" w:rsidRPr="00F41393">
          <w:rPr>
            <w:rStyle w:val="Hyperlink"/>
            <w:noProof/>
          </w:rPr>
          <w:t>Table 8: Marginal effects on probability of teen mothers completing NCEA Level 1 and 2 qualifications, sub-samples without the qualification before the end of the year of their first birth</w:t>
        </w:r>
        <w:r w:rsidR="00AD4BEC">
          <w:rPr>
            <w:noProof/>
            <w:webHidden/>
          </w:rPr>
          <w:tab/>
        </w:r>
        <w:r w:rsidR="00AD4BEC">
          <w:rPr>
            <w:noProof/>
            <w:webHidden/>
          </w:rPr>
          <w:fldChar w:fldCharType="begin"/>
        </w:r>
        <w:r w:rsidR="00AD4BEC">
          <w:rPr>
            <w:noProof/>
            <w:webHidden/>
          </w:rPr>
          <w:instrText xml:space="preserve"> PAGEREF _Toc475430720 \h </w:instrText>
        </w:r>
        <w:r w:rsidR="00AD4BEC">
          <w:rPr>
            <w:noProof/>
            <w:webHidden/>
          </w:rPr>
        </w:r>
        <w:r w:rsidR="00AD4BEC">
          <w:rPr>
            <w:noProof/>
            <w:webHidden/>
          </w:rPr>
          <w:fldChar w:fldCharType="separate"/>
        </w:r>
        <w:r w:rsidR="00AD4BEC">
          <w:rPr>
            <w:noProof/>
            <w:webHidden/>
          </w:rPr>
          <w:t>29</w:t>
        </w:r>
        <w:r w:rsidR="00AD4BEC">
          <w:rPr>
            <w:noProof/>
            <w:webHidden/>
          </w:rPr>
          <w:fldChar w:fldCharType="end"/>
        </w:r>
      </w:hyperlink>
    </w:p>
    <w:p w:rsidR="00AD4BEC" w:rsidRDefault="00E86701" w:rsidP="00AD4BEC">
      <w:pPr>
        <w:pStyle w:val="TableofFigures"/>
        <w:tabs>
          <w:tab w:val="right" w:leader="dot" w:pos="9010"/>
        </w:tabs>
        <w:spacing w:after="120"/>
        <w:rPr>
          <w:rFonts w:asciiTheme="minorHAnsi" w:eastAsiaTheme="minorEastAsia" w:hAnsiTheme="minorHAnsi" w:cstheme="minorBidi"/>
          <w:noProof/>
          <w:sz w:val="22"/>
          <w:szCs w:val="22"/>
          <w:bdr w:val="none" w:sz="0" w:space="0" w:color="auto"/>
          <w:lang w:val="en-NZ" w:eastAsia="en-NZ"/>
        </w:rPr>
      </w:pPr>
      <w:hyperlink w:anchor="_Toc475430721" w:history="1">
        <w:r w:rsidR="00AD4BEC" w:rsidRPr="00F41393">
          <w:rPr>
            <w:rStyle w:val="Hyperlink"/>
            <w:noProof/>
          </w:rPr>
          <w:t>Table 9: Estimated effect of TPU governing school enrolment for all young women at age of 14 on the probability of birth</w:t>
        </w:r>
        <w:r w:rsidR="00AD4BEC">
          <w:rPr>
            <w:noProof/>
            <w:webHidden/>
          </w:rPr>
          <w:tab/>
        </w:r>
        <w:r w:rsidR="00AD4BEC">
          <w:rPr>
            <w:noProof/>
            <w:webHidden/>
          </w:rPr>
          <w:fldChar w:fldCharType="begin"/>
        </w:r>
        <w:r w:rsidR="00AD4BEC">
          <w:rPr>
            <w:noProof/>
            <w:webHidden/>
          </w:rPr>
          <w:instrText xml:space="preserve"> PAGEREF _Toc475430721 \h </w:instrText>
        </w:r>
        <w:r w:rsidR="00AD4BEC">
          <w:rPr>
            <w:noProof/>
            <w:webHidden/>
          </w:rPr>
        </w:r>
        <w:r w:rsidR="00AD4BEC">
          <w:rPr>
            <w:noProof/>
            <w:webHidden/>
          </w:rPr>
          <w:fldChar w:fldCharType="separate"/>
        </w:r>
        <w:r w:rsidR="00AD4BEC">
          <w:rPr>
            <w:noProof/>
            <w:webHidden/>
          </w:rPr>
          <w:t>31</w:t>
        </w:r>
        <w:r w:rsidR="00AD4BEC">
          <w:rPr>
            <w:noProof/>
            <w:webHidden/>
          </w:rPr>
          <w:fldChar w:fldCharType="end"/>
        </w:r>
      </w:hyperlink>
    </w:p>
    <w:p w:rsidR="00AD4BEC" w:rsidRDefault="00E86701" w:rsidP="00AD4BEC">
      <w:pPr>
        <w:pStyle w:val="TableofFigures"/>
        <w:tabs>
          <w:tab w:val="right" w:leader="dot" w:pos="9010"/>
        </w:tabs>
        <w:spacing w:after="120"/>
        <w:rPr>
          <w:rFonts w:asciiTheme="minorHAnsi" w:eastAsiaTheme="minorEastAsia" w:hAnsiTheme="minorHAnsi" w:cstheme="minorBidi"/>
          <w:noProof/>
          <w:sz w:val="22"/>
          <w:szCs w:val="22"/>
          <w:bdr w:val="none" w:sz="0" w:space="0" w:color="auto"/>
          <w:lang w:val="en-NZ" w:eastAsia="en-NZ"/>
        </w:rPr>
      </w:pPr>
      <w:hyperlink w:anchor="_Toc475430722" w:history="1">
        <w:r w:rsidR="00AD4BEC" w:rsidRPr="00F41393">
          <w:rPr>
            <w:rStyle w:val="Hyperlink"/>
            <w:noProof/>
          </w:rPr>
          <w:t>Table 10: Impact of TPU governing school enrolment post-birth on NCEA attainment (Naïve, IV LPM and IV probit estimates on young mothers who enrolled post-birth), sub-samples without the qualification before the end of the year of their first birth</w:t>
        </w:r>
        <w:r w:rsidR="00AD4BEC">
          <w:rPr>
            <w:noProof/>
            <w:webHidden/>
          </w:rPr>
          <w:tab/>
        </w:r>
        <w:r w:rsidR="00AD4BEC">
          <w:rPr>
            <w:noProof/>
            <w:webHidden/>
          </w:rPr>
          <w:fldChar w:fldCharType="begin"/>
        </w:r>
        <w:r w:rsidR="00AD4BEC">
          <w:rPr>
            <w:noProof/>
            <w:webHidden/>
          </w:rPr>
          <w:instrText xml:space="preserve"> PAGEREF _Toc475430722 \h </w:instrText>
        </w:r>
        <w:r w:rsidR="00AD4BEC">
          <w:rPr>
            <w:noProof/>
            <w:webHidden/>
          </w:rPr>
        </w:r>
        <w:r w:rsidR="00AD4BEC">
          <w:rPr>
            <w:noProof/>
            <w:webHidden/>
          </w:rPr>
          <w:fldChar w:fldCharType="separate"/>
        </w:r>
        <w:r w:rsidR="00AD4BEC">
          <w:rPr>
            <w:noProof/>
            <w:webHidden/>
          </w:rPr>
          <w:t>34</w:t>
        </w:r>
        <w:r w:rsidR="00AD4BEC">
          <w:rPr>
            <w:noProof/>
            <w:webHidden/>
          </w:rPr>
          <w:fldChar w:fldCharType="end"/>
        </w:r>
      </w:hyperlink>
    </w:p>
    <w:p w:rsidR="00AD4BEC" w:rsidRDefault="00E86701" w:rsidP="00AD4BEC">
      <w:pPr>
        <w:pStyle w:val="TableofFigures"/>
        <w:tabs>
          <w:tab w:val="right" w:leader="dot" w:pos="9010"/>
        </w:tabs>
        <w:spacing w:after="120"/>
        <w:rPr>
          <w:rFonts w:asciiTheme="minorHAnsi" w:eastAsiaTheme="minorEastAsia" w:hAnsiTheme="minorHAnsi" w:cstheme="minorBidi"/>
          <w:noProof/>
          <w:sz w:val="22"/>
          <w:szCs w:val="22"/>
          <w:bdr w:val="none" w:sz="0" w:space="0" w:color="auto"/>
          <w:lang w:val="en-NZ" w:eastAsia="en-NZ"/>
        </w:rPr>
      </w:pPr>
      <w:hyperlink w:anchor="_Toc475430723" w:history="1">
        <w:r w:rsidR="00AD4BEC" w:rsidRPr="00F41393">
          <w:rPr>
            <w:rStyle w:val="Hyperlink"/>
            <w:noProof/>
          </w:rPr>
          <w:t>Table 11: Estimated effects of TPU governing school enrolment at age 14 on the probabilities of completing NCEA Level 1 and 2 for women who did not have a teen (under 19) birth</w:t>
        </w:r>
        <w:r w:rsidR="00AD4BEC">
          <w:rPr>
            <w:noProof/>
            <w:webHidden/>
          </w:rPr>
          <w:tab/>
        </w:r>
        <w:r w:rsidR="00AD4BEC">
          <w:rPr>
            <w:noProof/>
            <w:webHidden/>
          </w:rPr>
          <w:fldChar w:fldCharType="begin"/>
        </w:r>
        <w:r w:rsidR="00AD4BEC">
          <w:rPr>
            <w:noProof/>
            <w:webHidden/>
          </w:rPr>
          <w:instrText xml:space="preserve"> PAGEREF _Toc475430723 \h </w:instrText>
        </w:r>
        <w:r w:rsidR="00AD4BEC">
          <w:rPr>
            <w:noProof/>
            <w:webHidden/>
          </w:rPr>
        </w:r>
        <w:r w:rsidR="00AD4BEC">
          <w:rPr>
            <w:noProof/>
            <w:webHidden/>
          </w:rPr>
          <w:fldChar w:fldCharType="separate"/>
        </w:r>
        <w:r w:rsidR="00AD4BEC">
          <w:rPr>
            <w:noProof/>
            <w:webHidden/>
          </w:rPr>
          <w:t>35</w:t>
        </w:r>
        <w:r w:rsidR="00AD4BEC">
          <w:rPr>
            <w:noProof/>
            <w:webHidden/>
          </w:rPr>
          <w:fldChar w:fldCharType="end"/>
        </w:r>
      </w:hyperlink>
    </w:p>
    <w:p w:rsidR="00AD4BEC" w:rsidRDefault="00E86701" w:rsidP="00AD4BEC">
      <w:pPr>
        <w:pStyle w:val="TableofFigures"/>
        <w:tabs>
          <w:tab w:val="right" w:leader="dot" w:pos="9010"/>
        </w:tabs>
        <w:spacing w:after="120"/>
        <w:rPr>
          <w:rFonts w:asciiTheme="minorHAnsi" w:eastAsiaTheme="minorEastAsia" w:hAnsiTheme="minorHAnsi" w:cstheme="minorBidi"/>
          <w:noProof/>
          <w:sz w:val="22"/>
          <w:szCs w:val="22"/>
          <w:bdr w:val="none" w:sz="0" w:space="0" w:color="auto"/>
          <w:lang w:val="en-NZ" w:eastAsia="en-NZ"/>
        </w:rPr>
      </w:pPr>
      <w:hyperlink w:anchor="_Toc475430724" w:history="1">
        <w:r w:rsidR="00AD4BEC" w:rsidRPr="00F41393">
          <w:rPr>
            <w:rStyle w:val="Hyperlink"/>
            <w:noProof/>
          </w:rPr>
          <w:t>Appendix Table 1: Teen Parent Units in operation</w:t>
        </w:r>
        <w:r w:rsidR="00AD4BEC">
          <w:rPr>
            <w:noProof/>
            <w:webHidden/>
          </w:rPr>
          <w:tab/>
        </w:r>
        <w:r w:rsidR="00AD4BEC">
          <w:rPr>
            <w:noProof/>
            <w:webHidden/>
          </w:rPr>
          <w:fldChar w:fldCharType="begin"/>
        </w:r>
        <w:r w:rsidR="00AD4BEC">
          <w:rPr>
            <w:noProof/>
            <w:webHidden/>
          </w:rPr>
          <w:instrText xml:space="preserve"> PAGEREF _Toc475430724 \h </w:instrText>
        </w:r>
        <w:r w:rsidR="00AD4BEC">
          <w:rPr>
            <w:noProof/>
            <w:webHidden/>
          </w:rPr>
        </w:r>
        <w:r w:rsidR="00AD4BEC">
          <w:rPr>
            <w:noProof/>
            <w:webHidden/>
          </w:rPr>
          <w:fldChar w:fldCharType="separate"/>
        </w:r>
        <w:r w:rsidR="00AD4BEC">
          <w:rPr>
            <w:noProof/>
            <w:webHidden/>
          </w:rPr>
          <w:t>41</w:t>
        </w:r>
        <w:r w:rsidR="00AD4BEC">
          <w:rPr>
            <w:noProof/>
            <w:webHidden/>
          </w:rPr>
          <w:fldChar w:fldCharType="end"/>
        </w:r>
      </w:hyperlink>
    </w:p>
    <w:p w:rsidR="00AD4BEC" w:rsidRDefault="00E86701" w:rsidP="00AD4BEC">
      <w:pPr>
        <w:pStyle w:val="TableofFigures"/>
        <w:tabs>
          <w:tab w:val="right" w:leader="dot" w:pos="9010"/>
        </w:tabs>
        <w:spacing w:after="120"/>
        <w:rPr>
          <w:rFonts w:asciiTheme="minorHAnsi" w:eastAsiaTheme="minorEastAsia" w:hAnsiTheme="minorHAnsi" w:cstheme="minorBidi"/>
          <w:noProof/>
          <w:sz w:val="22"/>
          <w:szCs w:val="22"/>
          <w:bdr w:val="none" w:sz="0" w:space="0" w:color="auto"/>
          <w:lang w:val="en-NZ" w:eastAsia="en-NZ"/>
        </w:rPr>
      </w:pPr>
      <w:hyperlink w:anchor="_Toc475430725" w:history="1">
        <w:r w:rsidR="00AD4BEC" w:rsidRPr="00F41393">
          <w:rPr>
            <w:rStyle w:val="Hyperlink"/>
            <w:noProof/>
          </w:rPr>
          <w:t>Appendix Table 2: Maximum Likelihood Probit results, estimated effects for teen mothers on probability of post-birth enrolment</w:t>
        </w:r>
        <w:r w:rsidR="00AD4BEC">
          <w:rPr>
            <w:noProof/>
            <w:webHidden/>
          </w:rPr>
          <w:tab/>
        </w:r>
        <w:r w:rsidR="00AD4BEC">
          <w:rPr>
            <w:noProof/>
            <w:webHidden/>
          </w:rPr>
          <w:fldChar w:fldCharType="begin"/>
        </w:r>
        <w:r w:rsidR="00AD4BEC">
          <w:rPr>
            <w:noProof/>
            <w:webHidden/>
          </w:rPr>
          <w:instrText xml:space="preserve"> PAGEREF _Toc475430725 \h </w:instrText>
        </w:r>
        <w:r w:rsidR="00AD4BEC">
          <w:rPr>
            <w:noProof/>
            <w:webHidden/>
          </w:rPr>
        </w:r>
        <w:r w:rsidR="00AD4BEC">
          <w:rPr>
            <w:noProof/>
            <w:webHidden/>
          </w:rPr>
          <w:fldChar w:fldCharType="separate"/>
        </w:r>
        <w:r w:rsidR="00AD4BEC">
          <w:rPr>
            <w:noProof/>
            <w:webHidden/>
          </w:rPr>
          <w:t>43</w:t>
        </w:r>
        <w:r w:rsidR="00AD4BEC">
          <w:rPr>
            <w:noProof/>
            <w:webHidden/>
          </w:rPr>
          <w:fldChar w:fldCharType="end"/>
        </w:r>
      </w:hyperlink>
    </w:p>
    <w:p w:rsidR="00AD4BEC" w:rsidRDefault="00E86701" w:rsidP="00AD4BEC">
      <w:pPr>
        <w:pStyle w:val="TableofFigures"/>
        <w:tabs>
          <w:tab w:val="right" w:leader="dot" w:pos="9010"/>
        </w:tabs>
        <w:spacing w:after="120"/>
        <w:rPr>
          <w:rFonts w:asciiTheme="minorHAnsi" w:eastAsiaTheme="minorEastAsia" w:hAnsiTheme="minorHAnsi" w:cstheme="minorBidi"/>
          <w:noProof/>
          <w:sz w:val="22"/>
          <w:szCs w:val="22"/>
          <w:bdr w:val="none" w:sz="0" w:space="0" w:color="auto"/>
          <w:lang w:val="en-NZ" w:eastAsia="en-NZ"/>
        </w:rPr>
      </w:pPr>
      <w:hyperlink w:anchor="_Toc475430726" w:history="1">
        <w:r w:rsidR="00AD4BEC" w:rsidRPr="00F41393">
          <w:rPr>
            <w:rStyle w:val="Hyperlink"/>
            <w:noProof/>
          </w:rPr>
          <w:t>Appendix Table 3: Maximum Likelihood Probit results, marginal effects on probability of teen mothers completing NCEA Level 1 and 2 qualifications, sub-samples without the qualification before the end of the year of their first birth</w:t>
        </w:r>
        <w:r w:rsidR="00AD4BEC">
          <w:rPr>
            <w:noProof/>
            <w:webHidden/>
          </w:rPr>
          <w:tab/>
        </w:r>
        <w:r w:rsidR="00AD4BEC">
          <w:rPr>
            <w:noProof/>
            <w:webHidden/>
          </w:rPr>
          <w:fldChar w:fldCharType="begin"/>
        </w:r>
        <w:r w:rsidR="00AD4BEC">
          <w:rPr>
            <w:noProof/>
            <w:webHidden/>
          </w:rPr>
          <w:instrText xml:space="preserve"> PAGEREF _Toc475430726 \h </w:instrText>
        </w:r>
        <w:r w:rsidR="00AD4BEC">
          <w:rPr>
            <w:noProof/>
            <w:webHidden/>
          </w:rPr>
        </w:r>
        <w:r w:rsidR="00AD4BEC">
          <w:rPr>
            <w:noProof/>
            <w:webHidden/>
          </w:rPr>
          <w:fldChar w:fldCharType="separate"/>
        </w:r>
        <w:r w:rsidR="00AD4BEC">
          <w:rPr>
            <w:noProof/>
            <w:webHidden/>
          </w:rPr>
          <w:t>45</w:t>
        </w:r>
        <w:r w:rsidR="00AD4BEC">
          <w:rPr>
            <w:noProof/>
            <w:webHidden/>
          </w:rPr>
          <w:fldChar w:fldCharType="end"/>
        </w:r>
      </w:hyperlink>
    </w:p>
    <w:p w:rsidR="00AD4BEC" w:rsidRDefault="00E86701" w:rsidP="00AD4BEC">
      <w:pPr>
        <w:pStyle w:val="TableofFigures"/>
        <w:tabs>
          <w:tab w:val="right" w:leader="dot" w:pos="9010"/>
        </w:tabs>
        <w:spacing w:after="120"/>
        <w:rPr>
          <w:rFonts w:asciiTheme="minorHAnsi" w:eastAsiaTheme="minorEastAsia" w:hAnsiTheme="minorHAnsi" w:cstheme="minorBidi"/>
          <w:noProof/>
          <w:sz w:val="22"/>
          <w:szCs w:val="22"/>
          <w:bdr w:val="none" w:sz="0" w:space="0" w:color="auto"/>
          <w:lang w:val="en-NZ" w:eastAsia="en-NZ"/>
        </w:rPr>
      </w:pPr>
      <w:hyperlink w:anchor="_Toc475430727" w:history="1">
        <w:r w:rsidR="00AD4BEC" w:rsidRPr="00F41393">
          <w:rPr>
            <w:rStyle w:val="Hyperlink"/>
            <w:noProof/>
          </w:rPr>
          <w:t>Appendix Table 4: Maximum Likelihood Probit results, estimated effects for all young women at age of 14 on the probability of birth</w:t>
        </w:r>
        <w:r w:rsidR="00AD4BEC">
          <w:rPr>
            <w:noProof/>
            <w:webHidden/>
          </w:rPr>
          <w:tab/>
        </w:r>
        <w:r w:rsidR="00AD4BEC">
          <w:rPr>
            <w:noProof/>
            <w:webHidden/>
          </w:rPr>
          <w:fldChar w:fldCharType="begin"/>
        </w:r>
        <w:r w:rsidR="00AD4BEC">
          <w:rPr>
            <w:noProof/>
            <w:webHidden/>
          </w:rPr>
          <w:instrText xml:space="preserve"> PAGEREF _Toc475430727 \h </w:instrText>
        </w:r>
        <w:r w:rsidR="00AD4BEC">
          <w:rPr>
            <w:noProof/>
            <w:webHidden/>
          </w:rPr>
        </w:r>
        <w:r w:rsidR="00AD4BEC">
          <w:rPr>
            <w:noProof/>
            <w:webHidden/>
          </w:rPr>
          <w:fldChar w:fldCharType="separate"/>
        </w:r>
        <w:r w:rsidR="00AD4BEC">
          <w:rPr>
            <w:noProof/>
            <w:webHidden/>
          </w:rPr>
          <w:t>47</w:t>
        </w:r>
        <w:r w:rsidR="00AD4BEC">
          <w:rPr>
            <w:noProof/>
            <w:webHidden/>
          </w:rPr>
          <w:fldChar w:fldCharType="end"/>
        </w:r>
      </w:hyperlink>
    </w:p>
    <w:p w:rsidR="00AD4BEC" w:rsidRDefault="00E86701" w:rsidP="00AD4BEC">
      <w:pPr>
        <w:pStyle w:val="TableofFigures"/>
        <w:tabs>
          <w:tab w:val="right" w:leader="dot" w:pos="9010"/>
        </w:tabs>
        <w:spacing w:after="120"/>
        <w:rPr>
          <w:rFonts w:asciiTheme="minorHAnsi" w:eastAsiaTheme="minorEastAsia" w:hAnsiTheme="minorHAnsi" w:cstheme="minorBidi"/>
          <w:noProof/>
          <w:sz w:val="22"/>
          <w:szCs w:val="22"/>
          <w:bdr w:val="none" w:sz="0" w:space="0" w:color="auto"/>
          <w:lang w:val="en-NZ" w:eastAsia="en-NZ"/>
        </w:rPr>
      </w:pPr>
      <w:hyperlink w:anchor="_Toc475430728" w:history="1">
        <w:r w:rsidR="00AD4BEC" w:rsidRPr="00F41393">
          <w:rPr>
            <w:rStyle w:val="Hyperlink"/>
            <w:noProof/>
          </w:rPr>
          <w:t>Appendix Table 5A: Linear Probability Model and Maximum Likelihood Probit results, estimated effects on probability of completing NCEA Level 1 qualification, young teen mothers who enrolled post-birth, sub-samples without the qualification before the end of the year of their first birth</w:t>
        </w:r>
        <w:r w:rsidR="00AD4BEC">
          <w:rPr>
            <w:noProof/>
            <w:webHidden/>
          </w:rPr>
          <w:tab/>
        </w:r>
        <w:r w:rsidR="00AD4BEC">
          <w:rPr>
            <w:noProof/>
            <w:webHidden/>
          </w:rPr>
          <w:fldChar w:fldCharType="begin"/>
        </w:r>
        <w:r w:rsidR="00AD4BEC">
          <w:rPr>
            <w:noProof/>
            <w:webHidden/>
          </w:rPr>
          <w:instrText xml:space="preserve"> PAGEREF _Toc475430728 \h </w:instrText>
        </w:r>
        <w:r w:rsidR="00AD4BEC">
          <w:rPr>
            <w:noProof/>
            <w:webHidden/>
          </w:rPr>
        </w:r>
        <w:r w:rsidR="00AD4BEC">
          <w:rPr>
            <w:noProof/>
            <w:webHidden/>
          </w:rPr>
          <w:fldChar w:fldCharType="separate"/>
        </w:r>
        <w:r w:rsidR="00AD4BEC">
          <w:rPr>
            <w:noProof/>
            <w:webHidden/>
          </w:rPr>
          <w:t>49</w:t>
        </w:r>
        <w:r w:rsidR="00AD4BEC">
          <w:rPr>
            <w:noProof/>
            <w:webHidden/>
          </w:rPr>
          <w:fldChar w:fldCharType="end"/>
        </w:r>
      </w:hyperlink>
    </w:p>
    <w:p w:rsidR="00AD4BEC" w:rsidRDefault="00E86701" w:rsidP="00AD4BEC">
      <w:pPr>
        <w:pStyle w:val="TableofFigures"/>
        <w:tabs>
          <w:tab w:val="right" w:leader="dot" w:pos="9010"/>
        </w:tabs>
        <w:spacing w:after="120"/>
        <w:rPr>
          <w:rFonts w:asciiTheme="minorHAnsi" w:eastAsiaTheme="minorEastAsia" w:hAnsiTheme="minorHAnsi" w:cstheme="minorBidi"/>
          <w:noProof/>
          <w:sz w:val="22"/>
          <w:szCs w:val="22"/>
          <w:bdr w:val="none" w:sz="0" w:space="0" w:color="auto"/>
          <w:lang w:val="en-NZ" w:eastAsia="en-NZ"/>
        </w:rPr>
      </w:pPr>
      <w:hyperlink w:anchor="_Toc475430729" w:history="1">
        <w:r w:rsidR="00AD4BEC" w:rsidRPr="00F41393">
          <w:rPr>
            <w:rStyle w:val="Hyperlink"/>
            <w:noProof/>
          </w:rPr>
          <w:t>Appendix Table 5B: Linear Probability Model and Maximum Likelihood Probit results, estimated effects on probability of completing NCEA Level 2 qualification, young teen mothers who enrolled post-birth,  sub-samples without the qualification before the end of the year of their first birth</w:t>
        </w:r>
        <w:r w:rsidR="00AD4BEC">
          <w:rPr>
            <w:noProof/>
            <w:webHidden/>
          </w:rPr>
          <w:tab/>
        </w:r>
        <w:r w:rsidR="00AD4BEC">
          <w:rPr>
            <w:noProof/>
            <w:webHidden/>
          </w:rPr>
          <w:fldChar w:fldCharType="begin"/>
        </w:r>
        <w:r w:rsidR="00AD4BEC">
          <w:rPr>
            <w:noProof/>
            <w:webHidden/>
          </w:rPr>
          <w:instrText xml:space="preserve"> PAGEREF _Toc475430729 \h </w:instrText>
        </w:r>
        <w:r w:rsidR="00AD4BEC">
          <w:rPr>
            <w:noProof/>
            <w:webHidden/>
          </w:rPr>
        </w:r>
        <w:r w:rsidR="00AD4BEC">
          <w:rPr>
            <w:noProof/>
            <w:webHidden/>
          </w:rPr>
          <w:fldChar w:fldCharType="separate"/>
        </w:r>
        <w:r w:rsidR="00AD4BEC">
          <w:rPr>
            <w:noProof/>
            <w:webHidden/>
          </w:rPr>
          <w:t>51</w:t>
        </w:r>
        <w:r w:rsidR="00AD4BEC">
          <w:rPr>
            <w:noProof/>
            <w:webHidden/>
          </w:rPr>
          <w:fldChar w:fldCharType="end"/>
        </w:r>
      </w:hyperlink>
    </w:p>
    <w:p w:rsidR="00AD4BEC" w:rsidRDefault="00E86701" w:rsidP="00AD4BEC">
      <w:pPr>
        <w:pStyle w:val="TableofFigures"/>
        <w:tabs>
          <w:tab w:val="right" w:leader="dot" w:pos="9010"/>
        </w:tabs>
        <w:spacing w:after="120"/>
        <w:rPr>
          <w:rFonts w:asciiTheme="minorHAnsi" w:eastAsiaTheme="minorEastAsia" w:hAnsiTheme="minorHAnsi" w:cstheme="minorBidi"/>
          <w:noProof/>
          <w:sz w:val="22"/>
          <w:szCs w:val="22"/>
          <w:bdr w:val="none" w:sz="0" w:space="0" w:color="auto"/>
          <w:lang w:val="en-NZ" w:eastAsia="en-NZ"/>
        </w:rPr>
      </w:pPr>
      <w:hyperlink w:anchor="_Toc475430730" w:history="1">
        <w:r w:rsidR="00AD4BEC" w:rsidRPr="00F41393">
          <w:rPr>
            <w:rStyle w:val="Hyperlink"/>
            <w:noProof/>
          </w:rPr>
          <w:t>Appendix Table 6: Maximum Likelihood Probit results, marginal effects on probability of teen mothers completing NCEA Level 1 and 2 qualifications, sub-samples of women at age 14 who did not have a teen (under age 19) birth</w:t>
        </w:r>
        <w:r w:rsidR="00AD4BEC">
          <w:rPr>
            <w:noProof/>
            <w:webHidden/>
          </w:rPr>
          <w:tab/>
        </w:r>
        <w:r w:rsidR="00AD4BEC">
          <w:rPr>
            <w:noProof/>
            <w:webHidden/>
          </w:rPr>
          <w:fldChar w:fldCharType="begin"/>
        </w:r>
        <w:r w:rsidR="00AD4BEC">
          <w:rPr>
            <w:noProof/>
            <w:webHidden/>
          </w:rPr>
          <w:instrText xml:space="preserve"> PAGEREF _Toc475430730 \h </w:instrText>
        </w:r>
        <w:r w:rsidR="00AD4BEC">
          <w:rPr>
            <w:noProof/>
            <w:webHidden/>
          </w:rPr>
        </w:r>
        <w:r w:rsidR="00AD4BEC">
          <w:rPr>
            <w:noProof/>
            <w:webHidden/>
          </w:rPr>
          <w:fldChar w:fldCharType="separate"/>
        </w:r>
        <w:r w:rsidR="00AD4BEC">
          <w:rPr>
            <w:noProof/>
            <w:webHidden/>
          </w:rPr>
          <w:t>53</w:t>
        </w:r>
        <w:r w:rsidR="00AD4BEC">
          <w:rPr>
            <w:noProof/>
            <w:webHidden/>
          </w:rPr>
          <w:fldChar w:fldCharType="end"/>
        </w:r>
      </w:hyperlink>
    </w:p>
    <w:p w:rsidR="00EB1E61" w:rsidRDefault="006C39FE" w:rsidP="00AD4BEC">
      <w:pPr>
        <w:pStyle w:val="Heading"/>
        <w:spacing w:before="120" w:after="120" w:line="240" w:lineRule="auto"/>
      </w:pPr>
      <w:r>
        <w:rPr>
          <w:rFonts w:ascii="Times New Roman" w:hAnsi="Times New Roman" w:cs="Times New Roman"/>
          <w:sz w:val="22"/>
          <w:szCs w:val="22"/>
        </w:rPr>
        <w:fldChar w:fldCharType="end"/>
      </w:r>
    </w:p>
    <w:p w:rsidR="007D59CA" w:rsidRPr="007D59CA" w:rsidRDefault="00EB1E61" w:rsidP="00EB1E61">
      <w:pPr>
        <w:pStyle w:val="Body"/>
        <w:spacing w:after="240"/>
      </w:pPr>
      <w:r>
        <w:rPr>
          <w:b/>
          <w:sz w:val="32"/>
          <w:szCs w:val="32"/>
        </w:rPr>
        <w:t>List of Figures</w:t>
      </w:r>
    </w:p>
    <w:p w:rsidR="003E4D42" w:rsidRDefault="00E8786C">
      <w:pPr>
        <w:pStyle w:val="TableofFigures"/>
        <w:tabs>
          <w:tab w:val="right" w:leader="dot" w:pos="9010"/>
        </w:tabs>
        <w:rPr>
          <w:rFonts w:asciiTheme="minorHAnsi" w:eastAsiaTheme="minorEastAsia" w:hAnsiTheme="minorHAnsi" w:cstheme="minorBidi"/>
          <w:noProof/>
          <w:sz w:val="22"/>
          <w:szCs w:val="22"/>
          <w:bdr w:val="none" w:sz="0" w:space="0" w:color="auto"/>
          <w:lang w:val="en-NZ" w:eastAsia="en-NZ"/>
        </w:rPr>
      </w:pPr>
      <w:r>
        <w:fldChar w:fldCharType="begin"/>
      </w:r>
      <w:r>
        <w:instrText xml:space="preserve"> TOC \h \z \c "Figure" </w:instrText>
      </w:r>
      <w:r>
        <w:fldChar w:fldCharType="separate"/>
      </w:r>
      <w:hyperlink w:anchor="_Toc474320091" w:history="1">
        <w:r w:rsidR="003E4D42" w:rsidRPr="00525AEF">
          <w:rPr>
            <w:rStyle w:val="Hyperlink"/>
            <w:noProof/>
          </w:rPr>
          <w:t>Appendix Figure 1: Historical teen fertility rates in New Zealand</w:t>
        </w:r>
        <w:r w:rsidR="003E4D42">
          <w:rPr>
            <w:noProof/>
            <w:webHidden/>
          </w:rPr>
          <w:tab/>
        </w:r>
        <w:r w:rsidR="003E4D42">
          <w:rPr>
            <w:noProof/>
            <w:webHidden/>
          </w:rPr>
          <w:fldChar w:fldCharType="begin"/>
        </w:r>
        <w:r w:rsidR="003E4D42">
          <w:rPr>
            <w:noProof/>
            <w:webHidden/>
          </w:rPr>
          <w:instrText xml:space="preserve"> PAGEREF _Toc474320091 \h </w:instrText>
        </w:r>
        <w:r w:rsidR="003E4D42">
          <w:rPr>
            <w:noProof/>
            <w:webHidden/>
          </w:rPr>
        </w:r>
        <w:r w:rsidR="003E4D42">
          <w:rPr>
            <w:noProof/>
            <w:webHidden/>
          </w:rPr>
          <w:fldChar w:fldCharType="separate"/>
        </w:r>
        <w:r w:rsidR="003E4D42">
          <w:rPr>
            <w:noProof/>
            <w:webHidden/>
          </w:rPr>
          <w:t>42</w:t>
        </w:r>
        <w:r w:rsidR="003E4D42">
          <w:rPr>
            <w:noProof/>
            <w:webHidden/>
          </w:rPr>
          <w:fldChar w:fldCharType="end"/>
        </w:r>
      </w:hyperlink>
    </w:p>
    <w:p w:rsidR="006561FB" w:rsidRDefault="00E8786C" w:rsidP="003A6EE8">
      <w:pPr>
        <w:pStyle w:val="Body"/>
        <w:spacing w:after="120"/>
      </w:pPr>
      <w:r>
        <w:fldChar w:fldCharType="end"/>
      </w:r>
    </w:p>
    <w:p w:rsidR="006561FB" w:rsidRDefault="006561FB" w:rsidP="006561FB">
      <w:pPr>
        <w:pStyle w:val="Body"/>
      </w:pPr>
    </w:p>
    <w:p w:rsidR="006561FB" w:rsidRDefault="006561FB" w:rsidP="006561FB">
      <w:pPr>
        <w:pStyle w:val="Body"/>
      </w:pPr>
    </w:p>
    <w:p w:rsidR="006561FB" w:rsidRDefault="006561FB" w:rsidP="006561FB">
      <w:pPr>
        <w:pStyle w:val="Body"/>
      </w:pPr>
    </w:p>
    <w:p w:rsidR="006561FB" w:rsidRDefault="006561FB" w:rsidP="006561FB">
      <w:pPr>
        <w:pStyle w:val="Body"/>
      </w:pPr>
    </w:p>
    <w:p w:rsidR="00BD11EE" w:rsidRDefault="00BD11EE">
      <w:pPr>
        <w:rPr>
          <w:rFonts w:cs="Arial Unicode MS"/>
          <w:color w:val="000000"/>
          <w:szCs w:val="22"/>
          <w:u w:color="000000"/>
          <w:lang w:val="en-SG" w:eastAsia="en-SG"/>
        </w:rPr>
      </w:pPr>
      <w:r>
        <w:br w:type="page"/>
      </w:r>
    </w:p>
    <w:p w:rsidR="00E9637D" w:rsidRPr="0021065A" w:rsidRDefault="00E9637D" w:rsidP="0021065A">
      <w:pPr>
        <w:pStyle w:val="Heading1"/>
        <w:numPr>
          <w:ilvl w:val="0"/>
          <w:numId w:val="0"/>
        </w:numPr>
        <w:rPr>
          <w:rFonts w:ascii="Times New Roman" w:hAnsi="Times New Roman" w:cs="Times New Roman"/>
          <w:lang w:val="fr-FR"/>
        </w:rPr>
      </w:pPr>
      <w:bookmarkStart w:id="2" w:name="_Toc434243804"/>
      <w:bookmarkStart w:id="3" w:name="_Toc434503195"/>
      <w:bookmarkStart w:id="4" w:name="_Toc473803304"/>
      <w:r w:rsidRPr="0021065A">
        <w:rPr>
          <w:rFonts w:ascii="Times New Roman" w:hAnsi="Times New Roman" w:cs="Times New Roman"/>
          <w:lang w:val="fr-FR"/>
        </w:rPr>
        <w:t>Executive Summary</w:t>
      </w:r>
      <w:bookmarkEnd w:id="2"/>
      <w:bookmarkEnd w:id="3"/>
      <w:bookmarkEnd w:id="4"/>
    </w:p>
    <w:p w:rsidR="00E9637D" w:rsidRDefault="00E9637D" w:rsidP="00E9637D"/>
    <w:p w:rsidR="004E326D" w:rsidRDefault="005769C2" w:rsidP="00766CF3">
      <w:pPr>
        <w:pStyle w:val="Body"/>
        <w:jc w:val="both"/>
        <w:rPr>
          <w:lang w:val="en-US"/>
        </w:rPr>
      </w:pPr>
      <w:r>
        <w:rPr>
          <w:lang w:val="en-US"/>
        </w:rPr>
        <w:t>This r</w:t>
      </w:r>
      <w:r w:rsidR="00766CF3">
        <w:rPr>
          <w:lang w:val="en-US"/>
        </w:rPr>
        <w:t>eport</w:t>
      </w:r>
      <w:r w:rsidR="00766CF3" w:rsidRPr="00B12C8E">
        <w:rPr>
          <w:lang w:val="en-US"/>
        </w:rPr>
        <w:t xml:space="preserve"> evaluates a unique intervention in New Zealand, where some teenage mothers have the opportunity to </w:t>
      </w:r>
      <w:r w:rsidR="00BA2811">
        <w:rPr>
          <w:lang w:val="en-US"/>
        </w:rPr>
        <w:t xml:space="preserve">complete their secondary </w:t>
      </w:r>
      <w:r w:rsidR="00F825F5">
        <w:rPr>
          <w:lang w:val="en-US"/>
        </w:rPr>
        <w:t>schooling at a</w:t>
      </w:r>
      <w:r w:rsidR="00766CF3" w:rsidRPr="00B12C8E">
        <w:rPr>
          <w:lang w:val="en-US"/>
        </w:rPr>
        <w:t xml:space="preserve"> Teen Parent Unit (TPU). </w:t>
      </w:r>
    </w:p>
    <w:p w:rsidR="00766CF3" w:rsidRPr="00B12C8E" w:rsidRDefault="00F825F5" w:rsidP="00766CF3">
      <w:pPr>
        <w:pStyle w:val="Body"/>
        <w:jc w:val="both"/>
      </w:pPr>
      <w:r w:rsidRPr="00B12C8E">
        <w:rPr>
          <w:lang w:val="en-US"/>
        </w:rPr>
        <w:t xml:space="preserve">TPUs are </w:t>
      </w:r>
      <w:r>
        <w:rPr>
          <w:lang w:val="en-US"/>
        </w:rPr>
        <w:t xml:space="preserve">governed by </w:t>
      </w:r>
      <w:r w:rsidRPr="00B12C8E">
        <w:rPr>
          <w:lang w:val="en-US"/>
        </w:rPr>
        <w:t>mainstream high</w:t>
      </w:r>
      <w:r>
        <w:rPr>
          <w:lang w:val="en-US"/>
        </w:rPr>
        <w:t xml:space="preserve"> </w:t>
      </w:r>
      <w:r w:rsidRPr="00B12C8E">
        <w:rPr>
          <w:lang w:val="en-US"/>
        </w:rPr>
        <w:t>schools (</w:t>
      </w:r>
      <w:r>
        <w:rPr>
          <w:lang w:val="en-US"/>
        </w:rPr>
        <w:t>“</w:t>
      </w:r>
      <w:r w:rsidRPr="00B12C8E">
        <w:rPr>
          <w:lang w:val="en-US"/>
        </w:rPr>
        <w:t xml:space="preserve">TPU </w:t>
      </w:r>
      <w:r>
        <w:rPr>
          <w:lang w:val="en-US"/>
        </w:rPr>
        <w:t xml:space="preserve">governing </w:t>
      </w:r>
      <w:r w:rsidRPr="00B12C8E">
        <w:rPr>
          <w:lang w:val="en-US"/>
        </w:rPr>
        <w:t>schools</w:t>
      </w:r>
      <w:r>
        <w:rPr>
          <w:lang w:val="en-US"/>
        </w:rPr>
        <w:t>”</w:t>
      </w:r>
      <w:r w:rsidRPr="00B12C8E">
        <w:rPr>
          <w:lang w:val="en-US"/>
        </w:rPr>
        <w:t>)</w:t>
      </w:r>
      <w:r w:rsidR="00673FB8">
        <w:rPr>
          <w:lang w:val="en-US"/>
        </w:rPr>
        <w:t>, and</w:t>
      </w:r>
      <w:r w:rsidR="005769C2">
        <w:rPr>
          <w:lang w:val="en-US"/>
        </w:rPr>
        <w:t xml:space="preserve"> are</w:t>
      </w:r>
      <w:r>
        <w:rPr>
          <w:lang w:val="en-US"/>
        </w:rPr>
        <w:t xml:space="preserve"> </w:t>
      </w:r>
      <w:r w:rsidR="00766CF3" w:rsidRPr="00B12C8E">
        <w:rPr>
          <w:lang w:val="en-US"/>
        </w:rPr>
        <w:t xml:space="preserve">specifically designed for </w:t>
      </w:r>
      <w:r w:rsidR="00F156FE">
        <w:rPr>
          <w:lang w:val="en-US"/>
        </w:rPr>
        <w:t>teenag</w:t>
      </w:r>
      <w:r w:rsidR="00F21610">
        <w:rPr>
          <w:lang w:val="en-US"/>
        </w:rPr>
        <w:t>ers</w:t>
      </w:r>
      <w:r w:rsidR="00766CF3">
        <w:rPr>
          <w:lang w:val="en-US"/>
        </w:rPr>
        <w:t xml:space="preserve"> who are </w:t>
      </w:r>
      <w:r w:rsidR="00766CF3" w:rsidRPr="00B12C8E">
        <w:rPr>
          <w:lang w:val="en-US"/>
        </w:rPr>
        <w:t xml:space="preserve">pregnant </w:t>
      </w:r>
      <w:r w:rsidR="00766CF3">
        <w:rPr>
          <w:lang w:val="en-US"/>
        </w:rPr>
        <w:t>or parent</w:t>
      </w:r>
      <w:r w:rsidR="009D2773">
        <w:rPr>
          <w:lang w:val="en-US"/>
        </w:rPr>
        <w:t>s</w:t>
      </w:r>
      <w:r w:rsidR="00F156FE">
        <w:rPr>
          <w:lang w:val="en-US"/>
        </w:rPr>
        <w:t>.</w:t>
      </w:r>
      <w:r w:rsidR="00766CF3" w:rsidRPr="00B12C8E">
        <w:rPr>
          <w:lang w:val="en-US"/>
        </w:rPr>
        <w:t xml:space="preserve"> </w:t>
      </w:r>
      <w:r w:rsidR="00F156FE">
        <w:rPr>
          <w:lang w:val="en-US"/>
        </w:rPr>
        <w:t>Units</w:t>
      </w:r>
      <w:r w:rsidR="00766CF3" w:rsidRPr="00B12C8E">
        <w:rPr>
          <w:lang w:val="en-US"/>
        </w:rPr>
        <w:t xml:space="preserve"> provide childcare </w:t>
      </w:r>
      <w:r w:rsidR="005C41F5">
        <w:rPr>
          <w:lang w:val="en-US"/>
        </w:rPr>
        <w:t>(often on-site)</w:t>
      </w:r>
      <w:r w:rsidR="00766CF3" w:rsidRPr="00B12C8E">
        <w:rPr>
          <w:lang w:val="en-US"/>
        </w:rPr>
        <w:t>, links to health and other social services</w:t>
      </w:r>
      <w:r w:rsidR="00766CF3">
        <w:rPr>
          <w:lang w:val="en-US"/>
        </w:rPr>
        <w:t>,</w:t>
      </w:r>
      <w:r w:rsidR="00766CF3" w:rsidRPr="00B12C8E">
        <w:rPr>
          <w:lang w:val="en-US"/>
        </w:rPr>
        <w:t xml:space="preserve"> and guidance and mentoring. </w:t>
      </w:r>
      <w:r w:rsidR="00205E17">
        <w:rPr>
          <w:lang w:val="en-US"/>
        </w:rPr>
        <w:t>To date there has been no quantitative study that establishes whether TPUs are effective in improving educational outcomes.</w:t>
      </w:r>
    </w:p>
    <w:p w:rsidR="00673FB8" w:rsidRDefault="007178C3" w:rsidP="00FE3127">
      <w:pPr>
        <w:pStyle w:val="Body"/>
        <w:jc w:val="both"/>
        <w:rPr>
          <w:lang w:val="en-US"/>
        </w:rPr>
      </w:pPr>
      <w:r w:rsidRPr="00B12C8E">
        <w:rPr>
          <w:lang w:val="en-US"/>
        </w:rPr>
        <w:t xml:space="preserve">We find that </w:t>
      </w:r>
      <w:r w:rsidR="0037503E">
        <w:rPr>
          <w:lang w:val="en-US"/>
        </w:rPr>
        <w:t>for</w:t>
      </w:r>
      <w:r w:rsidRPr="00B12C8E">
        <w:rPr>
          <w:lang w:val="en-US"/>
        </w:rPr>
        <w:t xml:space="preserve"> the cohorts studied, access to </w:t>
      </w:r>
      <w:r w:rsidR="00673FB8">
        <w:rPr>
          <w:lang w:val="en-US"/>
        </w:rPr>
        <w:t xml:space="preserve">a </w:t>
      </w:r>
      <w:r w:rsidRPr="00B12C8E">
        <w:rPr>
          <w:lang w:val="en-US"/>
        </w:rPr>
        <w:t xml:space="preserve">TPU increased school enrolment rates and school qualifications </w:t>
      </w:r>
      <w:r w:rsidR="00F156FE">
        <w:rPr>
          <w:lang w:val="en-US"/>
        </w:rPr>
        <w:t>for</w:t>
      </w:r>
      <w:r w:rsidRPr="00B12C8E">
        <w:rPr>
          <w:lang w:val="en-US"/>
        </w:rPr>
        <w:t xml:space="preserve"> teenage mothers</w:t>
      </w:r>
      <w:r w:rsidR="006C2808">
        <w:rPr>
          <w:lang w:val="en-US"/>
        </w:rPr>
        <w:t xml:space="preserve"> aged under 19 at their first birth</w:t>
      </w:r>
      <w:r w:rsidRPr="00B12C8E">
        <w:rPr>
          <w:lang w:val="en-US"/>
        </w:rPr>
        <w:t xml:space="preserve">. </w:t>
      </w:r>
    </w:p>
    <w:p w:rsidR="00673FB8" w:rsidRDefault="007178C3" w:rsidP="00FE3127">
      <w:pPr>
        <w:pStyle w:val="Body"/>
        <w:jc w:val="both"/>
        <w:rPr>
          <w:lang w:val="en-US"/>
        </w:rPr>
      </w:pPr>
      <w:r w:rsidRPr="00B12C8E">
        <w:rPr>
          <w:lang w:val="en-US"/>
        </w:rPr>
        <w:t xml:space="preserve">The school enrolment rate after birth for </w:t>
      </w:r>
      <w:r>
        <w:rPr>
          <w:lang w:val="en-US"/>
        </w:rPr>
        <w:t xml:space="preserve">the </w:t>
      </w:r>
      <w:r w:rsidRPr="00B12C8E">
        <w:rPr>
          <w:lang w:val="en-US"/>
        </w:rPr>
        <w:t xml:space="preserve">teenage mothers </w:t>
      </w:r>
      <w:r>
        <w:rPr>
          <w:lang w:val="en-US"/>
        </w:rPr>
        <w:t xml:space="preserve">studied </w:t>
      </w:r>
      <w:r w:rsidRPr="00B12C8E">
        <w:rPr>
          <w:lang w:val="en-US"/>
        </w:rPr>
        <w:t xml:space="preserve">was </w:t>
      </w:r>
      <w:r w:rsidR="00180727">
        <w:rPr>
          <w:lang w:val="en-US"/>
        </w:rPr>
        <w:t>35</w:t>
      </w:r>
      <w:r w:rsidR="00BB3348">
        <w:rPr>
          <w:lang w:val="en-US"/>
        </w:rPr>
        <w:t xml:space="preserve"> percent. </w:t>
      </w:r>
      <w:r>
        <w:rPr>
          <w:lang w:val="en-US"/>
        </w:rPr>
        <w:t>T</w:t>
      </w:r>
      <w:r w:rsidRPr="00B12C8E">
        <w:rPr>
          <w:lang w:val="en-US"/>
        </w:rPr>
        <w:t>hose who had access to a TPU within 20</w:t>
      </w:r>
      <w:r w:rsidR="00673FB8">
        <w:rPr>
          <w:lang w:val="en-US"/>
        </w:rPr>
        <w:t xml:space="preserve"> </w:t>
      </w:r>
      <w:r w:rsidRPr="00B12C8E">
        <w:rPr>
          <w:lang w:val="en-US"/>
        </w:rPr>
        <w:t xml:space="preserve">km were </w:t>
      </w:r>
      <w:r w:rsidR="0041691B">
        <w:rPr>
          <w:lang w:val="en-US"/>
        </w:rPr>
        <w:t xml:space="preserve">4 </w:t>
      </w:r>
      <w:r w:rsidRPr="00B12C8E">
        <w:rPr>
          <w:lang w:val="en-US"/>
        </w:rPr>
        <w:t>percentage points more likely to enrol i</w:t>
      </w:r>
      <w:r w:rsidR="00F156FE">
        <w:rPr>
          <w:lang w:val="en-US"/>
        </w:rPr>
        <w:t>n</w:t>
      </w:r>
      <w:r w:rsidRPr="00B12C8E">
        <w:rPr>
          <w:lang w:val="en-US"/>
        </w:rPr>
        <w:t xml:space="preserve"> school after giving birth</w:t>
      </w:r>
      <w:r w:rsidR="00E62844">
        <w:rPr>
          <w:lang w:val="en-US"/>
        </w:rPr>
        <w:t xml:space="preserve"> (significant at the 5 percent</w:t>
      </w:r>
      <w:r w:rsidR="0021065A">
        <w:rPr>
          <w:lang w:val="en-US"/>
        </w:rPr>
        <w:t xml:space="preserve"> level)</w:t>
      </w:r>
      <w:r w:rsidRPr="00B12C8E">
        <w:rPr>
          <w:lang w:val="en-US"/>
        </w:rPr>
        <w:t>.</w:t>
      </w:r>
      <w:r>
        <w:rPr>
          <w:lang w:val="en-US"/>
        </w:rPr>
        <w:t xml:space="preserve"> </w:t>
      </w:r>
      <w:r w:rsidR="00ED09D1">
        <w:rPr>
          <w:lang w:val="en-US"/>
        </w:rPr>
        <w:t>T</w:t>
      </w:r>
      <w:r w:rsidR="00ED09D1" w:rsidRPr="00B12C8E">
        <w:rPr>
          <w:lang w:val="en-US"/>
        </w:rPr>
        <w:t>hose who had access to a TPU</w:t>
      </w:r>
      <w:r w:rsidR="00ED09D1">
        <w:rPr>
          <w:lang w:val="en-US"/>
        </w:rPr>
        <w:t xml:space="preserve"> by virtue of being enrolled in a TPU governing school at conception were an additional</w:t>
      </w:r>
      <w:r w:rsidR="00E62844">
        <w:rPr>
          <w:lang w:val="en-US"/>
        </w:rPr>
        <w:t xml:space="preserve"> 11</w:t>
      </w:r>
      <w:r w:rsidR="00ED09D1">
        <w:rPr>
          <w:lang w:val="en-US"/>
        </w:rPr>
        <w:t xml:space="preserve"> percentage points more likely to </w:t>
      </w:r>
      <w:r w:rsidR="00673FB8">
        <w:rPr>
          <w:lang w:val="en-US"/>
        </w:rPr>
        <w:t xml:space="preserve">enrol </w:t>
      </w:r>
      <w:r w:rsidR="00E62844">
        <w:rPr>
          <w:lang w:val="en-US"/>
        </w:rPr>
        <w:t>(</w:t>
      </w:r>
      <w:r w:rsidR="00E62844" w:rsidRPr="009D0EAE">
        <w:rPr>
          <w:lang w:val="en-US"/>
        </w:rPr>
        <w:t>significant at the 1 percent</w:t>
      </w:r>
      <w:r w:rsidR="0021065A" w:rsidRPr="009D0EAE">
        <w:rPr>
          <w:lang w:val="en-US"/>
        </w:rPr>
        <w:t xml:space="preserve"> level)</w:t>
      </w:r>
      <w:r w:rsidR="005769C2" w:rsidRPr="009D0EAE">
        <w:rPr>
          <w:lang w:val="en-US"/>
        </w:rPr>
        <w:t>, and were</w:t>
      </w:r>
      <w:r w:rsidR="00F825F5" w:rsidRPr="009D0EAE">
        <w:rPr>
          <w:lang w:val="en-US"/>
        </w:rPr>
        <w:t xml:space="preserve"> </w:t>
      </w:r>
      <w:r w:rsidR="00673FB8">
        <w:rPr>
          <w:lang w:val="en-US"/>
        </w:rPr>
        <w:t xml:space="preserve">estimated to be </w:t>
      </w:r>
      <w:r w:rsidR="008D363E" w:rsidRPr="009D0EAE">
        <w:rPr>
          <w:lang w:val="en-US"/>
        </w:rPr>
        <w:t xml:space="preserve">more likely to attain </w:t>
      </w:r>
      <w:r w:rsidR="008D363E" w:rsidRPr="009D0EAE">
        <w:t xml:space="preserve">National Certificate in Educational Achievement (NCEA) </w:t>
      </w:r>
      <w:r w:rsidR="008D363E" w:rsidRPr="009D0EAE">
        <w:rPr>
          <w:lang w:val="en-US"/>
        </w:rPr>
        <w:t xml:space="preserve">Level </w:t>
      </w:r>
      <w:r w:rsidR="002B67EB" w:rsidRPr="009D0EAE">
        <w:rPr>
          <w:lang w:val="en-US"/>
        </w:rPr>
        <w:t>1</w:t>
      </w:r>
      <w:r w:rsidR="00205E17" w:rsidRPr="009D0EAE">
        <w:rPr>
          <w:lang w:val="en-US"/>
        </w:rPr>
        <w:t xml:space="preserve"> </w:t>
      </w:r>
      <w:r w:rsidR="00C92F96">
        <w:rPr>
          <w:lang w:val="en-US"/>
        </w:rPr>
        <w:t xml:space="preserve">and 2 </w:t>
      </w:r>
      <w:r w:rsidR="00673FB8">
        <w:rPr>
          <w:lang w:val="en-US"/>
        </w:rPr>
        <w:t>post-birth</w:t>
      </w:r>
      <w:r w:rsidR="00E62844" w:rsidRPr="009D0EAE">
        <w:rPr>
          <w:lang w:val="en-US"/>
        </w:rPr>
        <w:t xml:space="preserve"> (significant at the </w:t>
      </w:r>
      <w:r w:rsidR="00C92F96">
        <w:rPr>
          <w:lang w:val="en-US"/>
        </w:rPr>
        <w:t>1</w:t>
      </w:r>
      <w:r w:rsidR="00E62844" w:rsidRPr="009D0EAE">
        <w:rPr>
          <w:lang w:val="en-US"/>
        </w:rPr>
        <w:t xml:space="preserve"> </w:t>
      </w:r>
      <w:r w:rsidR="00C92F96">
        <w:rPr>
          <w:lang w:val="en-US"/>
        </w:rPr>
        <w:t xml:space="preserve">and </w:t>
      </w:r>
      <w:r w:rsidR="00C92F96" w:rsidRPr="009D0EAE">
        <w:rPr>
          <w:lang w:val="en-US"/>
        </w:rPr>
        <w:t>5 percent level</w:t>
      </w:r>
      <w:r w:rsidR="00F90C0E">
        <w:rPr>
          <w:lang w:val="en-US"/>
        </w:rPr>
        <w:t>s</w:t>
      </w:r>
      <w:r w:rsidR="00C92F96">
        <w:rPr>
          <w:lang w:val="en-US"/>
        </w:rPr>
        <w:t xml:space="preserve"> respectively)</w:t>
      </w:r>
      <w:r w:rsidR="008D363E" w:rsidRPr="009D0EAE">
        <w:rPr>
          <w:lang w:val="en-US"/>
        </w:rPr>
        <w:t>.</w:t>
      </w:r>
      <w:r w:rsidR="00FE3127" w:rsidRPr="009D0EAE">
        <w:rPr>
          <w:lang w:val="en-US"/>
        </w:rPr>
        <w:t xml:space="preserve"> </w:t>
      </w:r>
    </w:p>
    <w:p w:rsidR="00BD5DBB" w:rsidRDefault="00BD5DBB" w:rsidP="00FE3127">
      <w:pPr>
        <w:pStyle w:val="Body"/>
        <w:jc w:val="both"/>
        <w:rPr>
          <w:lang w:val="en-NZ"/>
        </w:rPr>
      </w:pPr>
      <w:r w:rsidRPr="009D0EAE">
        <w:rPr>
          <w:lang w:val="en-US"/>
        </w:rPr>
        <w:t xml:space="preserve">We </w:t>
      </w:r>
      <w:r w:rsidR="008456DD" w:rsidRPr="009D0EAE">
        <w:rPr>
          <w:lang w:val="en-US"/>
        </w:rPr>
        <w:t xml:space="preserve">estimate that for teen mothers </w:t>
      </w:r>
      <w:r w:rsidR="00FE3127" w:rsidRPr="009D0EAE">
        <w:rPr>
          <w:lang w:val="en-US"/>
        </w:rPr>
        <w:t>without</w:t>
      </w:r>
      <w:r w:rsidR="008456DD" w:rsidRPr="009D0EAE">
        <w:rPr>
          <w:lang w:val="en-US"/>
        </w:rPr>
        <w:t xml:space="preserve"> </w:t>
      </w:r>
      <w:r w:rsidR="00FE3127" w:rsidRPr="009D0EAE">
        <w:rPr>
          <w:lang w:val="en-US"/>
        </w:rPr>
        <w:t>qualifications</w:t>
      </w:r>
      <w:r w:rsidR="008456DD" w:rsidRPr="009D0EAE">
        <w:rPr>
          <w:lang w:val="en-US"/>
        </w:rPr>
        <w:t xml:space="preserve"> </w:t>
      </w:r>
      <w:r w:rsidR="00FE3127" w:rsidRPr="009D0EAE">
        <w:rPr>
          <w:lang w:val="en-US"/>
        </w:rPr>
        <w:t>who</w:t>
      </w:r>
      <w:r w:rsidR="008456DD" w:rsidRPr="009D0EAE">
        <w:rPr>
          <w:lang w:val="en-US"/>
        </w:rPr>
        <w:t xml:space="preserve"> enrolled in school post-birth, enrolling in a school with a TPU </w:t>
      </w:r>
      <w:r w:rsidRPr="009D0EAE">
        <w:rPr>
          <w:lang w:val="en-US"/>
        </w:rPr>
        <w:t>increase</w:t>
      </w:r>
      <w:r w:rsidR="008456DD" w:rsidRPr="009D0EAE">
        <w:rPr>
          <w:lang w:val="en-US"/>
        </w:rPr>
        <w:t>d</w:t>
      </w:r>
      <w:r w:rsidRPr="009D0EAE">
        <w:rPr>
          <w:lang w:val="en-US"/>
        </w:rPr>
        <w:t xml:space="preserve"> the probability of attaining </w:t>
      </w:r>
      <w:r w:rsidR="00FE3127" w:rsidRPr="009D0EAE">
        <w:rPr>
          <w:lang w:val="en-US"/>
        </w:rPr>
        <w:t>NCEA Level 1</w:t>
      </w:r>
      <w:r w:rsidRPr="009D0EAE">
        <w:rPr>
          <w:lang w:val="en-US"/>
        </w:rPr>
        <w:t xml:space="preserve"> </w:t>
      </w:r>
      <w:r w:rsidRPr="009D0EAE">
        <w:rPr>
          <w:lang w:val="en-NZ"/>
        </w:rPr>
        <w:t>from 37 to 59 percent</w:t>
      </w:r>
      <w:r w:rsidR="00FE3127" w:rsidRPr="009D0EAE">
        <w:rPr>
          <w:lang w:val="en-NZ"/>
        </w:rPr>
        <w:t xml:space="preserve"> (</w:t>
      </w:r>
      <w:r w:rsidR="00FE3127" w:rsidRPr="009D0EAE">
        <w:rPr>
          <w:lang w:val="en-US"/>
        </w:rPr>
        <w:t>significant at the 5 percent level)</w:t>
      </w:r>
      <w:r w:rsidRPr="009D0EAE">
        <w:rPr>
          <w:lang w:val="en-NZ"/>
        </w:rPr>
        <w:t>.</w:t>
      </w:r>
      <w:r>
        <w:rPr>
          <w:lang w:val="en-NZ"/>
        </w:rPr>
        <w:t xml:space="preserve">  </w:t>
      </w:r>
    </w:p>
    <w:p w:rsidR="005769C2" w:rsidRDefault="005769C2" w:rsidP="005769C2">
      <w:pPr>
        <w:pStyle w:val="Body"/>
        <w:jc w:val="both"/>
      </w:pPr>
      <w:r>
        <w:t>We check</w:t>
      </w:r>
      <w:r w:rsidR="00F8715A">
        <w:t>ed</w:t>
      </w:r>
      <w:r>
        <w:t xml:space="preserve"> whether the effect</w:t>
      </w:r>
      <w:r w:rsidR="00673FB8">
        <w:t xml:space="preserve">s found can be interpreted as causal </w:t>
      </w:r>
      <w:r>
        <w:t>by testing alternative hypotheses. One such alternative hypothesis is that TPU governing schools were general</w:t>
      </w:r>
      <w:r w:rsidR="00041C2E">
        <w:t>ly</w:t>
      </w:r>
      <w:r>
        <w:t xml:space="preserve"> “better quality” schools and therefore the impact observed for teen mothers is due </w:t>
      </w:r>
      <w:r w:rsidR="00041C2E">
        <w:t xml:space="preserve">partly </w:t>
      </w:r>
      <w:r>
        <w:t xml:space="preserve">to the nature of the </w:t>
      </w:r>
      <w:r w:rsidR="00826D8D">
        <w:t xml:space="preserve">governing </w:t>
      </w:r>
      <w:r>
        <w:t>school</w:t>
      </w:r>
      <w:r w:rsidR="00673FB8">
        <w:t>s</w:t>
      </w:r>
      <w:r>
        <w:t xml:space="preserve"> rather than a causal impact of the fact </w:t>
      </w:r>
      <w:r w:rsidR="00041C2E">
        <w:t>that</w:t>
      </w:r>
      <w:r>
        <w:t xml:space="preserve"> the school</w:t>
      </w:r>
      <w:r w:rsidR="00673FB8">
        <w:t>s</w:t>
      </w:r>
      <w:r>
        <w:t xml:space="preserve"> hosted a TPU. W</w:t>
      </w:r>
      <w:r w:rsidRPr="00B12C8E">
        <w:t xml:space="preserve">e test whether </w:t>
      </w:r>
      <w:r>
        <w:t xml:space="preserve">TPU governing </w:t>
      </w:r>
      <w:r w:rsidRPr="00B12C8E">
        <w:t>schools generally perform better for young women</w:t>
      </w:r>
      <w:r w:rsidR="003E1573">
        <w:t xml:space="preserve">.  Results </w:t>
      </w:r>
      <w:r w:rsidRPr="00C72D2B">
        <w:t>suggests that</w:t>
      </w:r>
      <w:r>
        <w:t>,</w:t>
      </w:r>
      <w:r w:rsidRPr="00C72D2B">
        <w:t xml:space="preserve"> overall, TPU </w:t>
      </w:r>
      <w:r>
        <w:t>governing</w:t>
      </w:r>
      <w:r w:rsidRPr="00C72D2B">
        <w:t xml:space="preserve"> schools tend to </w:t>
      </w:r>
      <w:r w:rsidR="00BA28EE">
        <w:t>be associated with</w:t>
      </w:r>
      <w:r w:rsidR="00041C2E">
        <w:t xml:space="preserve"> </w:t>
      </w:r>
      <w:r w:rsidRPr="00C72D2B">
        <w:t>poorer</w:t>
      </w:r>
      <w:r>
        <w:t xml:space="preserve"> educational outcomes</w:t>
      </w:r>
      <w:r w:rsidRPr="00C72D2B">
        <w:t xml:space="preserve"> for young women</w:t>
      </w:r>
      <w:r w:rsidR="00593D20">
        <w:t xml:space="preserve"> overall</w:t>
      </w:r>
      <w:r>
        <w:t xml:space="preserve">, </w:t>
      </w:r>
      <w:r w:rsidRPr="00C72D2B">
        <w:t>strengthening our confidence that we have estimated the impact</w:t>
      </w:r>
      <w:r w:rsidR="00041C2E">
        <w:t>s</w:t>
      </w:r>
      <w:r w:rsidRPr="00C72D2B">
        <w:t xml:space="preserve"> of the TPUs</w:t>
      </w:r>
      <w:r>
        <w:t>,</w:t>
      </w:r>
      <w:r w:rsidRPr="00C72D2B">
        <w:t xml:space="preserve"> rather than</w:t>
      </w:r>
      <w:r>
        <w:t xml:space="preserve"> the effect</w:t>
      </w:r>
      <w:r w:rsidR="00041C2E">
        <w:t>s</w:t>
      </w:r>
      <w:r>
        <w:t xml:space="preserve"> of</w:t>
      </w:r>
      <w:r w:rsidRPr="00C72D2B">
        <w:t xml:space="preserve"> more general differences in outcomes</w:t>
      </w:r>
      <w:r w:rsidR="00041C2E">
        <w:t xml:space="preserve"> for all students in the</w:t>
      </w:r>
      <w:r w:rsidR="00826D8D">
        <w:t xml:space="preserve"> governing</w:t>
      </w:r>
      <w:r w:rsidR="00041C2E">
        <w:t xml:space="preserve"> schools</w:t>
      </w:r>
      <w:r w:rsidRPr="00C72D2B">
        <w:t>.</w:t>
      </w:r>
      <w:r w:rsidRPr="00B12C8E">
        <w:t xml:space="preserve"> </w:t>
      </w:r>
    </w:p>
    <w:p w:rsidR="005769C2" w:rsidRPr="009D0EAE" w:rsidRDefault="005769C2" w:rsidP="005769C2">
      <w:pPr>
        <w:pStyle w:val="Body"/>
        <w:jc w:val="both"/>
        <w:rPr>
          <w:lang w:val="en-US"/>
        </w:rPr>
      </w:pPr>
      <w:r>
        <w:t xml:space="preserve">A second alternative hypothesis is that young women with access to TPU schools were more likely to continue their pregnancy to </w:t>
      </w:r>
      <w:r w:rsidR="00673FB8">
        <w:t>term</w:t>
      </w:r>
      <w:r>
        <w:t xml:space="preserve">. This might lead to selection on unobserved variables, since more motivated or ambitious young women might </w:t>
      </w:r>
      <w:r w:rsidR="00214AD8">
        <w:t xml:space="preserve">be more likely to </w:t>
      </w:r>
      <w:r w:rsidR="00673FB8">
        <w:t xml:space="preserve">continue their pregnancy </w:t>
      </w:r>
      <w:r>
        <w:t xml:space="preserve">because they were able to make use of the TPU to continue their study.  </w:t>
      </w:r>
      <w:r>
        <w:rPr>
          <w:lang w:val="en-US"/>
        </w:rPr>
        <w:t xml:space="preserve">We find no evidence </w:t>
      </w:r>
      <w:r w:rsidRPr="009D0EAE">
        <w:rPr>
          <w:lang w:val="en-US"/>
        </w:rPr>
        <w:t xml:space="preserve">of such a phenomenon. </w:t>
      </w:r>
    </w:p>
    <w:p w:rsidR="00673FB8" w:rsidRDefault="00F258BB" w:rsidP="00720ED8">
      <w:pPr>
        <w:pStyle w:val="Body"/>
        <w:jc w:val="both"/>
      </w:pPr>
      <w:r w:rsidRPr="009D0EAE">
        <w:t xml:space="preserve">Impact evaluation based on administrative data </w:t>
      </w:r>
      <w:r w:rsidR="008278C0" w:rsidRPr="009D0EAE">
        <w:t xml:space="preserve">has a number of limitations.  It </w:t>
      </w:r>
      <w:r w:rsidR="00720ED8" w:rsidRPr="009D0EAE">
        <w:t xml:space="preserve">does not </w:t>
      </w:r>
      <w:r w:rsidRPr="009D0EAE">
        <w:t>allow all of the outcomes sought by programmes to be measured</w:t>
      </w:r>
      <w:r w:rsidR="008278C0" w:rsidRPr="009D0EAE">
        <w:t xml:space="preserve">, and errors in data linkage and </w:t>
      </w:r>
      <w:r w:rsidR="00720ED8" w:rsidRPr="009D0EAE">
        <w:rPr>
          <w:rFonts w:cs="Times New Roman"/>
          <w:color w:val="auto"/>
          <w:szCs w:val="24"/>
          <w:lang w:val="en-US" w:eastAsia="en-US"/>
        </w:rPr>
        <w:t>d</w:t>
      </w:r>
      <w:r w:rsidRPr="009D0EAE">
        <w:t xml:space="preserve">ata limitations </w:t>
      </w:r>
      <w:r w:rsidR="008278C0" w:rsidRPr="009D0EAE">
        <w:t xml:space="preserve">inevitably </w:t>
      </w:r>
      <w:r w:rsidRPr="009D0EAE">
        <w:t>result in some degree of imprecision in the estimation of true impacts</w:t>
      </w:r>
      <w:r w:rsidR="00720ED8" w:rsidRPr="009D0EAE">
        <w:t xml:space="preserve">. In </w:t>
      </w:r>
      <w:r w:rsidR="008278C0" w:rsidRPr="009D0EAE">
        <w:t xml:space="preserve">this study, </w:t>
      </w:r>
      <w:r w:rsidR="00720ED8" w:rsidRPr="009D0EAE">
        <w:t xml:space="preserve">for example, </w:t>
      </w:r>
      <w:r w:rsidR="008278C0" w:rsidRPr="009D0EAE">
        <w:t xml:space="preserve">in the absence of data on TPU enrolment </w:t>
      </w:r>
      <w:r w:rsidRPr="009D0EAE">
        <w:t xml:space="preserve">we </w:t>
      </w:r>
      <w:r w:rsidR="00720ED8" w:rsidRPr="009D0EAE">
        <w:t xml:space="preserve">assume a </w:t>
      </w:r>
      <w:r w:rsidRPr="009D0EAE">
        <w:t>young mother was enrolled in a TPU</w:t>
      </w:r>
      <w:r w:rsidR="00720ED8" w:rsidRPr="009D0EAE">
        <w:t xml:space="preserve"> </w:t>
      </w:r>
      <w:r w:rsidR="008278C0" w:rsidRPr="009D0EAE">
        <w:t xml:space="preserve">post-birth </w:t>
      </w:r>
      <w:r w:rsidR="00720ED8" w:rsidRPr="009D0EAE">
        <w:t xml:space="preserve">if she </w:t>
      </w:r>
      <w:r w:rsidRPr="009D0EAE">
        <w:t xml:space="preserve">enrolled in </w:t>
      </w:r>
      <w:r w:rsidR="00BA28EE">
        <w:t xml:space="preserve">a </w:t>
      </w:r>
      <w:r w:rsidRPr="009D0EAE">
        <w:t>TPU governing school</w:t>
      </w:r>
      <w:r w:rsidR="008278C0" w:rsidRPr="009D0EAE">
        <w:t>.  T</w:t>
      </w:r>
      <w:r w:rsidR="00720ED8" w:rsidRPr="009D0EAE">
        <w:t>his may not always have been the case.</w:t>
      </w:r>
      <w:r w:rsidR="008278C0" w:rsidRPr="009D0EAE">
        <w:t xml:space="preserve"> </w:t>
      </w:r>
    </w:p>
    <w:p w:rsidR="00720ED8" w:rsidRDefault="008278C0" w:rsidP="00720ED8">
      <w:pPr>
        <w:pStyle w:val="Body"/>
        <w:jc w:val="both"/>
      </w:pPr>
      <w:r w:rsidRPr="009D0EAE">
        <w:t xml:space="preserve">In addition, while the quasi-experimental methods that we use seek to control and test for unobserved selection, this may not have been adequately controlled for in our analysis. </w:t>
      </w:r>
      <w:r w:rsidR="009A55A6" w:rsidRPr="009D0EAE">
        <w:t xml:space="preserve">Only a randomised control trial can fully remove any doubts about selection effects. </w:t>
      </w:r>
      <w:r w:rsidRPr="009D0EAE">
        <w:t>Nevertheless</w:t>
      </w:r>
      <w:r w:rsidR="00BA28EE">
        <w:t>,</w:t>
      </w:r>
      <w:r w:rsidR="00720ED8" w:rsidRPr="009D0EAE">
        <w:t xml:space="preserve"> </w:t>
      </w:r>
      <w:r w:rsidR="009A55A6" w:rsidRPr="009D0EAE">
        <w:t xml:space="preserve">quasi-experimental </w:t>
      </w:r>
      <w:r w:rsidR="00720ED8" w:rsidRPr="009D0EAE">
        <w:t xml:space="preserve">impact evaluations using </w:t>
      </w:r>
      <w:r w:rsidR="009A55A6" w:rsidRPr="009D0EAE">
        <w:t xml:space="preserve">administrative </w:t>
      </w:r>
      <w:r w:rsidR="00720ED8" w:rsidRPr="009D0EAE">
        <w:t>data can form a useful part of the evidence-base on programme effectiveness.</w:t>
      </w:r>
      <w:r w:rsidR="00720ED8">
        <w:t xml:space="preserve"> </w:t>
      </w:r>
    </w:p>
    <w:p w:rsidR="00E9637D" w:rsidRDefault="003E1573" w:rsidP="0042397F">
      <w:pPr>
        <w:pStyle w:val="Body"/>
        <w:jc w:val="both"/>
      </w:pPr>
      <w:r>
        <w:rPr>
          <w:lang w:val="en-US"/>
        </w:rPr>
        <w:t xml:space="preserve">Overall, our </w:t>
      </w:r>
      <w:r w:rsidRPr="00B12C8E">
        <w:rPr>
          <w:lang w:val="en-US"/>
        </w:rPr>
        <w:t>findings indicate that speci</w:t>
      </w:r>
      <w:r>
        <w:rPr>
          <w:lang w:val="en-US"/>
        </w:rPr>
        <w:t>alist</w:t>
      </w:r>
      <w:r w:rsidRPr="00B12C8E">
        <w:rPr>
          <w:lang w:val="en-US"/>
        </w:rPr>
        <w:t xml:space="preserve"> school-based services designed to meet the needs of teenage mothers can reduce the school enrolment gap between teen </w:t>
      </w:r>
      <w:r>
        <w:rPr>
          <w:lang w:val="en-US"/>
        </w:rPr>
        <w:t xml:space="preserve">women who give birth and those who do not. Additionally, these services can </w:t>
      </w:r>
      <w:r w:rsidR="00995775">
        <w:rPr>
          <w:lang w:val="en-US"/>
        </w:rPr>
        <w:t xml:space="preserve">substantially </w:t>
      </w:r>
      <w:r w:rsidRPr="00B12C8E">
        <w:rPr>
          <w:lang w:val="en-US"/>
        </w:rPr>
        <w:t>raise the achievement levels of teen mothers who do enrol in school.</w:t>
      </w:r>
      <w:r w:rsidR="00E9637D">
        <w:br w:type="page"/>
      </w:r>
    </w:p>
    <w:p w:rsidR="00206AAB" w:rsidRPr="00D66BFE" w:rsidRDefault="009A1012" w:rsidP="00206AAB">
      <w:pPr>
        <w:pStyle w:val="Heading1"/>
        <w:ind w:left="709" w:hanging="709"/>
        <w:rPr>
          <w:rFonts w:ascii="Times New Roman" w:hAnsi="Times New Roman" w:cs="Times New Roman"/>
          <w:lang w:val="fr-FR"/>
        </w:rPr>
      </w:pPr>
      <w:bookmarkStart w:id="5" w:name="_Toc473803305"/>
      <w:r w:rsidRPr="001938F4">
        <w:rPr>
          <w:rFonts w:ascii="Times New Roman" w:hAnsi="Times New Roman" w:cs="Times New Roman"/>
          <w:lang w:val="fr-FR"/>
        </w:rPr>
        <w:t>Introduction</w:t>
      </w:r>
      <w:bookmarkEnd w:id="5"/>
    </w:p>
    <w:p w:rsidR="00E05949" w:rsidRPr="00B12C8E" w:rsidRDefault="009A1012" w:rsidP="000471D0">
      <w:pPr>
        <w:pStyle w:val="Body"/>
        <w:jc w:val="both"/>
      </w:pPr>
      <w:r w:rsidRPr="00B12C8E">
        <w:rPr>
          <w:lang w:val="en-US"/>
        </w:rPr>
        <w:t xml:space="preserve">New Zealand has historically had one of the highest teenage </w:t>
      </w:r>
      <w:r w:rsidR="005C41F5">
        <w:rPr>
          <w:lang w:val="en-US"/>
        </w:rPr>
        <w:t>birth</w:t>
      </w:r>
      <w:r w:rsidR="005C41F5" w:rsidRPr="00B12C8E">
        <w:rPr>
          <w:lang w:val="en-US"/>
        </w:rPr>
        <w:t xml:space="preserve"> </w:t>
      </w:r>
      <w:r w:rsidRPr="00B12C8E">
        <w:rPr>
          <w:lang w:val="en-US"/>
        </w:rPr>
        <w:t xml:space="preserve">rates in the OECD </w:t>
      </w:r>
      <w:r w:rsidRPr="00B12C8E">
        <w:t xml:space="preserve">– </w:t>
      </w:r>
      <w:r w:rsidRPr="00B12C8E">
        <w:rPr>
          <w:lang w:val="en-US"/>
        </w:rPr>
        <w:t xml:space="preserve">second only to the United States (Families Commission, 2011). Teen </w:t>
      </w:r>
      <w:r w:rsidR="005C41F5">
        <w:rPr>
          <w:lang w:val="en-US"/>
        </w:rPr>
        <w:t xml:space="preserve">births </w:t>
      </w:r>
      <w:r w:rsidRPr="00B12C8E">
        <w:rPr>
          <w:lang w:val="en-US"/>
        </w:rPr>
        <w:t>are highly concentrated amongst young women from poor families and amongst M</w:t>
      </w:r>
      <w:r w:rsidR="001166C8" w:rsidRPr="0081094F">
        <w:rPr>
          <w:lang w:val="en-US"/>
        </w:rPr>
        <w:t>ā</w:t>
      </w:r>
      <w:r w:rsidRPr="00B12C8E">
        <w:rPr>
          <w:lang w:val="en-US"/>
        </w:rPr>
        <w:t xml:space="preserve">ori and Pacifica. </w:t>
      </w:r>
    </w:p>
    <w:p w:rsidR="00E05949" w:rsidRPr="00B12C8E" w:rsidRDefault="009A1012" w:rsidP="00EB7285">
      <w:pPr>
        <w:pStyle w:val="Body"/>
        <w:jc w:val="both"/>
      </w:pPr>
      <w:r w:rsidRPr="00B12C8E">
        <w:rPr>
          <w:lang w:val="en-US"/>
        </w:rPr>
        <w:t>The causal impact</w:t>
      </w:r>
      <w:r w:rsidR="00EA7C5C">
        <w:rPr>
          <w:lang w:val="en-US"/>
        </w:rPr>
        <w:t>s</w:t>
      </w:r>
      <w:r w:rsidRPr="00B12C8E">
        <w:rPr>
          <w:lang w:val="en-US"/>
        </w:rPr>
        <w:t xml:space="preserve"> of </w:t>
      </w:r>
      <w:r w:rsidR="001166C8" w:rsidRPr="00B12C8E">
        <w:rPr>
          <w:lang w:val="en-US"/>
        </w:rPr>
        <w:t xml:space="preserve">a </w:t>
      </w:r>
      <w:r w:rsidRPr="00B12C8E">
        <w:rPr>
          <w:lang w:val="en-US"/>
        </w:rPr>
        <w:t xml:space="preserve">teenage birth on economic outcomes such as education </w:t>
      </w:r>
      <w:r w:rsidR="00FC70F8">
        <w:rPr>
          <w:lang w:val="en-US"/>
        </w:rPr>
        <w:t>and</w:t>
      </w:r>
      <w:r w:rsidRPr="00B12C8E">
        <w:rPr>
          <w:lang w:val="en-US"/>
        </w:rPr>
        <w:t xml:space="preserve"> wages </w:t>
      </w:r>
      <w:r w:rsidRPr="00B12C8E">
        <w:t xml:space="preserve">are </w:t>
      </w:r>
      <w:r w:rsidRPr="00B12C8E">
        <w:rPr>
          <w:lang w:val="en-US"/>
        </w:rPr>
        <w:t xml:space="preserve">a point of contention amongst scholars </w:t>
      </w:r>
      <w:r w:rsidR="00673FB8">
        <w:rPr>
          <w:lang w:val="en-US"/>
        </w:rPr>
        <w:t>—</w:t>
      </w:r>
      <w:r w:rsidRPr="00B12C8E">
        <w:rPr>
          <w:lang w:val="en-US"/>
        </w:rPr>
        <w:t xml:space="preserve"> especially economists. </w:t>
      </w:r>
      <w:r w:rsidR="00F21610">
        <w:rPr>
          <w:lang w:val="en-US"/>
        </w:rPr>
        <w:t>Simple</w:t>
      </w:r>
      <w:r w:rsidRPr="00B12C8E">
        <w:rPr>
          <w:lang w:val="en-US"/>
        </w:rPr>
        <w:t xml:space="preserve"> correlations tend to show that teen mothers have </w:t>
      </w:r>
      <w:r w:rsidR="00460BF2">
        <w:rPr>
          <w:lang w:val="en-US"/>
        </w:rPr>
        <w:t xml:space="preserve">substantially </w:t>
      </w:r>
      <w:r w:rsidR="005223B4" w:rsidRPr="00B12C8E">
        <w:rPr>
          <w:lang w:val="en-US"/>
        </w:rPr>
        <w:t>worse</w:t>
      </w:r>
      <w:r w:rsidRPr="00B12C8E">
        <w:rPr>
          <w:lang w:val="en-US"/>
        </w:rPr>
        <w:t xml:space="preserve"> economic </w:t>
      </w:r>
      <w:r w:rsidR="00214AD8">
        <w:rPr>
          <w:lang w:val="en-US"/>
        </w:rPr>
        <w:t xml:space="preserve">and educational </w:t>
      </w:r>
      <w:r w:rsidRPr="00B12C8E">
        <w:rPr>
          <w:lang w:val="en-US"/>
        </w:rPr>
        <w:t>outcomes</w:t>
      </w:r>
      <w:r w:rsidR="00460BF2">
        <w:rPr>
          <w:lang w:val="en-US"/>
        </w:rPr>
        <w:t>. H</w:t>
      </w:r>
      <w:r w:rsidR="00F21610">
        <w:rPr>
          <w:lang w:val="en-US"/>
        </w:rPr>
        <w:t>owever</w:t>
      </w:r>
      <w:r w:rsidR="0063534E">
        <w:rPr>
          <w:lang w:val="en-US"/>
        </w:rPr>
        <w:t>,</w:t>
      </w:r>
      <w:r w:rsidR="00F21610">
        <w:rPr>
          <w:lang w:val="en-US"/>
        </w:rPr>
        <w:t xml:space="preserve"> </w:t>
      </w:r>
      <w:r w:rsidRPr="00B12C8E">
        <w:rPr>
          <w:lang w:val="en-US"/>
        </w:rPr>
        <w:t xml:space="preserve">it is likely that teenage mothers are from a selected sample of the population who would have had poorer outcomes even if they had delayed child-birth </w:t>
      </w:r>
      <w:r w:rsidR="00460BF2">
        <w:rPr>
          <w:lang w:val="en-US"/>
        </w:rPr>
        <w:t>beyond their teenage years</w:t>
      </w:r>
      <w:r w:rsidRPr="00B12C8E">
        <w:rPr>
          <w:lang w:val="en-US"/>
        </w:rPr>
        <w:t xml:space="preserve">. In </w:t>
      </w:r>
      <w:r w:rsidR="00040DC1" w:rsidRPr="00B12C8E">
        <w:rPr>
          <w:lang w:val="en-US"/>
        </w:rPr>
        <w:t>summari</w:t>
      </w:r>
      <w:r w:rsidR="00EA7C5C">
        <w:rPr>
          <w:lang w:val="en-US"/>
        </w:rPr>
        <w:t>s</w:t>
      </w:r>
      <w:r w:rsidR="00040DC1" w:rsidRPr="00B12C8E">
        <w:rPr>
          <w:lang w:val="en-US"/>
        </w:rPr>
        <w:t>ing</w:t>
      </w:r>
      <w:r w:rsidRPr="00B12C8E">
        <w:rPr>
          <w:lang w:val="en-US"/>
        </w:rPr>
        <w:t xml:space="preserve"> the literature, Kearney and Levine (201</w:t>
      </w:r>
      <w:r w:rsidR="00F737A1">
        <w:rPr>
          <w:lang w:val="en-US"/>
        </w:rPr>
        <w:t>2</w:t>
      </w:r>
      <w:r w:rsidRPr="00B12C8E">
        <w:rPr>
          <w:lang w:val="en-US"/>
        </w:rPr>
        <w:t>) conclude that a</w:t>
      </w:r>
      <w:r w:rsidR="00F737A1">
        <w:rPr>
          <w:lang w:val="en-US"/>
        </w:rPr>
        <w:t xml:space="preserve"> </w:t>
      </w:r>
      <w:r w:rsidR="00F737A1" w:rsidRPr="00B12C8E">
        <w:rPr>
          <w:lang w:val="en-US"/>
        </w:rPr>
        <w:t>“substantial majority of the observed correlation between teen child</w:t>
      </w:r>
      <w:r w:rsidR="00F737A1">
        <w:rPr>
          <w:lang w:val="en-US"/>
        </w:rPr>
        <w:t>bearing</w:t>
      </w:r>
      <w:r w:rsidR="00F737A1" w:rsidRPr="00B12C8E">
        <w:rPr>
          <w:lang w:val="en-US"/>
        </w:rPr>
        <w:t xml:space="preserve"> and inferior outcomes is the result of underlying differences between those who give birth as a teen and those who do not</w:t>
      </w:r>
      <w:r w:rsidR="00F737A1">
        <w:rPr>
          <w:lang w:val="en-US"/>
        </w:rPr>
        <w:t>.</w:t>
      </w:r>
      <w:r w:rsidR="00F737A1" w:rsidRPr="00B12C8E">
        <w:rPr>
          <w:lang w:val="en-US"/>
        </w:rPr>
        <w:t>”</w:t>
      </w:r>
      <w:r w:rsidR="00F737A1">
        <w:rPr>
          <w:lang w:val="en-US"/>
        </w:rPr>
        <w:t xml:space="preserve"> (p.161.)</w:t>
      </w:r>
      <w:r w:rsidR="009A7BA1">
        <w:rPr>
          <w:lang w:val="en-US"/>
        </w:rPr>
        <w:t xml:space="preserve"> </w:t>
      </w:r>
      <w:r w:rsidRPr="00B12C8E">
        <w:rPr>
          <w:lang w:val="en-US"/>
        </w:rPr>
        <w:t xml:space="preserve"> </w:t>
      </w:r>
      <w:r w:rsidRPr="00B12C8E">
        <w:t xml:space="preserve">  </w:t>
      </w:r>
    </w:p>
    <w:p w:rsidR="00E05949" w:rsidRPr="00B12C8E" w:rsidRDefault="009A1012" w:rsidP="003F5E53">
      <w:pPr>
        <w:pStyle w:val="Body"/>
        <w:jc w:val="both"/>
      </w:pPr>
      <w:r w:rsidRPr="00B12C8E">
        <w:rPr>
          <w:lang w:val="en-US"/>
        </w:rPr>
        <w:t>New Zealand</w:t>
      </w:r>
      <w:r w:rsidR="001166C8" w:rsidRPr="00B12C8E">
        <w:rPr>
          <w:lang w:val="en-US"/>
        </w:rPr>
        <w:t>,</w:t>
      </w:r>
      <w:r w:rsidRPr="00B12C8E">
        <w:rPr>
          <w:lang w:val="en-US"/>
        </w:rPr>
        <w:t xml:space="preserve"> with its high teen birth rate and concentration of teenage births amongst economically deprived populations</w:t>
      </w:r>
      <w:r w:rsidR="001166C8" w:rsidRPr="00B12C8E">
        <w:rPr>
          <w:lang w:val="en-US"/>
        </w:rPr>
        <w:t>,</w:t>
      </w:r>
      <w:r w:rsidRPr="00B12C8E">
        <w:rPr>
          <w:lang w:val="en-US"/>
        </w:rPr>
        <w:t xml:space="preserve"> has taken a two</w:t>
      </w:r>
      <w:r w:rsidR="00CF07B4">
        <w:rPr>
          <w:lang w:val="en-US"/>
        </w:rPr>
        <w:t>-</w:t>
      </w:r>
      <w:r w:rsidRPr="00B12C8E">
        <w:rPr>
          <w:lang w:val="en-US"/>
        </w:rPr>
        <w:t xml:space="preserve">track approach. While </w:t>
      </w:r>
      <w:r w:rsidR="0024741E" w:rsidRPr="00B12C8E">
        <w:rPr>
          <w:lang w:val="en-US"/>
        </w:rPr>
        <w:t>introducing</w:t>
      </w:r>
      <w:r w:rsidR="007A7C38" w:rsidRPr="00B12C8E">
        <w:rPr>
          <w:lang w:val="en-US"/>
        </w:rPr>
        <w:t xml:space="preserve"> some</w:t>
      </w:r>
      <w:r w:rsidR="0024741E" w:rsidRPr="00B12C8E">
        <w:rPr>
          <w:lang w:val="en-US"/>
        </w:rPr>
        <w:t xml:space="preserve"> </w:t>
      </w:r>
      <w:r w:rsidRPr="00B12C8E">
        <w:rPr>
          <w:lang w:val="en-US"/>
        </w:rPr>
        <w:t>policies designed to reduce teenage pregnancies, the Government has also tried to minimise the</w:t>
      </w:r>
      <w:r w:rsidRPr="00B12C8E">
        <w:t xml:space="preserve"> </w:t>
      </w:r>
      <w:r w:rsidRPr="00B12C8E">
        <w:rPr>
          <w:lang w:val="en-US"/>
        </w:rPr>
        <w:t xml:space="preserve">disruption </w:t>
      </w:r>
      <w:r w:rsidR="00F21610">
        <w:rPr>
          <w:lang w:val="en-US"/>
        </w:rPr>
        <w:t>in</w:t>
      </w:r>
      <w:r w:rsidRPr="00B12C8E">
        <w:rPr>
          <w:lang w:val="en-US"/>
        </w:rPr>
        <w:t xml:space="preserve"> schooling </w:t>
      </w:r>
      <w:r w:rsidR="005C41F5">
        <w:rPr>
          <w:lang w:val="en-US"/>
        </w:rPr>
        <w:t>for</w:t>
      </w:r>
      <w:r w:rsidRPr="00B12C8E">
        <w:rPr>
          <w:lang w:val="de-DE"/>
        </w:rPr>
        <w:t xml:space="preserve"> young women</w:t>
      </w:r>
      <w:r w:rsidRPr="00B12C8E">
        <w:rPr>
          <w:lang w:val="en-US"/>
        </w:rPr>
        <w:t xml:space="preserve"> </w:t>
      </w:r>
      <w:r w:rsidR="00EA7C5C">
        <w:rPr>
          <w:lang w:val="en-US"/>
        </w:rPr>
        <w:t xml:space="preserve">enrolled in school before giving </w:t>
      </w:r>
      <w:r w:rsidRPr="00B12C8E">
        <w:rPr>
          <w:lang w:val="en-US"/>
        </w:rPr>
        <w:t>birth</w:t>
      </w:r>
      <w:r w:rsidR="009D7907" w:rsidRPr="00B12C8E">
        <w:rPr>
          <w:lang w:val="en-US"/>
        </w:rPr>
        <w:t xml:space="preserve">, and </w:t>
      </w:r>
      <w:r w:rsidR="0024741E" w:rsidRPr="00B12C8E">
        <w:rPr>
          <w:lang w:val="en-US"/>
        </w:rPr>
        <w:t xml:space="preserve">to </w:t>
      </w:r>
      <w:r w:rsidR="009D7907" w:rsidRPr="00B12C8E">
        <w:rPr>
          <w:lang w:val="en-US"/>
        </w:rPr>
        <w:t>promote second-chance learning for young women who were disengaged from schooling prior to the birth of their child</w:t>
      </w:r>
      <w:r w:rsidRPr="00B12C8E">
        <w:t>.</w:t>
      </w:r>
      <w:r w:rsidRPr="00B12C8E">
        <w:rPr>
          <w:lang w:val="en-US"/>
        </w:rPr>
        <w:t xml:space="preserve"> As the Famil</w:t>
      </w:r>
      <w:r w:rsidR="001166C8" w:rsidRPr="00C905C4">
        <w:rPr>
          <w:lang w:val="en-US"/>
        </w:rPr>
        <w:t>ies</w:t>
      </w:r>
      <w:r w:rsidRPr="00C905C4">
        <w:rPr>
          <w:lang w:val="en-US"/>
        </w:rPr>
        <w:t xml:space="preserve"> Commission </w:t>
      </w:r>
      <w:r w:rsidR="001166C8" w:rsidRPr="00C905C4">
        <w:rPr>
          <w:lang w:val="en-US"/>
        </w:rPr>
        <w:t>over</w:t>
      </w:r>
      <w:r w:rsidRPr="00C905C4">
        <w:rPr>
          <w:lang w:val="en-US"/>
        </w:rPr>
        <w:t>view of teenage pregnanc</w:t>
      </w:r>
      <w:r w:rsidR="001166C8" w:rsidRPr="00C905C4">
        <w:rPr>
          <w:lang w:val="en-US"/>
        </w:rPr>
        <w:t>y and parenting</w:t>
      </w:r>
      <w:r w:rsidRPr="00C905C4">
        <w:rPr>
          <w:lang w:val="en-US"/>
        </w:rPr>
        <w:t xml:space="preserve"> noted, teen mothers </w:t>
      </w:r>
      <w:r w:rsidR="001166C8" w:rsidRPr="00C905C4">
        <w:rPr>
          <w:lang w:val="en-US"/>
        </w:rPr>
        <w:t xml:space="preserve">often </w:t>
      </w:r>
      <w:r w:rsidRPr="00C905C4">
        <w:rPr>
          <w:lang w:val="en-US"/>
        </w:rPr>
        <w:t>struggle to maintain engagement with school</w:t>
      </w:r>
      <w:r w:rsidR="001166C8" w:rsidRPr="00C905C4">
        <w:rPr>
          <w:lang w:val="en-US"/>
        </w:rPr>
        <w:t>.</w:t>
      </w:r>
      <w:r w:rsidRPr="00C905C4">
        <w:rPr>
          <w:lang w:val="en-US"/>
        </w:rPr>
        <w:t xml:space="preserve"> </w:t>
      </w:r>
      <w:r w:rsidRPr="00C905C4">
        <w:t>“</w:t>
      </w:r>
      <w:r w:rsidRPr="00C905C4">
        <w:rPr>
          <w:lang w:val="en-US"/>
        </w:rPr>
        <w:t>Inflexible school policies and procedures, a lack of adequate childcare and other practical difficulties make continuing education in ma</w:t>
      </w:r>
      <w:r w:rsidR="00C67CE1">
        <w:rPr>
          <w:lang w:val="en-US"/>
        </w:rPr>
        <w:t>instream schools very difficult</w:t>
      </w:r>
      <w:r w:rsidRPr="00C905C4">
        <w:t>”</w:t>
      </w:r>
      <w:r w:rsidRPr="00B12C8E">
        <w:t xml:space="preserve"> </w:t>
      </w:r>
      <w:r w:rsidRPr="00B12C8E">
        <w:rPr>
          <w:lang w:val="en-US"/>
        </w:rPr>
        <w:t>(p</w:t>
      </w:r>
      <w:r w:rsidR="009A7BA1">
        <w:rPr>
          <w:lang w:val="en-US"/>
        </w:rPr>
        <w:t>.</w:t>
      </w:r>
      <w:r w:rsidRPr="00B12C8E">
        <w:rPr>
          <w:lang w:val="en-US"/>
        </w:rPr>
        <w:t>15</w:t>
      </w:r>
      <w:r w:rsidR="00EA7C5C">
        <w:rPr>
          <w:lang w:val="en-US"/>
        </w:rPr>
        <w:t>,</w:t>
      </w:r>
      <w:r w:rsidRPr="00B12C8E">
        <w:rPr>
          <w:lang w:val="en-US"/>
        </w:rPr>
        <w:t xml:space="preserve"> Families Commission</w:t>
      </w:r>
      <w:r w:rsidR="00FC70F8">
        <w:rPr>
          <w:lang w:val="en-US"/>
        </w:rPr>
        <w:t>,</w:t>
      </w:r>
      <w:r w:rsidRPr="00B12C8E">
        <w:rPr>
          <w:lang w:val="en-US"/>
        </w:rPr>
        <w:t xml:space="preserve"> 201</w:t>
      </w:r>
      <w:r w:rsidR="001166C8" w:rsidRPr="00B12C8E">
        <w:rPr>
          <w:lang w:val="en-US"/>
        </w:rPr>
        <w:t>1</w:t>
      </w:r>
      <w:r w:rsidRPr="00B12C8E">
        <w:rPr>
          <w:lang w:val="en-US"/>
        </w:rPr>
        <w:t xml:space="preserve">).  </w:t>
      </w:r>
    </w:p>
    <w:p w:rsidR="00E05949" w:rsidRPr="00B12C8E" w:rsidRDefault="009A1012" w:rsidP="000E1753">
      <w:pPr>
        <w:pStyle w:val="Body"/>
        <w:jc w:val="both"/>
      </w:pPr>
      <w:r w:rsidRPr="00B12C8E">
        <w:rPr>
          <w:lang w:val="en-US"/>
        </w:rPr>
        <w:t xml:space="preserve">This paper evaluates a unique intervention in New Zealand where some teenage mothers </w:t>
      </w:r>
      <w:r w:rsidR="007A7C38" w:rsidRPr="00B12C8E">
        <w:rPr>
          <w:lang w:val="en-US"/>
        </w:rPr>
        <w:t>have</w:t>
      </w:r>
      <w:r w:rsidRPr="00B12C8E">
        <w:rPr>
          <w:lang w:val="en-US"/>
        </w:rPr>
        <w:t xml:space="preserve"> the opportunity to </w:t>
      </w:r>
      <w:r w:rsidR="0072534B">
        <w:rPr>
          <w:lang w:val="en-US"/>
        </w:rPr>
        <w:t xml:space="preserve">receive their schooling at </w:t>
      </w:r>
      <w:r w:rsidR="00214AD8">
        <w:rPr>
          <w:lang w:val="en-US"/>
        </w:rPr>
        <w:t xml:space="preserve">a </w:t>
      </w:r>
      <w:r w:rsidRPr="00B12C8E">
        <w:rPr>
          <w:lang w:val="en-US"/>
        </w:rPr>
        <w:t xml:space="preserve">Teen Parent Unit </w:t>
      </w:r>
      <w:r w:rsidR="00560CA9" w:rsidRPr="00B12C8E">
        <w:rPr>
          <w:lang w:val="en-US"/>
        </w:rPr>
        <w:t>(TPU)</w:t>
      </w:r>
      <w:r w:rsidR="0072534B">
        <w:rPr>
          <w:lang w:val="en-US"/>
        </w:rPr>
        <w:t>.</w:t>
      </w:r>
      <w:r w:rsidR="009A7BA1">
        <w:rPr>
          <w:lang w:val="en-US"/>
        </w:rPr>
        <w:t xml:space="preserve"> These </w:t>
      </w:r>
      <w:r w:rsidR="00876ADE">
        <w:rPr>
          <w:lang w:val="en-US"/>
        </w:rPr>
        <w:t>TPUs</w:t>
      </w:r>
      <w:r w:rsidRPr="00B12C8E">
        <w:rPr>
          <w:lang w:val="en-US"/>
        </w:rPr>
        <w:t xml:space="preserve"> </w:t>
      </w:r>
      <w:r w:rsidR="00673FB8">
        <w:rPr>
          <w:lang w:val="en-US"/>
        </w:rPr>
        <w:t>a</w:t>
      </w:r>
      <w:r w:rsidR="00673FB8" w:rsidRPr="00B12C8E">
        <w:rPr>
          <w:lang w:val="en-US"/>
        </w:rPr>
        <w:t>re</w:t>
      </w:r>
      <w:r w:rsidR="00673FB8">
        <w:rPr>
          <w:lang w:val="en-US"/>
        </w:rPr>
        <w:t xml:space="preserve"> </w:t>
      </w:r>
      <w:r w:rsidRPr="00B12C8E">
        <w:rPr>
          <w:lang w:val="en-US"/>
        </w:rPr>
        <w:t xml:space="preserve">specifically designed for </w:t>
      </w:r>
      <w:r w:rsidR="00FC70F8">
        <w:rPr>
          <w:lang w:val="en-US"/>
        </w:rPr>
        <w:t xml:space="preserve">teenagers who are </w:t>
      </w:r>
      <w:r w:rsidR="00560CA9" w:rsidRPr="00B12C8E">
        <w:rPr>
          <w:lang w:val="en-US"/>
        </w:rPr>
        <w:t xml:space="preserve">pregnant </w:t>
      </w:r>
      <w:r w:rsidR="00FC70F8">
        <w:rPr>
          <w:lang w:val="en-US"/>
        </w:rPr>
        <w:t xml:space="preserve">or </w:t>
      </w:r>
      <w:r w:rsidR="009A7BA1">
        <w:rPr>
          <w:lang w:val="en-US"/>
        </w:rPr>
        <w:t xml:space="preserve">already </w:t>
      </w:r>
      <w:r w:rsidR="00FC70F8">
        <w:rPr>
          <w:lang w:val="en-US"/>
        </w:rPr>
        <w:t>parents</w:t>
      </w:r>
      <w:r w:rsidR="009A7BA1">
        <w:rPr>
          <w:lang w:val="en-US"/>
        </w:rPr>
        <w:t>.</w:t>
      </w:r>
      <w:r w:rsidRPr="00B12C8E">
        <w:rPr>
          <w:lang w:val="en-US"/>
        </w:rPr>
        <w:t xml:space="preserve"> </w:t>
      </w:r>
    </w:p>
    <w:p w:rsidR="00E05949" w:rsidRPr="00B12C8E" w:rsidRDefault="009A1012" w:rsidP="005544BD">
      <w:pPr>
        <w:pStyle w:val="Body"/>
        <w:jc w:val="both"/>
      </w:pPr>
      <w:r w:rsidRPr="00B12C8E">
        <w:rPr>
          <w:lang w:val="en-US"/>
        </w:rPr>
        <w:t>Evaluation of this intervention helps to establish whether poor schooling outcomes for teen mothers can be off-set through schooling opportunities that are designed around the needs of young mothers. Our study uses distance to</w:t>
      </w:r>
      <w:r w:rsidRPr="00B12C8E">
        <w:t xml:space="preserve"> TPUs </w:t>
      </w:r>
      <w:r w:rsidRPr="00B12C8E">
        <w:rPr>
          <w:lang w:val="en-US"/>
        </w:rPr>
        <w:t xml:space="preserve">as a proxy for access. Since TPUs </w:t>
      </w:r>
      <w:r w:rsidR="0024741E" w:rsidRPr="00B12C8E">
        <w:rPr>
          <w:lang w:val="en-US"/>
        </w:rPr>
        <w:t xml:space="preserve">are </w:t>
      </w:r>
      <w:r w:rsidRPr="00B12C8E">
        <w:rPr>
          <w:lang w:val="en-US"/>
        </w:rPr>
        <w:t xml:space="preserve">not </w:t>
      </w:r>
      <w:r w:rsidR="007A7C38" w:rsidRPr="00B12C8E">
        <w:rPr>
          <w:lang w:val="en-US"/>
        </w:rPr>
        <w:t>available</w:t>
      </w:r>
      <w:r w:rsidRPr="00B12C8E">
        <w:rPr>
          <w:lang w:val="en-US"/>
        </w:rPr>
        <w:t xml:space="preserve"> across </w:t>
      </w:r>
      <w:r w:rsidR="007A7C38" w:rsidRPr="00B12C8E">
        <w:rPr>
          <w:lang w:val="en-US"/>
        </w:rPr>
        <w:t xml:space="preserve">all areas of </w:t>
      </w:r>
      <w:r w:rsidRPr="00B12C8E">
        <w:rPr>
          <w:lang w:val="en-US"/>
        </w:rPr>
        <w:t>the country, some young women ha</w:t>
      </w:r>
      <w:r w:rsidR="0024741E" w:rsidRPr="00B12C8E">
        <w:rPr>
          <w:lang w:val="en-US"/>
        </w:rPr>
        <w:t>ve</w:t>
      </w:r>
      <w:r w:rsidRPr="00B12C8E">
        <w:rPr>
          <w:lang w:val="en-US"/>
        </w:rPr>
        <w:t xml:space="preserve"> no access to </w:t>
      </w:r>
      <w:r w:rsidR="009A7BA1">
        <w:rPr>
          <w:lang w:val="en-US"/>
        </w:rPr>
        <w:t xml:space="preserve">a </w:t>
      </w:r>
      <w:r w:rsidRPr="00B12C8E">
        <w:rPr>
          <w:lang w:val="en-US"/>
        </w:rPr>
        <w:t>TPU</w:t>
      </w:r>
      <w:r w:rsidR="00593D20">
        <w:rPr>
          <w:lang w:val="en-US"/>
        </w:rPr>
        <w:t xml:space="preserve"> in the surrounding area</w:t>
      </w:r>
      <w:r w:rsidRPr="00B12C8E">
        <w:rPr>
          <w:lang w:val="en-US"/>
        </w:rPr>
        <w:t xml:space="preserve">. We compare </w:t>
      </w:r>
      <w:r w:rsidR="005C41F5">
        <w:rPr>
          <w:lang w:val="en-US"/>
        </w:rPr>
        <w:t>enrolment</w:t>
      </w:r>
      <w:r w:rsidRPr="00B12C8E">
        <w:rPr>
          <w:lang w:val="en-US"/>
        </w:rPr>
        <w:t xml:space="preserve"> rates and educational qualifications of teen mothers in close proximity to a TPU </w:t>
      </w:r>
      <w:r w:rsidR="00EA7C5C">
        <w:rPr>
          <w:lang w:val="en-US"/>
        </w:rPr>
        <w:t>to</w:t>
      </w:r>
      <w:r w:rsidR="00EA7C5C" w:rsidRPr="00B12C8E">
        <w:rPr>
          <w:lang w:val="en-US"/>
        </w:rPr>
        <w:t xml:space="preserve"> </w:t>
      </w:r>
      <w:r w:rsidRPr="00B12C8E">
        <w:rPr>
          <w:lang w:val="en-US"/>
        </w:rPr>
        <w:t xml:space="preserve">those </w:t>
      </w:r>
      <w:r w:rsidR="00052F83" w:rsidRPr="00B12C8E">
        <w:rPr>
          <w:lang w:val="en-US"/>
        </w:rPr>
        <w:t>further afield</w:t>
      </w:r>
      <w:r w:rsidR="00A00661">
        <w:t xml:space="preserve">. </w:t>
      </w:r>
      <w:r w:rsidRPr="00B12C8E">
        <w:rPr>
          <w:lang w:val="en-US"/>
        </w:rPr>
        <w:t xml:space="preserve">We use </w:t>
      </w:r>
      <w:r w:rsidR="0024741E" w:rsidRPr="00B12C8E">
        <w:rPr>
          <w:lang w:val="en-US"/>
        </w:rPr>
        <w:t xml:space="preserve">linked </w:t>
      </w:r>
      <w:r w:rsidRPr="005544BD">
        <w:rPr>
          <w:lang w:val="en-US"/>
        </w:rPr>
        <w:t>administrative data</w:t>
      </w:r>
      <w:r w:rsidR="00CF07B4">
        <w:rPr>
          <w:lang w:val="en-US"/>
        </w:rPr>
        <w:t>,</w:t>
      </w:r>
      <w:r w:rsidRPr="00B12C8E">
        <w:rPr>
          <w:lang w:val="en-US"/>
        </w:rPr>
        <w:t xml:space="preserve"> which allows us to track a near census of young women through their </w:t>
      </w:r>
      <w:r w:rsidR="0024741E" w:rsidRPr="00B12C8E">
        <w:rPr>
          <w:lang w:val="en-US"/>
        </w:rPr>
        <w:t xml:space="preserve">school-age </w:t>
      </w:r>
      <w:r w:rsidRPr="00B12C8E">
        <w:rPr>
          <w:lang w:val="en-US"/>
        </w:rPr>
        <w:t xml:space="preserve">years and observe their birth and educational outcomes.  </w:t>
      </w:r>
    </w:p>
    <w:p w:rsidR="00673FB8" w:rsidRDefault="004C73EE" w:rsidP="003E1573">
      <w:pPr>
        <w:pStyle w:val="Body"/>
        <w:jc w:val="both"/>
        <w:rPr>
          <w:lang w:val="en-US"/>
        </w:rPr>
      </w:pPr>
      <w:r w:rsidRPr="00BA28EE">
        <w:rPr>
          <w:lang w:val="en-US"/>
        </w:rPr>
        <w:t>Our findings are consistent with TPUs having two effects</w:t>
      </w:r>
      <w:r w:rsidR="00D07DD3" w:rsidRPr="00BA28EE">
        <w:rPr>
          <w:lang w:val="en-US"/>
        </w:rPr>
        <w:t xml:space="preserve"> on the educational outcomes </w:t>
      </w:r>
      <w:r w:rsidR="00D90701" w:rsidRPr="00BA28EE">
        <w:rPr>
          <w:lang w:val="en-US"/>
        </w:rPr>
        <w:t xml:space="preserve">of </w:t>
      </w:r>
      <w:r w:rsidR="00D07DD3" w:rsidRPr="00BA28EE">
        <w:rPr>
          <w:lang w:val="en-US"/>
        </w:rPr>
        <w:t>teen mothers</w:t>
      </w:r>
      <w:r w:rsidRPr="00BA28EE">
        <w:rPr>
          <w:lang w:val="en-US"/>
        </w:rPr>
        <w:t xml:space="preserve">: </w:t>
      </w:r>
      <w:r w:rsidR="00D07DD3" w:rsidRPr="00BA28EE">
        <w:rPr>
          <w:lang w:val="en-US"/>
        </w:rPr>
        <w:t xml:space="preserve">they </w:t>
      </w:r>
      <w:r w:rsidRPr="00BA28EE">
        <w:rPr>
          <w:lang w:val="en-US"/>
        </w:rPr>
        <w:t>increas</w:t>
      </w:r>
      <w:r w:rsidR="00D07DD3" w:rsidRPr="00BA28EE">
        <w:rPr>
          <w:lang w:val="en-US"/>
        </w:rPr>
        <w:t>e</w:t>
      </w:r>
      <w:r w:rsidRPr="00BA28EE">
        <w:rPr>
          <w:lang w:val="en-US"/>
        </w:rPr>
        <w:t xml:space="preserve"> enrolment </w:t>
      </w:r>
      <w:r w:rsidR="00D07DD3" w:rsidRPr="00BA28EE">
        <w:rPr>
          <w:lang w:val="en-US"/>
        </w:rPr>
        <w:t>rates</w:t>
      </w:r>
      <w:r w:rsidR="00CF07B4" w:rsidRPr="00BA28EE">
        <w:rPr>
          <w:lang w:val="en-US"/>
        </w:rPr>
        <w:t>,</w:t>
      </w:r>
      <w:r w:rsidRPr="00BA28EE">
        <w:rPr>
          <w:lang w:val="en-US"/>
        </w:rPr>
        <w:t xml:space="preserve"> and </w:t>
      </w:r>
      <w:r w:rsidR="00D07DD3" w:rsidRPr="00BA28EE">
        <w:rPr>
          <w:lang w:val="en-US"/>
        </w:rPr>
        <w:t xml:space="preserve">raise the probability of </w:t>
      </w:r>
      <w:r w:rsidRPr="00BA28EE">
        <w:rPr>
          <w:lang w:val="en-US"/>
        </w:rPr>
        <w:t>attain</w:t>
      </w:r>
      <w:r w:rsidR="00D07DD3" w:rsidRPr="00BA28EE">
        <w:rPr>
          <w:lang w:val="en-US"/>
        </w:rPr>
        <w:t>ing</w:t>
      </w:r>
      <w:r w:rsidRPr="00BA28EE">
        <w:rPr>
          <w:lang w:val="en-US"/>
        </w:rPr>
        <w:t xml:space="preserve"> </w:t>
      </w:r>
      <w:r w:rsidR="00D90701" w:rsidRPr="00BA28EE">
        <w:rPr>
          <w:lang w:val="en-US"/>
        </w:rPr>
        <w:t xml:space="preserve">a </w:t>
      </w:r>
      <w:r w:rsidR="00D07DD3" w:rsidRPr="00BA28EE">
        <w:rPr>
          <w:lang w:val="en-US"/>
        </w:rPr>
        <w:t xml:space="preserve">qualification </w:t>
      </w:r>
      <w:r w:rsidRPr="00BA28EE">
        <w:rPr>
          <w:lang w:val="en-US"/>
        </w:rPr>
        <w:t xml:space="preserve">once </w:t>
      </w:r>
      <w:r w:rsidR="00CB43C1" w:rsidRPr="00BA28EE">
        <w:rPr>
          <w:lang w:val="en-US"/>
        </w:rPr>
        <w:t>enrolment</w:t>
      </w:r>
      <w:r w:rsidRPr="00BA28EE">
        <w:rPr>
          <w:lang w:val="en-US"/>
        </w:rPr>
        <w:t xml:space="preserve"> has taken plac</w:t>
      </w:r>
      <w:r w:rsidR="00CB43C1" w:rsidRPr="00BA28EE">
        <w:rPr>
          <w:lang w:val="en-US"/>
        </w:rPr>
        <w:t>e.</w:t>
      </w:r>
      <w:r w:rsidR="00FA1130" w:rsidRPr="00BA28EE">
        <w:rPr>
          <w:lang w:val="en-US"/>
        </w:rPr>
        <w:t xml:space="preserve"> </w:t>
      </w:r>
    </w:p>
    <w:p w:rsidR="00AA5A07" w:rsidRDefault="00FD7855" w:rsidP="003E1573">
      <w:pPr>
        <w:pStyle w:val="Body"/>
        <w:jc w:val="both"/>
        <w:rPr>
          <w:lang w:val="en-US"/>
        </w:rPr>
      </w:pPr>
      <w:r w:rsidRPr="00BA28EE">
        <w:rPr>
          <w:lang w:val="en-US"/>
        </w:rPr>
        <w:t>I</w:t>
      </w:r>
      <w:r w:rsidR="00F06661" w:rsidRPr="00BA28EE">
        <w:rPr>
          <w:lang w:val="en-US"/>
        </w:rPr>
        <w:t xml:space="preserve">mproved </w:t>
      </w:r>
      <w:r w:rsidR="008D7FC1" w:rsidRPr="00BA28EE">
        <w:rPr>
          <w:lang w:val="en-US"/>
        </w:rPr>
        <w:t xml:space="preserve">educational </w:t>
      </w:r>
      <w:r w:rsidR="00F06661" w:rsidRPr="00BA28EE">
        <w:rPr>
          <w:lang w:val="en-US"/>
        </w:rPr>
        <w:t xml:space="preserve">outcomes </w:t>
      </w:r>
      <w:r w:rsidR="008D7FC1" w:rsidRPr="00BA28EE">
        <w:rPr>
          <w:lang w:val="en-US"/>
        </w:rPr>
        <w:t xml:space="preserve">associated with TPUs </w:t>
      </w:r>
      <w:r w:rsidR="00F06661" w:rsidRPr="00BA28EE">
        <w:rPr>
          <w:lang w:val="en-US"/>
        </w:rPr>
        <w:t xml:space="preserve">suggest that </w:t>
      </w:r>
      <w:r w:rsidR="00DB3956" w:rsidRPr="00BA28EE">
        <w:rPr>
          <w:lang w:val="en-US"/>
        </w:rPr>
        <w:t>teenage birth might indeed have a causal impact on outcom</w:t>
      </w:r>
      <w:r w:rsidR="00BA28EE" w:rsidRPr="00BA28EE">
        <w:rPr>
          <w:lang w:val="en-US"/>
        </w:rPr>
        <w:t>es such as education</w:t>
      </w:r>
      <w:r w:rsidR="00673FB8">
        <w:rPr>
          <w:lang w:val="en-US"/>
        </w:rPr>
        <w:t xml:space="preserve">. </w:t>
      </w:r>
      <w:r w:rsidR="00673FB8">
        <w:t>T</w:t>
      </w:r>
      <w:r w:rsidR="00DB3956" w:rsidRPr="00BA28EE">
        <w:rPr>
          <w:lang w:val="en-US"/>
        </w:rPr>
        <w:t xml:space="preserve">hat </w:t>
      </w:r>
      <w:r w:rsidRPr="00BA28EE">
        <w:rPr>
          <w:lang w:val="en-US"/>
        </w:rPr>
        <w:t>the</w:t>
      </w:r>
      <w:r w:rsidR="00DB3956" w:rsidRPr="00BA28EE">
        <w:rPr>
          <w:lang w:val="en-US"/>
        </w:rPr>
        <w:t xml:space="preserve"> intervention </w:t>
      </w:r>
      <w:r w:rsidRPr="00BA28EE">
        <w:rPr>
          <w:lang w:val="en-US"/>
        </w:rPr>
        <w:t xml:space="preserve">is effective </w:t>
      </w:r>
      <w:r w:rsidR="00D90701" w:rsidRPr="00BA28EE">
        <w:rPr>
          <w:lang w:val="en-US"/>
        </w:rPr>
        <w:t xml:space="preserve">suggests that </w:t>
      </w:r>
      <w:r w:rsidR="00DB3956" w:rsidRPr="00BA28EE">
        <w:rPr>
          <w:lang w:val="en-US"/>
        </w:rPr>
        <w:t xml:space="preserve">teenage birth </w:t>
      </w:r>
      <w:r w:rsidR="00D90701" w:rsidRPr="00BA28EE">
        <w:rPr>
          <w:lang w:val="en-US"/>
        </w:rPr>
        <w:t xml:space="preserve">and resulting barriers to participation and achievement </w:t>
      </w:r>
      <w:r w:rsidRPr="00BA28EE">
        <w:rPr>
          <w:lang w:val="en-US"/>
        </w:rPr>
        <w:t xml:space="preserve">play at least </w:t>
      </w:r>
      <w:r w:rsidR="00D90701" w:rsidRPr="00BA28EE">
        <w:rPr>
          <w:lang w:val="en-US"/>
        </w:rPr>
        <w:t xml:space="preserve">some </w:t>
      </w:r>
      <w:r w:rsidRPr="00BA28EE">
        <w:rPr>
          <w:lang w:val="en-US"/>
        </w:rPr>
        <w:t>role in explaining</w:t>
      </w:r>
      <w:r w:rsidR="00F06661" w:rsidRPr="00BA28EE">
        <w:rPr>
          <w:lang w:val="en-US"/>
        </w:rPr>
        <w:t xml:space="preserve"> the poor schoo</w:t>
      </w:r>
      <w:r w:rsidR="00AA5A07" w:rsidRPr="00BA28EE">
        <w:rPr>
          <w:lang w:val="en-US"/>
        </w:rPr>
        <w:t xml:space="preserve">ling outcomes </w:t>
      </w:r>
      <w:r w:rsidR="008D7FC1" w:rsidRPr="00BA28EE">
        <w:rPr>
          <w:lang w:val="en-US"/>
        </w:rPr>
        <w:t>observed among</w:t>
      </w:r>
      <w:r w:rsidR="00AA5A07" w:rsidRPr="00BA28EE">
        <w:rPr>
          <w:lang w:val="en-US"/>
        </w:rPr>
        <w:t xml:space="preserve"> young mothers</w:t>
      </w:r>
      <w:r w:rsidRPr="00BA28EE">
        <w:rPr>
          <w:lang w:val="en-US"/>
        </w:rPr>
        <w:t xml:space="preserve"> (over and above underlying differences between those who give birth as a teen and those who do not)</w:t>
      </w:r>
      <w:r w:rsidR="00DB3956" w:rsidRPr="00BA28EE">
        <w:rPr>
          <w:lang w:val="en-US"/>
        </w:rPr>
        <w:t xml:space="preserve">. </w:t>
      </w:r>
      <w:r w:rsidR="00AB6397" w:rsidRPr="00BA28EE">
        <w:rPr>
          <w:lang w:val="en-US"/>
        </w:rPr>
        <w:t xml:space="preserve">However, the </w:t>
      </w:r>
      <w:r w:rsidR="007C4837" w:rsidRPr="00BA28EE">
        <w:rPr>
          <w:lang w:val="en-US"/>
        </w:rPr>
        <w:t>findings from</w:t>
      </w:r>
      <w:r w:rsidR="00AB6397" w:rsidRPr="00BA28EE">
        <w:rPr>
          <w:lang w:val="en-US"/>
        </w:rPr>
        <w:t xml:space="preserve"> our study are not able to establish this</w:t>
      </w:r>
      <w:r w:rsidR="00180727" w:rsidRPr="00BA28EE">
        <w:rPr>
          <w:lang w:val="en-US"/>
        </w:rPr>
        <w:t xml:space="preserve"> conclusively</w:t>
      </w:r>
      <w:r w:rsidR="00AB6397" w:rsidRPr="00BA28EE">
        <w:rPr>
          <w:lang w:val="en-US"/>
        </w:rPr>
        <w:t>.</w:t>
      </w:r>
      <w:r w:rsidR="00AB6397" w:rsidRPr="00B12C8E">
        <w:rPr>
          <w:lang w:val="en-US"/>
        </w:rPr>
        <w:t xml:space="preserve">  </w:t>
      </w:r>
      <w:r w:rsidR="008D7FC1">
        <w:rPr>
          <w:lang w:val="en-US"/>
        </w:rPr>
        <w:t xml:space="preserve"> </w:t>
      </w:r>
    </w:p>
    <w:p w:rsidR="00E05949" w:rsidRDefault="00E873F5" w:rsidP="00E91F0D">
      <w:pPr>
        <w:pStyle w:val="Body"/>
        <w:jc w:val="both"/>
        <w:rPr>
          <w:lang w:val="en-US"/>
        </w:rPr>
      </w:pPr>
      <w:r w:rsidRPr="00B12C8E">
        <w:rPr>
          <w:lang w:val="en-US"/>
        </w:rPr>
        <w:t>Th</w:t>
      </w:r>
      <w:r w:rsidR="008D7FC1">
        <w:rPr>
          <w:lang w:val="en-US"/>
        </w:rPr>
        <w:t>is</w:t>
      </w:r>
      <w:r w:rsidRPr="00B12C8E">
        <w:rPr>
          <w:lang w:val="en-US"/>
        </w:rPr>
        <w:t xml:space="preserve"> paper is organi</w:t>
      </w:r>
      <w:r w:rsidR="00B153E6">
        <w:rPr>
          <w:lang w:val="en-US"/>
        </w:rPr>
        <w:t>s</w:t>
      </w:r>
      <w:r w:rsidRPr="00B12C8E">
        <w:rPr>
          <w:lang w:val="en-US"/>
        </w:rPr>
        <w:t xml:space="preserve">ed as follows. In </w:t>
      </w:r>
      <w:r w:rsidR="006E3222" w:rsidRPr="00B12C8E">
        <w:rPr>
          <w:lang w:val="en-US"/>
        </w:rPr>
        <w:t>Section 2</w:t>
      </w:r>
      <w:r w:rsidR="008D7FC1">
        <w:rPr>
          <w:lang w:val="en-US"/>
        </w:rPr>
        <w:t>,</w:t>
      </w:r>
      <w:r w:rsidR="006E3222" w:rsidRPr="00B12C8E">
        <w:rPr>
          <w:lang w:val="en-US"/>
        </w:rPr>
        <w:t xml:space="preserve"> we outline </w:t>
      </w:r>
      <w:r w:rsidR="000027C4" w:rsidRPr="00B12C8E">
        <w:rPr>
          <w:lang w:val="en-US"/>
        </w:rPr>
        <w:t xml:space="preserve">some details of </w:t>
      </w:r>
      <w:r w:rsidR="005152A7" w:rsidRPr="00B12C8E">
        <w:rPr>
          <w:lang w:val="en-US"/>
        </w:rPr>
        <w:t xml:space="preserve">how </w:t>
      </w:r>
      <w:r w:rsidR="000027C4" w:rsidRPr="00B12C8E">
        <w:rPr>
          <w:lang w:val="en-US"/>
        </w:rPr>
        <w:t>TPU</w:t>
      </w:r>
      <w:r w:rsidR="005152A7" w:rsidRPr="00B12C8E">
        <w:rPr>
          <w:lang w:val="en-US"/>
        </w:rPr>
        <w:t xml:space="preserve">s </w:t>
      </w:r>
      <w:r w:rsidR="005152A7" w:rsidRPr="009D0EAE">
        <w:rPr>
          <w:lang w:val="en-US"/>
        </w:rPr>
        <w:t>function</w:t>
      </w:r>
      <w:r w:rsidR="008D7FC1" w:rsidRPr="009D0EAE">
        <w:rPr>
          <w:lang w:val="en-US"/>
        </w:rPr>
        <w:t xml:space="preserve">. </w:t>
      </w:r>
      <w:r w:rsidR="005152A7" w:rsidRPr="009D0EAE">
        <w:rPr>
          <w:lang w:val="en-US"/>
        </w:rPr>
        <w:t xml:space="preserve">Section 3 </w:t>
      </w:r>
      <w:r w:rsidR="005C6BBC" w:rsidRPr="009D0EAE">
        <w:rPr>
          <w:lang w:val="en-US"/>
        </w:rPr>
        <w:t>briefly review</w:t>
      </w:r>
      <w:r w:rsidR="008D7FC1" w:rsidRPr="009D0EAE">
        <w:rPr>
          <w:lang w:val="en-US"/>
        </w:rPr>
        <w:t>s</w:t>
      </w:r>
      <w:r w:rsidR="005C6BBC" w:rsidRPr="009D0EAE">
        <w:rPr>
          <w:lang w:val="en-US"/>
        </w:rPr>
        <w:t xml:space="preserve"> the </w:t>
      </w:r>
      <w:r w:rsidR="003E1573" w:rsidRPr="009D0EAE">
        <w:rPr>
          <w:lang w:val="en-US"/>
        </w:rPr>
        <w:t>existing evidence base</w:t>
      </w:r>
      <w:r w:rsidR="008D7FC1" w:rsidRPr="009D0EAE">
        <w:rPr>
          <w:lang w:val="en-US"/>
        </w:rPr>
        <w:t xml:space="preserve"> on similar </w:t>
      </w:r>
      <w:r w:rsidR="00DF661F" w:rsidRPr="009D0EAE">
        <w:rPr>
          <w:lang w:val="en-US"/>
        </w:rPr>
        <w:t xml:space="preserve">programmes </w:t>
      </w:r>
      <w:r w:rsidR="008D7FC1" w:rsidRPr="009D0EAE">
        <w:rPr>
          <w:lang w:val="en-US"/>
        </w:rPr>
        <w:t xml:space="preserve">and their estimated effects. </w:t>
      </w:r>
      <w:r w:rsidR="005C6BBC" w:rsidRPr="009D0EAE">
        <w:rPr>
          <w:lang w:val="en-US"/>
        </w:rPr>
        <w:t xml:space="preserve">Section 4 </w:t>
      </w:r>
      <w:r w:rsidR="008979D8" w:rsidRPr="009D0EAE">
        <w:rPr>
          <w:lang w:val="en-US"/>
        </w:rPr>
        <w:t>outline</w:t>
      </w:r>
      <w:r w:rsidR="005C6BBC" w:rsidRPr="009D0EAE">
        <w:rPr>
          <w:lang w:val="en-US"/>
        </w:rPr>
        <w:t>s</w:t>
      </w:r>
      <w:r w:rsidR="008979D8" w:rsidRPr="009D0EAE">
        <w:rPr>
          <w:lang w:val="en-US"/>
        </w:rPr>
        <w:t xml:space="preserve"> the </w:t>
      </w:r>
      <w:r w:rsidR="006E3222" w:rsidRPr="009D0EAE">
        <w:rPr>
          <w:lang w:val="en-US"/>
        </w:rPr>
        <w:t>construction of the data</w:t>
      </w:r>
      <w:r w:rsidR="008D7FC1" w:rsidRPr="009D0EAE">
        <w:rPr>
          <w:lang w:val="en-US"/>
        </w:rPr>
        <w:t xml:space="preserve"> used in this study</w:t>
      </w:r>
      <w:r w:rsidR="006E3222" w:rsidRPr="009D0EAE">
        <w:rPr>
          <w:lang w:val="en-US"/>
        </w:rPr>
        <w:t xml:space="preserve">. Section </w:t>
      </w:r>
      <w:r w:rsidR="003E1569" w:rsidRPr="009D0EAE">
        <w:rPr>
          <w:lang w:val="en-US"/>
        </w:rPr>
        <w:t>5</w:t>
      </w:r>
      <w:r w:rsidR="006E3222" w:rsidRPr="009D0EAE">
        <w:rPr>
          <w:lang w:val="en-US"/>
        </w:rPr>
        <w:t xml:space="preserve"> </w:t>
      </w:r>
      <w:r w:rsidR="00C43819" w:rsidRPr="009D0EAE">
        <w:rPr>
          <w:lang w:val="en-US"/>
        </w:rPr>
        <w:t xml:space="preserve">sets out some descriptive statistics on school enrolment patterns of young mothers, </w:t>
      </w:r>
      <w:r w:rsidR="006E3222" w:rsidRPr="009D0EAE">
        <w:rPr>
          <w:lang w:val="en-US"/>
        </w:rPr>
        <w:t xml:space="preserve">and </w:t>
      </w:r>
      <w:r w:rsidR="00673FB8">
        <w:rPr>
          <w:lang w:val="en-US"/>
        </w:rPr>
        <w:t>S</w:t>
      </w:r>
      <w:r w:rsidR="00C43819" w:rsidRPr="009D0EAE">
        <w:rPr>
          <w:lang w:val="en-US"/>
        </w:rPr>
        <w:t xml:space="preserve">ections </w:t>
      </w:r>
      <w:r w:rsidR="003E1569" w:rsidRPr="009D0EAE">
        <w:rPr>
          <w:lang w:val="en-US"/>
        </w:rPr>
        <w:t>6</w:t>
      </w:r>
      <w:r w:rsidR="00C43819" w:rsidRPr="009D0EAE">
        <w:rPr>
          <w:lang w:val="en-US"/>
        </w:rPr>
        <w:t xml:space="preserve"> and 7</w:t>
      </w:r>
      <w:r w:rsidR="006E3222" w:rsidRPr="009D0EAE">
        <w:rPr>
          <w:lang w:val="en-US"/>
        </w:rPr>
        <w:t xml:space="preserve"> contain the main part of the analysis</w:t>
      </w:r>
      <w:r w:rsidR="00C43819" w:rsidRPr="009D0EAE">
        <w:rPr>
          <w:lang w:val="en-US"/>
        </w:rPr>
        <w:t>. D</w:t>
      </w:r>
      <w:r w:rsidR="00180727" w:rsidRPr="009D0EAE">
        <w:rPr>
          <w:lang w:val="en-US"/>
        </w:rPr>
        <w:t>iscuss</w:t>
      </w:r>
      <w:r w:rsidR="008D7FC1" w:rsidRPr="009D0EAE">
        <w:rPr>
          <w:lang w:val="en-US"/>
        </w:rPr>
        <w:t>ion o</w:t>
      </w:r>
      <w:r w:rsidR="00C43819" w:rsidRPr="009D0EAE">
        <w:rPr>
          <w:lang w:val="en-US"/>
        </w:rPr>
        <w:t>f</w:t>
      </w:r>
      <w:r w:rsidR="00180727" w:rsidRPr="009D0EAE">
        <w:rPr>
          <w:lang w:val="en-US"/>
        </w:rPr>
        <w:t xml:space="preserve"> some limitations </w:t>
      </w:r>
      <w:r w:rsidR="00AA5A07" w:rsidRPr="009D0EAE">
        <w:rPr>
          <w:lang w:val="en-US"/>
        </w:rPr>
        <w:t>of th</w:t>
      </w:r>
      <w:r w:rsidR="008D7FC1" w:rsidRPr="009D0EAE">
        <w:rPr>
          <w:lang w:val="en-US"/>
        </w:rPr>
        <w:t>is</w:t>
      </w:r>
      <w:r w:rsidR="00AA5A07" w:rsidRPr="009D0EAE">
        <w:rPr>
          <w:lang w:val="en-US"/>
        </w:rPr>
        <w:t xml:space="preserve"> study</w:t>
      </w:r>
      <w:r w:rsidR="00C43819" w:rsidRPr="009D0EAE">
        <w:rPr>
          <w:lang w:val="en-US"/>
        </w:rPr>
        <w:t xml:space="preserve"> and c</w:t>
      </w:r>
      <w:r w:rsidR="00180727" w:rsidRPr="009D0EAE">
        <w:rPr>
          <w:lang w:val="en-US"/>
        </w:rPr>
        <w:t>onclu</w:t>
      </w:r>
      <w:r w:rsidR="008D7FC1" w:rsidRPr="009D0EAE">
        <w:rPr>
          <w:lang w:val="en-US"/>
        </w:rPr>
        <w:t>sions appear</w:t>
      </w:r>
      <w:r w:rsidR="00180727" w:rsidRPr="009D0EAE">
        <w:rPr>
          <w:lang w:val="en-US"/>
        </w:rPr>
        <w:t xml:space="preserve"> in</w:t>
      </w:r>
      <w:r w:rsidR="006E3222" w:rsidRPr="009D0EAE">
        <w:rPr>
          <w:lang w:val="en-US"/>
        </w:rPr>
        <w:t xml:space="preserve"> Section</w:t>
      </w:r>
      <w:r w:rsidR="00AA5A07" w:rsidRPr="009D0EAE">
        <w:rPr>
          <w:lang w:val="en-US"/>
        </w:rPr>
        <w:t>s</w:t>
      </w:r>
      <w:r w:rsidR="006E3222" w:rsidRPr="009D0EAE">
        <w:rPr>
          <w:lang w:val="en-US"/>
        </w:rPr>
        <w:t xml:space="preserve"> </w:t>
      </w:r>
      <w:r w:rsidR="00C43819" w:rsidRPr="009D0EAE">
        <w:rPr>
          <w:lang w:val="en-US"/>
        </w:rPr>
        <w:t>8</w:t>
      </w:r>
      <w:r w:rsidR="00AA5A07" w:rsidRPr="009D0EAE">
        <w:rPr>
          <w:lang w:val="en-US"/>
        </w:rPr>
        <w:t xml:space="preserve"> and </w:t>
      </w:r>
      <w:r w:rsidR="00C43819" w:rsidRPr="009D0EAE">
        <w:rPr>
          <w:lang w:val="en-US"/>
        </w:rPr>
        <w:t>9</w:t>
      </w:r>
      <w:r w:rsidR="006E3222" w:rsidRPr="009D0EAE">
        <w:rPr>
          <w:lang w:val="en-US"/>
        </w:rPr>
        <w:t xml:space="preserve">. The Appendix contains </w:t>
      </w:r>
      <w:r w:rsidR="003E1569" w:rsidRPr="009D0EAE">
        <w:rPr>
          <w:lang w:val="en-US"/>
        </w:rPr>
        <w:t xml:space="preserve">supplementary </w:t>
      </w:r>
      <w:r w:rsidR="006E3222" w:rsidRPr="009D0EAE">
        <w:rPr>
          <w:lang w:val="en-US"/>
        </w:rPr>
        <w:t>table</w:t>
      </w:r>
      <w:r w:rsidR="00180727" w:rsidRPr="009D0EAE">
        <w:rPr>
          <w:lang w:val="en-US"/>
        </w:rPr>
        <w:t>s</w:t>
      </w:r>
      <w:r w:rsidR="006E3222" w:rsidRPr="009D0EAE">
        <w:rPr>
          <w:lang w:val="en-US"/>
        </w:rPr>
        <w:t xml:space="preserve"> and detail</w:t>
      </w:r>
      <w:r w:rsidR="00214AD8">
        <w:rPr>
          <w:lang w:val="en-US"/>
        </w:rPr>
        <w:t>s of</w:t>
      </w:r>
      <w:r w:rsidR="006E3222" w:rsidRPr="009D0EAE">
        <w:rPr>
          <w:lang w:val="en-US"/>
        </w:rPr>
        <w:t xml:space="preserve"> the </w:t>
      </w:r>
      <w:r w:rsidR="00560CA9" w:rsidRPr="009D0EAE">
        <w:rPr>
          <w:lang w:val="en-US"/>
        </w:rPr>
        <w:t xml:space="preserve">location </w:t>
      </w:r>
      <w:r w:rsidR="006E3222" w:rsidRPr="009D0EAE">
        <w:rPr>
          <w:lang w:val="en-US"/>
        </w:rPr>
        <w:t>of the TPUs across the country.</w:t>
      </w:r>
      <w:r w:rsidR="006E3222" w:rsidRPr="00B12C8E">
        <w:rPr>
          <w:lang w:val="en-US"/>
        </w:rPr>
        <w:t xml:space="preserve">  </w:t>
      </w:r>
    </w:p>
    <w:p w:rsidR="00D732A8" w:rsidRDefault="00D732A8" w:rsidP="00E91F0D">
      <w:pPr>
        <w:pStyle w:val="Body"/>
        <w:jc w:val="both"/>
        <w:rPr>
          <w:lang w:val="en-US"/>
        </w:rPr>
      </w:pPr>
    </w:p>
    <w:p w:rsidR="00D732A8" w:rsidRPr="00B12C8E" w:rsidRDefault="00D732A8" w:rsidP="00E91F0D">
      <w:pPr>
        <w:pStyle w:val="Body"/>
        <w:jc w:val="both"/>
      </w:pPr>
    </w:p>
    <w:p w:rsidR="00BA28EE" w:rsidRDefault="00BA28EE">
      <w:pPr>
        <w:rPr>
          <w:rFonts w:eastAsiaTheme="majorEastAsia"/>
          <w:bCs/>
          <w:sz w:val="36"/>
          <w:szCs w:val="28"/>
          <w:lang w:val="fr-FR"/>
        </w:rPr>
      </w:pPr>
      <w:r>
        <w:rPr>
          <w:lang w:val="fr-FR"/>
        </w:rPr>
        <w:br w:type="page"/>
      </w:r>
    </w:p>
    <w:p w:rsidR="00C60B74" w:rsidRPr="00D66BFE" w:rsidRDefault="009A1012" w:rsidP="00C60B74">
      <w:pPr>
        <w:pStyle w:val="Heading1"/>
        <w:ind w:left="709" w:hanging="709"/>
        <w:rPr>
          <w:rFonts w:ascii="Times New Roman" w:hAnsi="Times New Roman" w:cs="Times New Roman"/>
        </w:rPr>
      </w:pPr>
      <w:bookmarkStart w:id="6" w:name="_Toc473803306"/>
      <w:r w:rsidRPr="0021065A">
        <w:rPr>
          <w:rFonts w:ascii="Times New Roman" w:hAnsi="Times New Roman" w:cs="Times New Roman"/>
          <w:lang w:val="fr-FR"/>
        </w:rPr>
        <w:t>Teen Parent Units</w:t>
      </w:r>
      <w:bookmarkEnd w:id="6"/>
    </w:p>
    <w:p w:rsidR="00673FB8" w:rsidRDefault="001166C8" w:rsidP="00E16A91">
      <w:pPr>
        <w:pStyle w:val="Body"/>
        <w:jc w:val="both"/>
        <w:rPr>
          <w:bdr w:val="none" w:sz="0" w:space="0" w:color="auto" w:frame="1"/>
        </w:rPr>
      </w:pPr>
      <w:r w:rsidRPr="00B12C8E">
        <w:rPr>
          <w:lang w:val="en-US"/>
        </w:rPr>
        <w:t xml:space="preserve">TPUs </w:t>
      </w:r>
      <w:r w:rsidR="009A1012" w:rsidRPr="00B12C8E">
        <w:rPr>
          <w:lang w:val="en-US"/>
        </w:rPr>
        <w:t xml:space="preserve">were set up to improve access to schooling </w:t>
      </w:r>
      <w:r w:rsidR="00F442BC">
        <w:rPr>
          <w:bdr w:val="none" w:sz="0" w:space="0" w:color="auto" w:frame="1"/>
        </w:rPr>
        <w:t xml:space="preserve">and </w:t>
      </w:r>
      <w:r w:rsidR="00180727">
        <w:rPr>
          <w:bdr w:val="none" w:sz="0" w:space="0" w:color="auto" w:frame="1"/>
        </w:rPr>
        <w:t xml:space="preserve">to </w:t>
      </w:r>
      <w:r w:rsidR="003E1569">
        <w:rPr>
          <w:bdr w:val="none" w:sz="0" w:space="0" w:color="auto" w:frame="1"/>
        </w:rPr>
        <w:t xml:space="preserve">promote </w:t>
      </w:r>
      <w:r w:rsidR="00F442BC">
        <w:rPr>
          <w:bdr w:val="none" w:sz="0" w:space="0" w:color="auto" w:frame="1"/>
        </w:rPr>
        <w:t xml:space="preserve">positive educational outcomes </w:t>
      </w:r>
      <w:r w:rsidR="009A1012" w:rsidRPr="00B12C8E">
        <w:rPr>
          <w:lang w:val="en-US"/>
        </w:rPr>
        <w:t xml:space="preserve">for teenagers who are pregnant or parents. TPUs are separate units that are </w:t>
      </w:r>
      <w:r w:rsidR="00F442BC">
        <w:rPr>
          <w:lang w:val="en-US"/>
        </w:rPr>
        <w:t xml:space="preserve">governed by </w:t>
      </w:r>
      <w:r w:rsidR="009A1012" w:rsidRPr="00B12C8E">
        <w:rPr>
          <w:lang w:val="en-US"/>
        </w:rPr>
        <w:t>mainstream high</w:t>
      </w:r>
      <w:r w:rsidR="002102FA">
        <w:rPr>
          <w:lang w:val="en-US"/>
        </w:rPr>
        <w:t xml:space="preserve"> </w:t>
      </w:r>
      <w:r w:rsidR="009A1012" w:rsidRPr="00B12C8E">
        <w:rPr>
          <w:lang w:val="en-US"/>
        </w:rPr>
        <w:t>schools (</w:t>
      </w:r>
      <w:r w:rsidR="00217A0B">
        <w:rPr>
          <w:lang w:val="en-US"/>
        </w:rPr>
        <w:t>“</w:t>
      </w:r>
      <w:r w:rsidR="000A5749" w:rsidRPr="00B12C8E">
        <w:rPr>
          <w:lang w:val="en-US"/>
        </w:rPr>
        <w:t xml:space="preserve">TPU </w:t>
      </w:r>
      <w:r w:rsidR="00F442BC">
        <w:rPr>
          <w:lang w:val="en-US"/>
        </w:rPr>
        <w:t xml:space="preserve">governing </w:t>
      </w:r>
      <w:r w:rsidR="009A1012" w:rsidRPr="00B12C8E">
        <w:rPr>
          <w:lang w:val="en-US"/>
        </w:rPr>
        <w:t>school</w:t>
      </w:r>
      <w:r w:rsidRPr="00B12C8E">
        <w:rPr>
          <w:lang w:val="en-US"/>
        </w:rPr>
        <w:t>s</w:t>
      </w:r>
      <w:r w:rsidR="00217A0B">
        <w:rPr>
          <w:lang w:val="en-US"/>
        </w:rPr>
        <w:t>”</w:t>
      </w:r>
      <w:r w:rsidR="009A1012" w:rsidRPr="00B12C8E">
        <w:rPr>
          <w:lang w:val="en-US"/>
        </w:rPr>
        <w:t xml:space="preserve">). </w:t>
      </w:r>
      <w:r w:rsidR="0072534B">
        <w:rPr>
          <w:lang w:val="en-US"/>
        </w:rPr>
        <w:t xml:space="preserve">The TPU is usually sited within the governing school, but in some cases is in another location. </w:t>
      </w:r>
      <w:r w:rsidR="009A1012" w:rsidRPr="00B12C8E">
        <w:rPr>
          <w:lang w:val="en-US"/>
        </w:rPr>
        <w:t xml:space="preserve">TPUs enrol pregnant </w:t>
      </w:r>
      <w:r w:rsidR="00F442BC">
        <w:rPr>
          <w:lang w:val="en-US"/>
        </w:rPr>
        <w:t>and parenting t</w:t>
      </w:r>
      <w:r w:rsidR="000A5749" w:rsidRPr="00B12C8E">
        <w:rPr>
          <w:lang w:val="en-US"/>
        </w:rPr>
        <w:t>een</w:t>
      </w:r>
      <w:r w:rsidR="00F442BC">
        <w:rPr>
          <w:lang w:val="en-US"/>
        </w:rPr>
        <w:t>agers</w:t>
      </w:r>
      <w:r w:rsidR="009A1012" w:rsidRPr="00B12C8E">
        <w:rPr>
          <w:rStyle w:val="FootnoteReference"/>
          <w:rFonts w:eastAsia="Times New Roman" w:cs="Times New Roman"/>
        </w:rPr>
        <w:footnoteReference w:id="3"/>
      </w:r>
      <w:r w:rsidR="009A1012" w:rsidRPr="00B12C8E">
        <w:rPr>
          <w:lang w:val="en-US"/>
        </w:rPr>
        <w:t xml:space="preserve"> who </w:t>
      </w:r>
      <w:r w:rsidR="00F442BC">
        <w:rPr>
          <w:bdr w:val="none" w:sz="0" w:space="0" w:color="auto" w:frame="1"/>
        </w:rPr>
        <w:t xml:space="preserve">are taught by registered teachers according to their individual needs. </w:t>
      </w:r>
      <w:r w:rsidR="00BA28EE">
        <w:rPr>
          <w:bdr w:val="none" w:sz="0" w:space="0" w:color="auto" w:frame="1"/>
        </w:rPr>
        <w:t>Students</w:t>
      </w:r>
      <w:r w:rsidR="00F442BC">
        <w:rPr>
          <w:bdr w:val="none" w:sz="0" w:space="0" w:color="auto" w:frame="1"/>
        </w:rPr>
        <w:t xml:space="preserve"> may also be enrolled at Te Kura</w:t>
      </w:r>
      <w:r w:rsidR="00217A0B">
        <w:rPr>
          <w:bdr w:val="none" w:sz="0" w:space="0" w:color="auto" w:frame="1"/>
        </w:rPr>
        <w:t xml:space="preserve"> </w:t>
      </w:r>
      <w:r w:rsidR="00673FB8">
        <w:rPr>
          <w:lang w:val="en-US"/>
        </w:rPr>
        <w:t>—</w:t>
      </w:r>
      <w:r w:rsidR="00F442BC">
        <w:rPr>
          <w:bdr w:val="none" w:sz="0" w:space="0" w:color="auto" w:frame="1"/>
        </w:rPr>
        <w:t xml:space="preserve"> the </w:t>
      </w:r>
      <w:r w:rsidR="002102FA">
        <w:rPr>
          <w:bdr w:val="none" w:sz="0" w:space="0" w:color="auto" w:frame="1"/>
        </w:rPr>
        <w:t>Correspondence School</w:t>
      </w:r>
      <w:r w:rsidR="00217A0B">
        <w:rPr>
          <w:bdr w:val="none" w:sz="0" w:space="0" w:color="auto" w:frame="1"/>
        </w:rPr>
        <w:t>,</w:t>
      </w:r>
      <w:r w:rsidR="002102FA">
        <w:rPr>
          <w:bdr w:val="none" w:sz="0" w:space="0" w:color="auto" w:frame="1"/>
        </w:rPr>
        <w:t xml:space="preserve"> </w:t>
      </w:r>
      <w:r w:rsidR="00F442BC">
        <w:rPr>
          <w:bdr w:val="none" w:sz="0" w:space="0" w:color="auto" w:frame="1"/>
        </w:rPr>
        <w:t>to ensure access to a wide range of curriculum areas</w:t>
      </w:r>
      <w:r w:rsidR="003D412D">
        <w:rPr>
          <w:bdr w:val="none" w:sz="0" w:space="0" w:color="auto" w:frame="1"/>
        </w:rPr>
        <w:t>. In these situations</w:t>
      </w:r>
      <w:r w:rsidR="00F442BC">
        <w:rPr>
          <w:bdr w:val="none" w:sz="0" w:space="0" w:color="auto" w:frame="1"/>
        </w:rPr>
        <w:t>, courses are supervised by TPU teachers</w:t>
      </w:r>
      <w:r w:rsidR="003D412D">
        <w:rPr>
          <w:bdr w:val="none" w:sz="0" w:space="0" w:color="auto" w:frame="1"/>
        </w:rPr>
        <w:t>,</w:t>
      </w:r>
      <w:r w:rsidR="00F442BC">
        <w:rPr>
          <w:bdr w:val="none" w:sz="0" w:space="0" w:color="auto" w:frame="1"/>
        </w:rPr>
        <w:t xml:space="preserve"> but teaching resources and evaluation</w:t>
      </w:r>
      <w:r w:rsidR="003D412D">
        <w:rPr>
          <w:bdr w:val="none" w:sz="0" w:space="0" w:color="auto" w:frame="1"/>
        </w:rPr>
        <w:t>s</w:t>
      </w:r>
      <w:r w:rsidR="00F442BC">
        <w:rPr>
          <w:bdr w:val="none" w:sz="0" w:space="0" w:color="auto" w:frame="1"/>
        </w:rPr>
        <w:t xml:space="preserve"> are provided remotely. In some </w:t>
      </w:r>
      <w:r w:rsidR="00217A0B">
        <w:rPr>
          <w:bdr w:val="none" w:sz="0" w:space="0" w:color="auto" w:frame="1"/>
        </w:rPr>
        <w:t>cases,</w:t>
      </w:r>
      <w:r w:rsidR="00F442BC">
        <w:rPr>
          <w:bdr w:val="none" w:sz="0" w:space="0" w:color="auto" w:frame="1"/>
        </w:rPr>
        <w:t xml:space="preserve"> stud</w:t>
      </w:r>
      <w:r w:rsidR="00657248">
        <w:rPr>
          <w:bdr w:val="none" w:sz="0" w:space="0" w:color="auto" w:frame="1"/>
        </w:rPr>
        <w:t>ents may also access classes on-</w:t>
      </w:r>
      <w:r w:rsidR="00F442BC">
        <w:rPr>
          <w:bdr w:val="none" w:sz="0" w:space="0" w:color="auto" w:frame="1"/>
        </w:rPr>
        <w:t xml:space="preserve">site at the governing school. </w:t>
      </w:r>
    </w:p>
    <w:p w:rsidR="00D5244E" w:rsidRPr="00B12C8E" w:rsidRDefault="009A1012" w:rsidP="00E16A91">
      <w:pPr>
        <w:pStyle w:val="Body"/>
        <w:jc w:val="both"/>
        <w:rPr>
          <w:lang w:val="en-US"/>
        </w:rPr>
      </w:pPr>
      <w:r w:rsidRPr="00B12C8E">
        <w:rPr>
          <w:lang w:val="en-US"/>
        </w:rPr>
        <w:t xml:space="preserve">Apart from the standard high school curriculum, TPU students receive </w:t>
      </w:r>
      <w:r w:rsidR="00A11F2A" w:rsidRPr="00B12C8E">
        <w:rPr>
          <w:lang w:val="en-US"/>
        </w:rPr>
        <w:t xml:space="preserve">wrap-around support, </w:t>
      </w:r>
      <w:r w:rsidR="00D5244E" w:rsidRPr="00B12C8E">
        <w:rPr>
          <w:lang w:val="en-US"/>
        </w:rPr>
        <w:t xml:space="preserve">pastoral care, </w:t>
      </w:r>
      <w:r w:rsidR="00A11F2A" w:rsidRPr="00B12C8E">
        <w:rPr>
          <w:lang w:val="en-US"/>
        </w:rPr>
        <w:t xml:space="preserve">mentoring and </w:t>
      </w:r>
      <w:r w:rsidRPr="00B12C8E">
        <w:rPr>
          <w:lang w:val="en-US"/>
        </w:rPr>
        <w:t xml:space="preserve">additional lifestyle courses (such as budgeting training). TPUs also provide early childhood </w:t>
      </w:r>
      <w:r w:rsidR="00657248">
        <w:rPr>
          <w:lang w:val="en-US"/>
        </w:rPr>
        <w:t xml:space="preserve">education </w:t>
      </w:r>
      <w:r w:rsidR="00673FB8">
        <w:rPr>
          <w:lang w:val="en-US"/>
        </w:rPr>
        <w:t>services</w:t>
      </w:r>
      <w:r w:rsidR="002102FA">
        <w:rPr>
          <w:lang w:val="en-US"/>
        </w:rPr>
        <w:t xml:space="preserve"> </w:t>
      </w:r>
      <w:r w:rsidR="003D412D">
        <w:rPr>
          <w:lang w:val="en-US"/>
        </w:rPr>
        <w:t>(</w:t>
      </w:r>
      <w:r w:rsidR="002102FA">
        <w:rPr>
          <w:lang w:val="en-US"/>
        </w:rPr>
        <w:t xml:space="preserve">often </w:t>
      </w:r>
      <w:r w:rsidR="00771162">
        <w:rPr>
          <w:lang w:val="en-US"/>
        </w:rPr>
        <w:t>o</w:t>
      </w:r>
      <w:r w:rsidR="002102FA">
        <w:rPr>
          <w:lang w:val="en-US"/>
        </w:rPr>
        <w:t>n-site</w:t>
      </w:r>
      <w:r w:rsidR="003D412D">
        <w:rPr>
          <w:lang w:val="en-US"/>
        </w:rPr>
        <w:t>)</w:t>
      </w:r>
      <w:r w:rsidR="0072534B">
        <w:rPr>
          <w:lang w:val="en-US"/>
        </w:rPr>
        <w:t xml:space="preserve">, </w:t>
      </w:r>
      <w:r w:rsidRPr="00B12C8E">
        <w:rPr>
          <w:lang w:val="en-US"/>
        </w:rPr>
        <w:t xml:space="preserve">and </w:t>
      </w:r>
      <w:r w:rsidR="00A11F2A" w:rsidRPr="00B12C8E">
        <w:rPr>
          <w:lang w:val="en-US"/>
        </w:rPr>
        <w:t xml:space="preserve">commonly </w:t>
      </w:r>
      <w:r w:rsidRPr="00B12C8E">
        <w:rPr>
          <w:lang w:val="en-US"/>
        </w:rPr>
        <w:t xml:space="preserve">have close links with other </w:t>
      </w:r>
      <w:r w:rsidR="00C37D79" w:rsidRPr="00B12C8E">
        <w:rPr>
          <w:lang w:val="en-US"/>
        </w:rPr>
        <w:t xml:space="preserve">community </w:t>
      </w:r>
      <w:r w:rsidR="00DF661F">
        <w:rPr>
          <w:lang w:val="en-US"/>
        </w:rPr>
        <w:t xml:space="preserve">programmes </w:t>
      </w:r>
      <w:r w:rsidR="00C37D79" w:rsidRPr="00B12C8E">
        <w:rPr>
          <w:lang w:val="en-US"/>
        </w:rPr>
        <w:t>such as home-</w:t>
      </w:r>
      <w:r w:rsidRPr="00B12C8E">
        <w:rPr>
          <w:lang w:val="en-US"/>
        </w:rPr>
        <w:t>visiting services, family doctors</w:t>
      </w:r>
      <w:r w:rsidR="003D412D">
        <w:rPr>
          <w:lang w:val="en-US"/>
        </w:rPr>
        <w:t>,</w:t>
      </w:r>
      <w:r w:rsidRPr="00B12C8E">
        <w:rPr>
          <w:lang w:val="en-US"/>
        </w:rPr>
        <w:t xml:space="preserve"> and Well</w:t>
      </w:r>
      <w:r w:rsidR="00593D20">
        <w:rPr>
          <w:lang w:val="en-US"/>
        </w:rPr>
        <w:t xml:space="preserve"> </w:t>
      </w:r>
      <w:r w:rsidRPr="00B12C8E">
        <w:rPr>
          <w:lang w:val="en-US"/>
        </w:rPr>
        <w:t>Child</w:t>
      </w:r>
      <w:r w:rsidR="001166C8" w:rsidRPr="00B12C8E">
        <w:rPr>
          <w:lang w:val="en-US"/>
        </w:rPr>
        <w:t>/</w:t>
      </w:r>
      <w:r w:rsidRPr="00B12C8E">
        <w:rPr>
          <w:lang w:val="en-US"/>
        </w:rPr>
        <w:t>Tama</w:t>
      </w:r>
      <w:r w:rsidR="00217A0B">
        <w:rPr>
          <w:lang w:val="en-US"/>
        </w:rPr>
        <w:t>ri</w:t>
      </w:r>
      <w:r w:rsidRPr="00B12C8E">
        <w:rPr>
          <w:lang w:val="en-US"/>
        </w:rPr>
        <w:t xml:space="preserve">ki Ora </w:t>
      </w:r>
      <w:r w:rsidR="001166C8" w:rsidRPr="00B12C8E">
        <w:rPr>
          <w:lang w:val="en-US"/>
        </w:rPr>
        <w:t>health checks</w:t>
      </w:r>
      <w:r w:rsidR="00632DE5">
        <w:rPr>
          <w:lang w:val="en-US"/>
        </w:rPr>
        <w:t xml:space="preserve"> for children</w:t>
      </w:r>
      <w:r w:rsidRPr="00B12C8E">
        <w:rPr>
          <w:lang w:val="en-US"/>
        </w:rPr>
        <w:t xml:space="preserve">. </w:t>
      </w:r>
    </w:p>
    <w:p w:rsidR="00B27BC6" w:rsidRDefault="00D5244E" w:rsidP="00FB67AA">
      <w:pPr>
        <w:pStyle w:val="Body"/>
        <w:jc w:val="both"/>
      </w:pPr>
      <w:r w:rsidRPr="00B12C8E">
        <w:rPr>
          <w:lang w:val="en-US"/>
        </w:rPr>
        <w:t>Over the period covered by this study, there were no national guidelines setting out the roles and responsibilities of TPUs. Instead, these were set out in individual Memoranda of Understanding with the Ministry of Education (</w:t>
      </w:r>
      <w:r w:rsidR="003E1569">
        <w:rPr>
          <w:lang w:val="en-US"/>
        </w:rPr>
        <w:t>Education Review Office (</w:t>
      </w:r>
      <w:r w:rsidRPr="00B12C8E">
        <w:rPr>
          <w:lang w:val="en-US"/>
        </w:rPr>
        <w:t>ERO</w:t>
      </w:r>
      <w:r w:rsidR="003E1569">
        <w:rPr>
          <w:lang w:val="en-US"/>
        </w:rPr>
        <w:t>)</w:t>
      </w:r>
      <w:r w:rsidRPr="00B12C8E">
        <w:rPr>
          <w:lang w:val="en-US"/>
        </w:rPr>
        <w:t xml:space="preserve">, 2014). </w:t>
      </w:r>
      <w:r w:rsidR="00B27BC6">
        <w:rPr>
          <w:lang w:val="en-US"/>
        </w:rPr>
        <w:t>T</w:t>
      </w:r>
      <w:r w:rsidRPr="00B12C8E">
        <w:rPr>
          <w:lang w:val="en-US"/>
        </w:rPr>
        <w:t>he units could vary in what they offered students</w:t>
      </w:r>
      <w:r w:rsidR="00B27BC6">
        <w:rPr>
          <w:lang w:val="en-US"/>
        </w:rPr>
        <w:t xml:space="preserve">, due to </w:t>
      </w:r>
      <w:r w:rsidR="005F4D9A">
        <w:rPr>
          <w:lang w:val="en-US"/>
        </w:rPr>
        <w:t>deviations</w:t>
      </w:r>
      <w:r w:rsidR="00B27BC6">
        <w:rPr>
          <w:lang w:val="en-US"/>
        </w:rPr>
        <w:t xml:space="preserve"> both </w:t>
      </w:r>
      <w:r w:rsidR="00DF661F">
        <w:rPr>
          <w:lang w:val="en-US"/>
        </w:rPr>
        <w:t xml:space="preserve">in </w:t>
      </w:r>
      <w:r w:rsidR="00B27BC6">
        <w:rPr>
          <w:lang w:val="en-US"/>
        </w:rPr>
        <w:t>these agreements</w:t>
      </w:r>
      <w:r w:rsidR="00771162">
        <w:rPr>
          <w:lang w:val="en-US"/>
        </w:rPr>
        <w:t>,</w:t>
      </w:r>
      <w:r w:rsidR="00B27BC6">
        <w:rPr>
          <w:lang w:val="en-US"/>
        </w:rPr>
        <w:t xml:space="preserve"> and in the resources available in the </w:t>
      </w:r>
      <w:r w:rsidR="00566F2C">
        <w:rPr>
          <w:lang w:val="en-US"/>
        </w:rPr>
        <w:t>governing</w:t>
      </w:r>
      <w:r w:rsidR="00B27BC6">
        <w:rPr>
          <w:lang w:val="en-US"/>
        </w:rPr>
        <w:t xml:space="preserve"> school and local community</w:t>
      </w:r>
      <w:r w:rsidRPr="00B12C8E">
        <w:rPr>
          <w:lang w:val="en-US"/>
        </w:rPr>
        <w:t xml:space="preserve">. </w:t>
      </w:r>
      <w:r w:rsidR="00B27BC6">
        <w:rPr>
          <w:lang w:val="en-US"/>
        </w:rPr>
        <w:t xml:space="preserve">National guidelines were developed in 2014 and </w:t>
      </w:r>
      <w:r w:rsidR="005F4D9A">
        <w:rPr>
          <w:lang w:val="en-US"/>
        </w:rPr>
        <w:t xml:space="preserve">implemented by </w:t>
      </w:r>
      <w:r w:rsidR="00B27BC6">
        <w:rPr>
          <w:lang w:val="en-US"/>
        </w:rPr>
        <w:t xml:space="preserve">2015. </w:t>
      </w:r>
    </w:p>
    <w:p w:rsidR="002102FA" w:rsidRDefault="009A1012" w:rsidP="0047591C">
      <w:pPr>
        <w:pStyle w:val="Body"/>
        <w:jc w:val="both"/>
        <w:rPr>
          <w:lang w:val="en-US"/>
        </w:rPr>
      </w:pPr>
      <w:r w:rsidRPr="00B12C8E">
        <w:rPr>
          <w:lang w:val="en-US"/>
        </w:rPr>
        <w:t xml:space="preserve">The first TPU was set up in </w:t>
      </w:r>
      <w:r w:rsidR="00404DFA" w:rsidRPr="00B12C8E">
        <w:rPr>
          <w:lang w:val="en-US"/>
        </w:rPr>
        <w:t xml:space="preserve">Porirua in </w:t>
      </w:r>
      <w:r w:rsidRPr="00B12C8E">
        <w:rPr>
          <w:lang w:val="en-US"/>
        </w:rPr>
        <w:t>1994</w:t>
      </w:r>
      <w:r w:rsidR="00FA5D89" w:rsidRPr="00B12C8E">
        <w:rPr>
          <w:lang w:val="en-US"/>
        </w:rPr>
        <w:t xml:space="preserve"> (Baragwanath, 1997)</w:t>
      </w:r>
      <w:r w:rsidR="00161304" w:rsidRPr="00B12C8E">
        <w:rPr>
          <w:lang w:val="en-US"/>
        </w:rPr>
        <w:t>. S</w:t>
      </w:r>
      <w:r w:rsidRPr="00B12C8E">
        <w:rPr>
          <w:lang w:val="en-US"/>
        </w:rPr>
        <w:t>ince then</w:t>
      </w:r>
      <w:r w:rsidR="002102FA">
        <w:rPr>
          <w:lang w:val="en-US"/>
        </w:rPr>
        <w:t>,</w:t>
      </w:r>
      <w:r w:rsidRPr="00B12C8E">
        <w:rPr>
          <w:lang w:val="en-US"/>
        </w:rPr>
        <w:t xml:space="preserve"> </w:t>
      </w:r>
      <w:r w:rsidR="00161304" w:rsidRPr="00B12C8E">
        <w:rPr>
          <w:lang w:val="en-US"/>
        </w:rPr>
        <w:t xml:space="preserve">new units </w:t>
      </w:r>
      <w:r w:rsidR="0042073E">
        <w:rPr>
          <w:lang w:val="en-US"/>
        </w:rPr>
        <w:t xml:space="preserve">have </w:t>
      </w:r>
      <w:r w:rsidR="00A806B1" w:rsidRPr="00B12C8E">
        <w:rPr>
          <w:lang w:val="en-US"/>
        </w:rPr>
        <w:t xml:space="preserve">progressively </w:t>
      </w:r>
      <w:r w:rsidR="007A7C38" w:rsidRPr="00B12C8E">
        <w:rPr>
          <w:lang w:val="en-US"/>
        </w:rPr>
        <w:t xml:space="preserve">been </w:t>
      </w:r>
      <w:r w:rsidR="00161304" w:rsidRPr="00B12C8E">
        <w:rPr>
          <w:lang w:val="en-US"/>
        </w:rPr>
        <w:t xml:space="preserve">established in </w:t>
      </w:r>
      <w:r w:rsidR="00404DFA" w:rsidRPr="00B12C8E">
        <w:rPr>
          <w:lang w:val="en-US"/>
        </w:rPr>
        <w:t xml:space="preserve">other </w:t>
      </w:r>
      <w:r w:rsidR="00A806B1" w:rsidRPr="00B12C8E">
        <w:rPr>
          <w:lang w:val="en-US"/>
        </w:rPr>
        <w:t>parts of the country</w:t>
      </w:r>
      <w:r w:rsidR="00161304" w:rsidRPr="00B12C8E">
        <w:rPr>
          <w:lang w:val="en-US"/>
        </w:rPr>
        <w:t xml:space="preserve">. </w:t>
      </w:r>
      <w:r w:rsidR="00A806B1" w:rsidRPr="00B12C8E">
        <w:rPr>
          <w:lang w:val="en-US"/>
        </w:rPr>
        <w:t>E</w:t>
      </w:r>
      <w:r w:rsidR="00161304" w:rsidRPr="00EC5140">
        <w:rPr>
          <w:lang w:val="en-US"/>
        </w:rPr>
        <w:t>stablishment is driven</w:t>
      </w:r>
      <w:r w:rsidR="00771162">
        <w:rPr>
          <w:lang w:val="en-US"/>
        </w:rPr>
        <w:t xml:space="preserve"> by</w:t>
      </w:r>
      <w:r w:rsidR="00161304" w:rsidRPr="00EC5140">
        <w:rPr>
          <w:lang w:val="en-US"/>
        </w:rPr>
        <w:t xml:space="preserve"> </w:t>
      </w:r>
      <w:r w:rsidR="00B27BC6">
        <w:rPr>
          <w:lang w:val="en-US"/>
        </w:rPr>
        <w:t xml:space="preserve">community interest and national need. Before establishing a new TPU there needs to be interest from a potential </w:t>
      </w:r>
      <w:r w:rsidR="00566F2C">
        <w:rPr>
          <w:lang w:val="en-US"/>
        </w:rPr>
        <w:t>governing</w:t>
      </w:r>
      <w:r w:rsidR="00B27BC6">
        <w:rPr>
          <w:lang w:val="en-US"/>
        </w:rPr>
        <w:t xml:space="preserve"> school, evidence that a minimum of 15 students are ready to enrol, evidence of roll sustainability, space available to accommodate a TPU and links with an early childhood education service. The Ministry of Education is the final arbiter on resourcing a new TPU (ERO, 2007; ERO, 2011; ERO, 2014).  </w:t>
      </w:r>
    </w:p>
    <w:p w:rsidR="00B27BC6" w:rsidRDefault="00B27BC6" w:rsidP="0047591C">
      <w:pPr>
        <w:pStyle w:val="Body"/>
        <w:jc w:val="both"/>
      </w:pPr>
      <w:r>
        <w:rPr>
          <w:lang w:val="en-US"/>
        </w:rPr>
        <w:t>At the time of writing, the Ministry of Education funded 23 TPUs.</w:t>
      </w:r>
      <w:r>
        <w:rPr>
          <w:rStyle w:val="FootnoteReference"/>
          <w:lang w:val="en-US"/>
        </w:rPr>
        <w:footnoteReference w:id="4"/>
      </w:r>
      <w:r>
        <w:rPr>
          <w:lang w:val="en-US"/>
        </w:rPr>
        <w:t xml:space="preserve">  Young parents in many parts of the country did not have access to a TPU. In 2014</w:t>
      </w:r>
      <w:r w:rsidR="005F4DCA">
        <w:rPr>
          <w:lang w:val="en-US"/>
        </w:rPr>
        <w:t>,</w:t>
      </w:r>
      <w:r>
        <w:rPr>
          <w:lang w:val="en-US"/>
        </w:rPr>
        <w:t xml:space="preserve"> the Ministry set up the </w:t>
      </w:r>
      <w:r w:rsidRPr="00B27BC6">
        <w:rPr>
          <w:lang w:val="en-US"/>
        </w:rPr>
        <w:t>“Teen Parents in Mainstream Schools”</w:t>
      </w:r>
      <w:r>
        <w:rPr>
          <w:lang w:val="en-US"/>
        </w:rPr>
        <w:t xml:space="preserve"> pilot programme to provide additional support to schools and students in areas where a TPU was </w:t>
      </w:r>
      <w:r w:rsidR="005F4DCA">
        <w:rPr>
          <w:lang w:val="en-US"/>
        </w:rPr>
        <w:t xml:space="preserve">either </w:t>
      </w:r>
      <w:r>
        <w:rPr>
          <w:lang w:val="en-US"/>
        </w:rPr>
        <w:t>not available</w:t>
      </w:r>
      <w:r w:rsidR="00771162">
        <w:rPr>
          <w:lang w:val="en-US"/>
        </w:rPr>
        <w:t>,</w:t>
      </w:r>
      <w:r>
        <w:rPr>
          <w:lang w:val="en-US"/>
        </w:rPr>
        <w:t xml:space="preserve"> or </w:t>
      </w:r>
      <w:r w:rsidR="005F4DCA">
        <w:rPr>
          <w:lang w:val="en-US"/>
        </w:rPr>
        <w:t>an existing unit did not have the capacity to take on additional students</w:t>
      </w:r>
      <w:r>
        <w:rPr>
          <w:lang w:val="en-US"/>
        </w:rPr>
        <w:t xml:space="preserve">. At the time of </w:t>
      </w:r>
      <w:r w:rsidR="005F4DCA">
        <w:rPr>
          <w:lang w:val="en-US"/>
        </w:rPr>
        <w:t xml:space="preserve">this </w:t>
      </w:r>
      <w:r>
        <w:rPr>
          <w:lang w:val="en-US"/>
        </w:rPr>
        <w:t>writing</w:t>
      </w:r>
      <w:r w:rsidR="005F4DCA">
        <w:rPr>
          <w:lang w:val="en-US"/>
        </w:rPr>
        <w:t>,</w:t>
      </w:r>
      <w:r>
        <w:rPr>
          <w:lang w:val="en-US"/>
        </w:rPr>
        <w:t xml:space="preserve"> th</w:t>
      </w:r>
      <w:r w:rsidR="005F4DCA">
        <w:rPr>
          <w:lang w:val="en-US"/>
        </w:rPr>
        <w:t>is</w:t>
      </w:r>
      <w:r>
        <w:rPr>
          <w:lang w:val="en-US"/>
        </w:rPr>
        <w:t xml:space="preserve"> pilot </w:t>
      </w:r>
      <w:r w:rsidR="005F4DCA">
        <w:rPr>
          <w:lang w:val="en-US"/>
        </w:rPr>
        <w:t xml:space="preserve">programme </w:t>
      </w:r>
      <w:r>
        <w:rPr>
          <w:lang w:val="en-US"/>
        </w:rPr>
        <w:t xml:space="preserve">was undergoing evaluation.  </w:t>
      </w:r>
    </w:p>
    <w:p w:rsidR="00D66BFE" w:rsidRDefault="00D66BFE">
      <w:pPr>
        <w:rPr>
          <w:rFonts w:eastAsiaTheme="majorEastAsia"/>
          <w:bCs/>
          <w:sz w:val="36"/>
          <w:szCs w:val="28"/>
          <w:lang w:val="fr-FR"/>
        </w:rPr>
      </w:pPr>
      <w:r>
        <w:rPr>
          <w:lang w:val="fr-FR"/>
        </w:rPr>
        <w:br w:type="page"/>
      </w:r>
    </w:p>
    <w:p w:rsidR="005C7AEF" w:rsidRPr="0021065A" w:rsidRDefault="003E1573" w:rsidP="0021065A">
      <w:pPr>
        <w:pStyle w:val="Heading1"/>
        <w:ind w:left="709" w:hanging="709"/>
        <w:rPr>
          <w:rFonts w:ascii="Times New Roman" w:hAnsi="Times New Roman" w:cs="Times New Roman"/>
          <w:lang w:val="fr-FR"/>
        </w:rPr>
      </w:pPr>
      <w:bookmarkStart w:id="7" w:name="_Toc473803307"/>
      <w:r w:rsidRPr="0021065A">
        <w:rPr>
          <w:rFonts w:ascii="Times New Roman" w:hAnsi="Times New Roman" w:cs="Times New Roman"/>
          <w:lang w:val="fr-FR"/>
        </w:rPr>
        <w:t>Existing Evidence Base</w:t>
      </w:r>
      <w:bookmarkEnd w:id="7"/>
    </w:p>
    <w:p w:rsidR="00673FB8" w:rsidRDefault="00B82480" w:rsidP="00B82480">
      <w:pPr>
        <w:pStyle w:val="Body"/>
        <w:jc w:val="both"/>
        <w:rPr>
          <w:lang w:val="en-US"/>
        </w:rPr>
      </w:pPr>
      <w:r>
        <w:rPr>
          <w:lang w:val="en-US"/>
        </w:rPr>
        <w:t>Consistent with international literature, New Zealand’s long-standing Christchurch and Dunedin longitudinal studies have shown strong associations between adversity in childhood and adolescence, early transition to parenthood, and educational underachievement and other poor outcomes in adulthood (Woodward and Fergusson, 1999; Fergusson and Woodward, 2000; Boden</w:t>
      </w:r>
      <w:r w:rsidR="002472FC">
        <w:rPr>
          <w:lang w:val="en-US"/>
        </w:rPr>
        <w:t xml:space="preserve"> et al., 2008; Gibb et al., 2015</w:t>
      </w:r>
      <w:r>
        <w:rPr>
          <w:lang w:val="en-US"/>
        </w:rPr>
        <w:t xml:space="preserve">; Jaffee et al., 2001). </w:t>
      </w:r>
      <w:r w:rsidR="005F4DCA">
        <w:rPr>
          <w:lang w:val="en-US"/>
        </w:rPr>
        <w:t>A s</w:t>
      </w:r>
      <w:r>
        <w:rPr>
          <w:lang w:val="en-US"/>
        </w:rPr>
        <w:t>t</w:t>
      </w:r>
      <w:r w:rsidR="002472FC">
        <w:rPr>
          <w:lang w:val="en-US"/>
        </w:rPr>
        <w:t xml:space="preserve">udy </w:t>
      </w:r>
      <w:r w:rsidR="005F4DCA">
        <w:rPr>
          <w:lang w:val="en-US"/>
        </w:rPr>
        <w:t xml:space="preserve">on </w:t>
      </w:r>
      <w:r w:rsidR="002472FC">
        <w:rPr>
          <w:lang w:val="en-US"/>
        </w:rPr>
        <w:t xml:space="preserve">the more recent </w:t>
      </w:r>
      <w:r w:rsidR="002102FA">
        <w:rPr>
          <w:lang w:val="en-US"/>
        </w:rPr>
        <w:t>G</w:t>
      </w:r>
      <w:r w:rsidR="002472FC">
        <w:rPr>
          <w:lang w:val="en-US"/>
        </w:rPr>
        <w:t xml:space="preserve">rowing </w:t>
      </w:r>
      <w:r w:rsidR="002102FA">
        <w:rPr>
          <w:lang w:val="en-US"/>
        </w:rPr>
        <w:t xml:space="preserve">Up </w:t>
      </w:r>
      <w:r>
        <w:rPr>
          <w:lang w:val="en-US"/>
        </w:rPr>
        <w:t xml:space="preserve">in New Zealand cohort highlights the clustering of young maternal age with other risk factors such as having no partner, low education level, smoking during pregnancy and receipt of an income-tested </w:t>
      </w:r>
      <w:r w:rsidR="00BC4C98">
        <w:rPr>
          <w:lang w:val="en-US"/>
        </w:rPr>
        <w:t xml:space="preserve">welfare </w:t>
      </w:r>
      <w:r>
        <w:rPr>
          <w:lang w:val="en-US"/>
        </w:rPr>
        <w:t xml:space="preserve">benefit (Morton et al., 2015). </w:t>
      </w:r>
    </w:p>
    <w:p w:rsidR="00B82480" w:rsidRDefault="00B82480" w:rsidP="00B82480">
      <w:pPr>
        <w:pStyle w:val="Body"/>
        <w:jc w:val="both"/>
        <w:rPr>
          <w:szCs w:val="24"/>
          <w:lang w:val="en-US"/>
        </w:rPr>
      </w:pPr>
      <w:r>
        <w:rPr>
          <w:lang w:val="en-US"/>
        </w:rPr>
        <w:t>Other New Zealand studies have documented the very high needs of many of the students attending TPUs (Johnson and Denny, 2007), and the barriers young mothers can face in accessing information, health services and other support</w:t>
      </w:r>
      <w:r w:rsidR="00771162">
        <w:rPr>
          <w:lang w:val="en-US"/>
        </w:rPr>
        <w:t xml:space="preserve"> services</w:t>
      </w:r>
      <w:r>
        <w:rPr>
          <w:lang w:val="en-US"/>
        </w:rPr>
        <w:t xml:space="preserve"> (Makowharemahihi et al., 2014; Johnson and Denny, 2007; Rawiri, 2007). </w:t>
      </w:r>
    </w:p>
    <w:p w:rsidR="00B82480" w:rsidRDefault="00B82480" w:rsidP="00B82480">
      <w:pPr>
        <w:pStyle w:val="Body"/>
        <w:jc w:val="both"/>
        <w:rPr>
          <w:szCs w:val="24"/>
          <w:lang w:val="en-US"/>
        </w:rPr>
      </w:pPr>
      <w:r>
        <w:rPr>
          <w:lang w:val="en-US"/>
        </w:rPr>
        <w:t xml:space="preserve">While these studies provide </w:t>
      </w:r>
      <w:r w:rsidR="002102FA">
        <w:rPr>
          <w:lang w:val="en-US"/>
        </w:rPr>
        <w:t xml:space="preserve">evidence that </w:t>
      </w:r>
      <w:r>
        <w:rPr>
          <w:lang w:val="en-US"/>
        </w:rPr>
        <w:t>support</w:t>
      </w:r>
      <w:r w:rsidR="00AA23BA">
        <w:rPr>
          <w:lang w:val="en-US"/>
        </w:rPr>
        <w:t>s</w:t>
      </w:r>
      <w:r w:rsidR="002102FA">
        <w:rPr>
          <w:lang w:val="en-US"/>
        </w:rPr>
        <w:t xml:space="preserve"> </w:t>
      </w:r>
      <w:r w:rsidR="00910396">
        <w:rPr>
          <w:lang w:val="en-US"/>
        </w:rPr>
        <w:t xml:space="preserve">the </w:t>
      </w:r>
      <w:r>
        <w:rPr>
          <w:lang w:val="en-US"/>
        </w:rPr>
        <w:t xml:space="preserve">provision of specialist and intensive services </w:t>
      </w:r>
      <w:r w:rsidR="002102FA">
        <w:rPr>
          <w:lang w:val="en-US"/>
        </w:rPr>
        <w:t xml:space="preserve">for </w:t>
      </w:r>
      <w:r>
        <w:rPr>
          <w:lang w:val="en-US"/>
        </w:rPr>
        <w:t>young parents and their children, to date there has been no quantitative study</w:t>
      </w:r>
      <w:r w:rsidR="009F07D1">
        <w:rPr>
          <w:lang w:val="en-US"/>
        </w:rPr>
        <w:t xml:space="preserve"> that</w:t>
      </w:r>
      <w:r>
        <w:rPr>
          <w:lang w:val="en-US"/>
        </w:rPr>
        <w:t xml:space="preserve"> establish</w:t>
      </w:r>
      <w:r w:rsidR="009F07D1">
        <w:rPr>
          <w:lang w:val="en-US"/>
        </w:rPr>
        <w:t>es</w:t>
      </w:r>
      <w:r>
        <w:rPr>
          <w:lang w:val="en-US"/>
        </w:rPr>
        <w:t xml:space="preserve"> whether TPUs are effective </w:t>
      </w:r>
      <w:r w:rsidR="00910396">
        <w:rPr>
          <w:lang w:val="en-US"/>
        </w:rPr>
        <w:t xml:space="preserve">in improving the educational outcomes for teenage parents </w:t>
      </w:r>
      <w:r>
        <w:rPr>
          <w:lang w:val="en-US"/>
        </w:rPr>
        <w:t>(ERO, 2014). Nor has there been any investigation of their efficacy and cost effectiveness relative to other interventions such as intensive home visiting, supported housing</w:t>
      </w:r>
      <w:r w:rsidR="003E1573">
        <w:rPr>
          <w:lang w:val="en-US"/>
        </w:rPr>
        <w:t>,</w:t>
      </w:r>
      <w:r>
        <w:rPr>
          <w:lang w:val="en-US"/>
        </w:rPr>
        <w:t xml:space="preserve"> </w:t>
      </w:r>
      <w:r w:rsidR="00632DE5">
        <w:rPr>
          <w:lang w:val="en-US"/>
        </w:rPr>
        <w:t xml:space="preserve">or </w:t>
      </w:r>
      <w:r>
        <w:rPr>
          <w:lang w:val="en-US"/>
        </w:rPr>
        <w:t>enhanced services in mainstream school settings.</w:t>
      </w:r>
    </w:p>
    <w:p w:rsidR="00673FB8" w:rsidRDefault="00B82480" w:rsidP="00B82480">
      <w:pPr>
        <w:pStyle w:val="Body"/>
        <w:jc w:val="both"/>
        <w:rPr>
          <w:lang w:val="en-US"/>
        </w:rPr>
      </w:pPr>
      <w:r>
        <w:rPr>
          <w:lang w:val="en-US"/>
        </w:rPr>
        <w:t xml:space="preserve">Those studies that are available have provided some cause for optimism that TPUs do have a positive effect. In a small in-depth longitudinal qualitative study, young mothers who had attended a TPU </w:t>
      </w:r>
      <w:r w:rsidR="00910396">
        <w:rPr>
          <w:lang w:val="en-US"/>
        </w:rPr>
        <w:t xml:space="preserve">reported </w:t>
      </w:r>
      <w:r>
        <w:rPr>
          <w:lang w:val="en-US"/>
        </w:rPr>
        <w:t xml:space="preserve">it as </w:t>
      </w:r>
      <w:r w:rsidR="00910396">
        <w:rPr>
          <w:lang w:val="en-US"/>
        </w:rPr>
        <w:t xml:space="preserve">being </w:t>
      </w:r>
      <w:r>
        <w:rPr>
          <w:lang w:val="en-US"/>
        </w:rPr>
        <w:t xml:space="preserve">helpful in changing the course of their lives for the better. They had gained access to a service that gave them the </w:t>
      </w:r>
      <w:r>
        <w:t xml:space="preserve">opportunity to continue their education, gave focus to their lives, led to new relationships with skilled and competent adults, and provided ready access to services for themselves and their children </w:t>
      </w:r>
      <w:r>
        <w:rPr>
          <w:lang w:val="en-US"/>
        </w:rPr>
        <w:t xml:space="preserve">(Collins, 2010). </w:t>
      </w:r>
    </w:p>
    <w:p w:rsidR="00673FB8" w:rsidRDefault="00B82480" w:rsidP="00B82480">
      <w:pPr>
        <w:pStyle w:val="Body"/>
        <w:jc w:val="both"/>
        <w:rPr>
          <w:lang w:val="en-US"/>
        </w:rPr>
      </w:pPr>
      <w:r>
        <w:rPr>
          <w:lang w:val="en-US"/>
        </w:rPr>
        <w:t xml:space="preserve">These themes are echoed in </w:t>
      </w:r>
      <w:r w:rsidR="00B12A6A">
        <w:rPr>
          <w:lang w:val="en-US"/>
        </w:rPr>
        <w:t xml:space="preserve">a </w:t>
      </w:r>
      <w:r>
        <w:rPr>
          <w:lang w:val="en-US"/>
        </w:rPr>
        <w:t>student</w:t>
      </w:r>
      <w:r w:rsidR="00B12A6A">
        <w:rPr>
          <w:lang w:val="en-US"/>
        </w:rPr>
        <w:t xml:space="preserve"> </w:t>
      </w:r>
      <w:r>
        <w:rPr>
          <w:lang w:val="en-US"/>
        </w:rPr>
        <w:t xml:space="preserve">writing </w:t>
      </w:r>
      <w:r w:rsidR="00B12A6A">
        <w:rPr>
          <w:lang w:val="en-US"/>
        </w:rPr>
        <w:t xml:space="preserve">project </w:t>
      </w:r>
      <w:r>
        <w:rPr>
          <w:lang w:val="en-US"/>
        </w:rPr>
        <w:t>(He Huarahi Tamariki, 2015) and a small study focused on the experiences of Māori teenage mothers, most of whom attended a TPU (Rawiri, 2007). Results from a survey of 220 students from 19 TPUs showed that most felt safe and supported by their TPU, had plans to get more education o</w:t>
      </w:r>
      <w:r w:rsidR="00B12A6A">
        <w:rPr>
          <w:lang w:val="en-US"/>
        </w:rPr>
        <w:t>r</w:t>
      </w:r>
      <w:r>
        <w:rPr>
          <w:lang w:val="en-US"/>
        </w:rPr>
        <w:t xml:space="preserve"> training after leaving the TPU, and reported that their expectations for the future had become more positive since having their baby (Johnson and Denny, 2007). </w:t>
      </w:r>
    </w:p>
    <w:p w:rsidR="00B82480" w:rsidRPr="0072534B" w:rsidRDefault="00B82480" w:rsidP="00B82480">
      <w:pPr>
        <w:pStyle w:val="Body"/>
        <w:jc w:val="both"/>
        <w:rPr>
          <w:szCs w:val="24"/>
          <w:lang w:val="en-US"/>
        </w:rPr>
      </w:pPr>
      <w:r>
        <w:rPr>
          <w:lang w:val="en-US"/>
        </w:rPr>
        <w:t xml:space="preserve">There have been multiple reports on TPUs by </w:t>
      </w:r>
      <w:r w:rsidR="00673FB8">
        <w:rPr>
          <w:lang w:val="en-US"/>
        </w:rPr>
        <w:t>ERO</w:t>
      </w:r>
      <w:r>
        <w:rPr>
          <w:lang w:val="en-US"/>
        </w:rPr>
        <w:t xml:space="preserve">, the Government agency responsible for </w:t>
      </w:r>
      <w:r>
        <w:t>evaluating and reporting on the education and care of students in schools</w:t>
      </w:r>
      <w:r w:rsidR="00FE479B">
        <w:t xml:space="preserve"> </w:t>
      </w:r>
      <w:r w:rsidR="00E5243A">
        <w:t>and</w:t>
      </w:r>
      <w:r>
        <w:t xml:space="preserve"> early childhood services.</w:t>
      </w:r>
      <w:r>
        <w:rPr>
          <w:lang w:val="en-US"/>
        </w:rPr>
        <w:t xml:space="preserve"> These reports are </w:t>
      </w:r>
      <w:r w:rsidRPr="0072534B">
        <w:rPr>
          <w:szCs w:val="24"/>
          <w:lang w:val="en-US"/>
        </w:rPr>
        <w:t>qualitative in nature</w:t>
      </w:r>
      <w:r w:rsidR="00FE479B" w:rsidRPr="0072534B">
        <w:rPr>
          <w:szCs w:val="24"/>
          <w:lang w:val="en-US"/>
        </w:rPr>
        <w:t>,</w:t>
      </w:r>
      <w:r w:rsidRPr="0072534B">
        <w:rPr>
          <w:szCs w:val="24"/>
          <w:lang w:val="en-US"/>
        </w:rPr>
        <w:t xml:space="preserve"> and have looked closely at performance, process and governance issues. They document a range of </w:t>
      </w:r>
      <w:r w:rsidRPr="00180727">
        <w:rPr>
          <w:szCs w:val="24"/>
        </w:rPr>
        <w:t>practices that would be expected to lead to better educational, social, health and well</w:t>
      </w:r>
      <w:r w:rsidR="00B12A6A">
        <w:rPr>
          <w:szCs w:val="24"/>
        </w:rPr>
        <w:t>-</w:t>
      </w:r>
      <w:r w:rsidRPr="00180727">
        <w:rPr>
          <w:szCs w:val="24"/>
        </w:rPr>
        <w:t xml:space="preserve">being outcomes for students, and stories of </w:t>
      </w:r>
      <w:r w:rsidR="00093A69" w:rsidRPr="00180727">
        <w:rPr>
          <w:szCs w:val="24"/>
        </w:rPr>
        <w:t xml:space="preserve">students’ </w:t>
      </w:r>
      <w:r w:rsidRPr="00180727">
        <w:rPr>
          <w:szCs w:val="24"/>
        </w:rPr>
        <w:t>success</w:t>
      </w:r>
      <w:r w:rsidRPr="0072534B">
        <w:rPr>
          <w:szCs w:val="24"/>
          <w:lang w:val="en-US"/>
        </w:rPr>
        <w:t xml:space="preserve">. At the same time, however, they highlight difficulties with student attendance and retention, and while most TPUs are assessed as performing well, some are not (ERO, 2007; ERO, 2011; ERO, 2014). </w:t>
      </w:r>
    </w:p>
    <w:p w:rsidR="00673FB8" w:rsidRDefault="00B82480" w:rsidP="00B82480">
      <w:pPr>
        <w:pStyle w:val="Body"/>
        <w:jc w:val="both"/>
        <w:rPr>
          <w:lang w:val="en-US"/>
        </w:rPr>
      </w:pPr>
      <w:r>
        <w:rPr>
          <w:lang w:val="en-US"/>
        </w:rPr>
        <w:t>Initial development and design of TPUs was informed by specialised “schools-within-schools” operating in the U</w:t>
      </w:r>
      <w:r w:rsidR="00D65B1A">
        <w:rPr>
          <w:lang w:val="en-US"/>
        </w:rPr>
        <w:t xml:space="preserve">nited </w:t>
      </w:r>
      <w:r>
        <w:rPr>
          <w:lang w:val="en-US"/>
        </w:rPr>
        <w:t>S</w:t>
      </w:r>
      <w:r w:rsidR="00D65B1A">
        <w:rPr>
          <w:lang w:val="en-US"/>
        </w:rPr>
        <w:t>tates</w:t>
      </w:r>
      <w:r>
        <w:rPr>
          <w:lang w:val="en-US"/>
        </w:rPr>
        <w:t xml:space="preserve"> (Baragwanath,</w:t>
      </w:r>
      <w:r w:rsidR="00D27659">
        <w:rPr>
          <w:lang w:val="en-US"/>
        </w:rPr>
        <w:t xml:space="preserve"> 1997; Eisenhower Fellowships, no date</w:t>
      </w:r>
      <w:r>
        <w:rPr>
          <w:lang w:val="en-US"/>
        </w:rPr>
        <w:t>). There have been few robust studies of the effectiveness of these</w:t>
      </w:r>
      <w:r w:rsidR="00184F08">
        <w:rPr>
          <w:lang w:val="en-US"/>
        </w:rPr>
        <w:t xml:space="preserve"> schools</w:t>
      </w:r>
      <w:r w:rsidR="00FE479B">
        <w:rPr>
          <w:lang w:val="en-US"/>
        </w:rPr>
        <w:t>,</w:t>
      </w:r>
      <w:r>
        <w:rPr>
          <w:lang w:val="en-US"/>
        </w:rPr>
        <w:t xml:space="preserve"> or other U</w:t>
      </w:r>
      <w:r w:rsidR="00D65B1A">
        <w:rPr>
          <w:lang w:val="en-US"/>
        </w:rPr>
        <w:t xml:space="preserve">nited </w:t>
      </w:r>
      <w:r>
        <w:rPr>
          <w:lang w:val="en-US"/>
        </w:rPr>
        <w:t>S</w:t>
      </w:r>
      <w:r w:rsidR="00D65B1A">
        <w:rPr>
          <w:lang w:val="en-US"/>
        </w:rPr>
        <w:t>tates</w:t>
      </w:r>
      <w:r>
        <w:rPr>
          <w:lang w:val="en-US"/>
        </w:rPr>
        <w:t xml:space="preserve"> school-based interventions for adolescent parents and their children (Lach</w:t>
      </w:r>
      <w:r w:rsidR="008C5117">
        <w:rPr>
          <w:lang w:val="en-US"/>
        </w:rPr>
        <w:t>ance et al., 2012; Pinzon and Jones</w:t>
      </w:r>
      <w:r>
        <w:rPr>
          <w:lang w:val="en-US"/>
        </w:rPr>
        <w:t xml:space="preserve">, 2012; Seitz and Apfel, 1999). </w:t>
      </w:r>
    </w:p>
    <w:p w:rsidR="003E1573" w:rsidRDefault="00B82480" w:rsidP="00B82480">
      <w:pPr>
        <w:pStyle w:val="Body"/>
        <w:jc w:val="both"/>
        <w:rPr>
          <w:lang w:val="en-US"/>
        </w:rPr>
      </w:pPr>
      <w:r>
        <w:rPr>
          <w:lang w:val="en-US"/>
        </w:rPr>
        <w:t xml:space="preserve">Some of the strongest evidence that specialised school-based services can improve outcomes comes from an evaluation of the New Haven McCabe Centre, a school for pregnant teenagers. </w:t>
      </w:r>
      <w:r w:rsidR="00FE479B">
        <w:rPr>
          <w:lang w:val="en-US"/>
        </w:rPr>
        <w:t>Women</w:t>
      </w:r>
      <w:r>
        <w:rPr>
          <w:lang w:val="en-US"/>
        </w:rPr>
        <w:t xml:space="preserve"> wh</w:t>
      </w:r>
      <w:r w:rsidR="00FE479B">
        <w:rPr>
          <w:lang w:val="en-US"/>
        </w:rPr>
        <w:t>ose</w:t>
      </w:r>
      <w:r>
        <w:rPr>
          <w:lang w:val="en-US"/>
        </w:rPr>
        <w:t xml:space="preserve"> enrolment in the school was delayed </w:t>
      </w:r>
      <w:r w:rsidR="00184F08">
        <w:rPr>
          <w:lang w:val="en-US"/>
        </w:rPr>
        <w:t>due to</w:t>
      </w:r>
      <w:r>
        <w:rPr>
          <w:lang w:val="en-US"/>
        </w:rPr>
        <w:t xml:space="preserve"> the long summer vacation were more likely than other enrollees to have a pre-term birth. Maximum possible duration of enrolment in the school was, in effect, randomly allocated because students were only allowed to attend until the end of the school quarter in which their baby was born. After disregarding students who dropped out early, those allowed to remain in the school longer than </w:t>
      </w:r>
      <w:r w:rsidR="00AA23BA">
        <w:rPr>
          <w:lang w:val="en-US"/>
        </w:rPr>
        <w:t>seven</w:t>
      </w:r>
      <w:r>
        <w:rPr>
          <w:lang w:val="en-US"/>
        </w:rPr>
        <w:t xml:space="preserve"> weeks </w:t>
      </w:r>
      <w:r w:rsidR="00673FB8">
        <w:rPr>
          <w:lang w:val="en-US"/>
        </w:rPr>
        <w:t>post-birth</w:t>
      </w:r>
      <w:r>
        <w:rPr>
          <w:lang w:val="en-US"/>
        </w:rPr>
        <w:t xml:space="preserve"> were less likely to have a subsequent child after a </w:t>
      </w:r>
      <w:r w:rsidR="00AA23BA">
        <w:rPr>
          <w:lang w:val="en-US"/>
        </w:rPr>
        <w:t>five</w:t>
      </w:r>
      <w:r>
        <w:rPr>
          <w:lang w:val="en-US"/>
        </w:rPr>
        <w:t xml:space="preserve"> year follow-up than those who were allowed to remain for a shorter period. In addition, for </w:t>
      </w:r>
      <w:r w:rsidR="00FE479B">
        <w:rPr>
          <w:lang w:val="en-US"/>
        </w:rPr>
        <w:t>students</w:t>
      </w:r>
      <w:r>
        <w:rPr>
          <w:lang w:val="en-US"/>
        </w:rPr>
        <w:t xml:space="preserve"> who had been </w:t>
      </w:r>
      <w:r w:rsidR="00AA23BA">
        <w:rPr>
          <w:lang w:val="en-US"/>
        </w:rPr>
        <w:t>performing poorly</w:t>
      </w:r>
      <w:r>
        <w:rPr>
          <w:lang w:val="en-US"/>
        </w:rPr>
        <w:t xml:space="preserve"> prior to becoming pregnant, there was a positive association between the length of time they were</w:t>
      </w:r>
      <w:r w:rsidR="003E1573">
        <w:rPr>
          <w:lang w:val="en-US"/>
        </w:rPr>
        <w:t xml:space="preserve"> </w:t>
      </w:r>
      <w:r>
        <w:rPr>
          <w:lang w:val="en-US"/>
        </w:rPr>
        <w:t>allowed to attend and their educational outcomes</w:t>
      </w:r>
      <w:r w:rsidR="0072534B">
        <w:rPr>
          <w:lang w:val="en-US"/>
        </w:rPr>
        <w:t xml:space="preserve"> </w:t>
      </w:r>
      <w:r>
        <w:rPr>
          <w:lang w:val="en-US"/>
        </w:rPr>
        <w:t>(Seitz</w:t>
      </w:r>
      <w:r w:rsidR="002102FA" w:rsidRPr="002102FA">
        <w:rPr>
          <w:lang w:val="en-US"/>
        </w:rPr>
        <w:t xml:space="preserve"> </w:t>
      </w:r>
      <w:r w:rsidR="002102FA">
        <w:rPr>
          <w:lang w:val="en-US"/>
        </w:rPr>
        <w:t>and Apfel</w:t>
      </w:r>
      <w:r>
        <w:rPr>
          <w:lang w:val="en-US"/>
        </w:rPr>
        <w:t xml:space="preserve">, 1999). </w:t>
      </w:r>
    </w:p>
    <w:p w:rsidR="00B82480" w:rsidRDefault="00B82480" w:rsidP="00B82480">
      <w:pPr>
        <w:pStyle w:val="Body"/>
        <w:jc w:val="both"/>
        <w:rPr>
          <w:lang w:val="en-US"/>
        </w:rPr>
      </w:pPr>
      <w:r>
        <w:rPr>
          <w:lang w:val="en-US"/>
        </w:rPr>
        <w:t>Additional evidence</w:t>
      </w:r>
      <w:r w:rsidR="00FE479B">
        <w:rPr>
          <w:lang w:val="en-US"/>
        </w:rPr>
        <w:t xml:space="preserve"> </w:t>
      </w:r>
      <w:r w:rsidR="00184F08">
        <w:rPr>
          <w:lang w:val="en-US"/>
        </w:rPr>
        <w:t>suggestive of a</w:t>
      </w:r>
      <w:r>
        <w:rPr>
          <w:lang w:val="en-US"/>
        </w:rPr>
        <w:t xml:space="preserve"> positive impact on educational outcomes</w:t>
      </w:r>
      <w:r w:rsidR="005E4641">
        <w:rPr>
          <w:lang w:val="en-US"/>
        </w:rPr>
        <w:t xml:space="preserve"> from </w:t>
      </w:r>
      <w:r w:rsidR="00FC1EC4">
        <w:rPr>
          <w:lang w:val="en-US"/>
        </w:rPr>
        <w:t xml:space="preserve">a </w:t>
      </w:r>
      <w:r w:rsidR="005E4641">
        <w:rPr>
          <w:lang w:val="en-US"/>
        </w:rPr>
        <w:t>teen-</w:t>
      </w:r>
      <w:r w:rsidR="00FE479B">
        <w:rPr>
          <w:lang w:val="en-US"/>
        </w:rPr>
        <w:t>parent school program</w:t>
      </w:r>
      <w:r w:rsidR="00AA23BA">
        <w:rPr>
          <w:lang w:val="en-US"/>
        </w:rPr>
        <w:t>me</w:t>
      </w:r>
      <w:r>
        <w:rPr>
          <w:lang w:val="en-US"/>
        </w:rPr>
        <w:t xml:space="preserve"> comes from an impact evaluation of on-site high-quality childcare </w:t>
      </w:r>
      <w:r w:rsidR="00FE479B">
        <w:rPr>
          <w:lang w:val="en-US"/>
        </w:rPr>
        <w:t xml:space="preserve">that was </w:t>
      </w:r>
      <w:r>
        <w:rPr>
          <w:lang w:val="en-US"/>
        </w:rPr>
        <w:t xml:space="preserve">made available to teen mothers in New York State conditional on their school attendance. The childcare </w:t>
      </w:r>
      <w:r w:rsidR="00F028BB">
        <w:rPr>
          <w:lang w:val="en-US"/>
        </w:rPr>
        <w:t>cent</w:t>
      </w:r>
      <w:r w:rsidR="00AA23BA">
        <w:rPr>
          <w:lang w:val="en-US"/>
        </w:rPr>
        <w:t>res</w:t>
      </w:r>
      <w:r>
        <w:rPr>
          <w:lang w:val="en-US"/>
        </w:rPr>
        <w:t xml:space="preserve"> were a source of advocacy and support, parent education</w:t>
      </w:r>
      <w:r w:rsidR="00E5243A">
        <w:rPr>
          <w:lang w:val="en-US"/>
        </w:rPr>
        <w:t>,</w:t>
      </w:r>
      <w:r>
        <w:rPr>
          <w:lang w:val="en-US"/>
        </w:rPr>
        <w:t xml:space="preserve"> and connection to other community agencies. The evaluation compared mothers who enrolled in the </w:t>
      </w:r>
      <w:r w:rsidR="00DF661F">
        <w:rPr>
          <w:lang w:val="en-US"/>
        </w:rPr>
        <w:t xml:space="preserve">programme </w:t>
      </w:r>
      <w:r>
        <w:rPr>
          <w:lang w:val="en-US"/>
        </w:rPr>
        <w:t>with those who applied for enrolment and were placed on a waiting list but did not go on to participate. Th</w:t>
      </w:r>
      <w:r w:rsidR="00184F08">
        <w:rPr>
          <w:lang w:val="en-US"/>
        </w:rPr>
        <w:t>e</w:t>
      </w:r>
      <w:r>
        <w:rPr>
          <w:lang w:val="en-US"/>
        </w:rPr>
        <w:t xml:space="preserve"> latter group of mothers who were used as </w:t>
      </w:r>
      <w:r w:rsidR="00673FB8">
        <w:rPr>
          <w:lang w:val="en-US"/>
        </w:rPr>
        <w:t xml:space="preserve">a </w:t>
      </w:r>
      <w:r>
        <w:rPr>
          <w:lang w:val="en-US"/>
        </w:rPr>
        <w:t>control</w:t>
      </w:r>
      <w:r w:rsidR="00673FB8">
        <w:rPr>
          <w:lang w:val="en-US"/>
        </w:rPr>
        <w:t xml:space="preserve"> group</w:t>
      </w:r>
      <w:r>
        <w:rPr>
          <w:lang w:val="en-US"/>
        </w:rPr>
        <w:t xml:space="preserve"> showed significantly more adverse pre-program</w:t>
      </w:r>
      <w:r w:rsidR="00AA23BA">
        <w:rPr>
          <w:lang w:val="en-US"/>
        </w:rPr>
        <w:t>me</w:t>
      </w:r>
      <w:r>
        <w:rPr>
          <w:lang w:val="en-US"/>
        </w:rPr>
        <w:t xml:space="preserve"> histor</w:t>
      </w:r>
      <w:r w:rsidR="00FC1EC4">
        <w:rPr>
          <w:lang w:val="en-US"/>
        </w:rPr>
        <w:t>ies</w:t>
      </w:r>
      <w:r>
        <w:rPr>
          <w:lang w:val="en-US"/>
        </w:rPr>
        <w:t xml:space="preserve"> compared to those who were enrolled.</w:t>
      </w:r>
      <w:r w:rsidR="0080457C">
        <w:rPr>
          <w:lang w:val="en-US"/>
        </w:rPr>
        <w:t xml:space="preserve"> </w:t>
      </w:r>
      <w:r>
        <w:rPr>
          <w:lang w:val="en-US"/>
        </w:rPr>
        <w:t>While the study found positive impacts after controlling for these differences, unobserved differences in risk and motivation may have remained (Crean et al., 2001).</w:t>
      </w:r>
    </w:p>
    <w:p w:rsidR="006B72EB" w:rsidRPr="006B72EB" w:rsidRDefault="006B72EB" w:rsidP="006B72EB">
      <w:pPr>
        <w:pStyle w:val="body0"/>
        <w:jc w:val="both"/>
        <w:rPr>
          <w:rFonts w:eastAsia="Arial Unicode MS" w:cs="Arial Unicode MS"/>
          <w:szCs w:val="22"/>
          <w:u w:color="000000"/>
          <w:bdr w:val="nil"/>
          <w:lang w:val="en-US" w:eastAsia="en-SG"/>
        </w:rPr>
      </w:pPr>
      <w:r w:rsidRPr="006B72EB">
        <w:rPr>
          <w:rFonts w:eastAsia="Arial Unicode MS" w:cs="Arial Unicode MS"/>
          <w:szCs w:val="22"/>
          <w:u w:color="000000"/>
          <w:bdr w:val="nil"/>
          <w:lang w:val="en-US" w:eastAsia="en-SG"/>
        </w:rPr>
        <w:t>Other programmes that are not school-based</w:t>
      </w:r>
      <w:r w:rsidR="005E4641">
        <w:rPr>
          <w:rFonts w:eastAsia="Arial Unicode MS" w:cs="Arial Unicode MS"/>
          <w:szCs w:val="22"/>
          <w:u w:color="000000"/>
          <w:bdr w:val="nil"/>
          <w:lang w:val="en-US" w:eastAsia="en-SG"/>
        </w:rPr>
        <w:t>,</w:t>
      </w:r>
      <w:r w:rsidRPr="006B72EB">
        <w:rPr>
          <w:rFonts w:eastAsia="Arial Unicode MS" w:cs="Arial Unicode MS"/>
          <w:szCs w:val="22"/>
          <w:u w:color="000000"/>
          <w:bdr w:val="nil"/>
          <w:lang w:val="en-US" w:eastAsia="en-SG"/>
        </w:rPr>
        <w:t xml:space="preserve"> but have some similarities to TPUs in the package of support</w:t>
      </w:r>
      <w:r w:rsidR="005E4641">
        <w:rPr>
          <w:rFonts w:eastAsia="Arial Unicode MS" w:cs="Arial Unicode MS"/>
          <w:szCs w:val="22"/>
          <w:u w:color="000000"/>
          <w:bdr w:val="nil"/>
          <w:lang w:val="en-US" w:eastAsia="en-SG"/>
        </w:rPr>
        <w:t xml:space="preserve"> services</w:t>
      </w:r>
      <w:r w:rsidRPr="006B72EB">
        <w:rPr>
          <w:rFonts w:eastAsia="Arial Unicode MS" w:cs="Arial Unicode MS"/>
          <w:szCs w:val="22"/>
          <w:u w:color="000000"/>
          <w:bdr w:val="nil"/>
          <w:lang w:val="en-US" w:eastAsia="en-SG"/>
        </w:rPr>
        <w:t xml:space="preserve"> they provide</w:t>
      </w:r>
      <w:r w:rsidR="005E4641">
        <w:rPr>
          <w:rFonts w:eastAsia="Arial Unicode MS" w:cs="Arial Unicode MS"/>
          <w:szCs w:val="22"/>
          <w:u w:color="000000"/>
          <w:bdr w:val="nil"/>
          <w:lang w:val="en-US" w:eastAsia="en-SG"/>
        </w:rPr>
        <w:t>,</w:t>
      </w:r>
      <w:r w:rsidRPr="006B72EB">
        <w:rPr>
          <w:rFonts w:eastAsia="Arial Unicode MS" w:cs="Arial Unicode MS"/>
          <w:szCs w:val="22"/>
          <w:u w:color="000000"/>
          <w:bdr w:val="nil"/>
          <w:lang w:val="en-US" w:eastAsia="en-SG"/>
        </w:rPr>
        <w:t xml:space="preserve"> have been examined in a series of randomi</w:t>
      </w:r>
      <w:r w:rsidR="00FD35F4">
        <w:rPr>
          <w:rFonts w:eastAsia="Arial Unicode MS" w:cs="Arial Unicode MS"/>
          <w:szCs w:val="22"/>
          <w:u w:color="000000"/>
          <w:bdr w:val="nil"/>
          <w:lang w:val="en-US" w:eastAsia="en-SG"/>
        </w:rPr>
        <w:t>s</w:t>
      </w:r>
      <w:r w:rsidRPr="006B72EB">
        <w:rPr>
          <w:rFonts w:eastAsia="Arial Unicode MS" w:cs="Arial Unicode MS"/>
          <w:szCs w:val="22"/>
          <w:u w:color="000000"/>
          <w:bdr w:val="nil"/>
          <w:lang w:val="en-US" w:eastAsia="en-SG"/>
        </w:rPr>
        <w:t xml:space="preserve">ed controlled trials in the United States. A systematic review by Harden and colleagues </w:t>
      </w:r>
      <w:r w:rsidR="00953DB3">
        <w:rPr>
          <w:rFonts w:eastAsia="Arial Unicode MS" w:cs="Arial Unicode MS"/>
          <w:szCs w:val="22"/>
          <w:u w:color="000000"/>
          <w:bdr w:val="nil"/>
          <w:lang w:val="en-US" w:eastAsia="en-SG"/>
        </w:rPr>
        <w:t xml:space="preserve">(2006) </w:t>
      </w:r>
      <w:r w:rsidRPr="006B72EB">
        <w:rPr>
          <w:rFonts w:eastAsia="Arial Unicode MS" w:cs="Arial Unicode MS"/>
          <w:szCs w:val="22"/>
          <w:u w:color="000000"/>
          <w:bdr w:val="nil"/>
          <w:lang w:val="en-US" w:eastAsia="en-SG"/>
        </w:rPr>
        <w:t xml:space="preserve">found that programmes for teenage mothers that encouraged them to go back to school or college and provided assistance with childcare were successful in encouraging participation in education or training. </w:t>
      </w:r>
      <w:r w:rsidR="00184F08">
        <w:rPr>
          <w:rFonts w:eastAsia="Arial Unicode MS" w:cs="Arial Unicode MS"/>
          <w:szCs w:val="22"/>
          <w:u w:color="000000"/>
          <w:bdr w:val="nil"/>
          <w:lang w:val="en-US" w:eastAsia="en-SG"/>
        </w:rPr>
        <w:t>H</w:t>
      </w:r>
      <w:r w:rsidR="00D65B1A" w:rsidRPr="006B72EB">
        <w:rPr>
          <w:rFonts w:eastAsia="Arial Unicode MS" w:cs="Arial Unicode MS"/>
          <w:szCs w:val="22"/>
          <w:u w:color="000000"/>
          <w:bdr w:val="nil"/>
          <w:lang w:val="en-US" w:eastAsia="en-SG"/>
        </w:rPr>
        <w:t>igh-quality programmes that focused on young mothers’ education and career development without use of sanctions were</w:t>
      </w:r>
      <w:r w:rsidR="00D65B1A">
        <w:rPr>
          <w:rFonts w:eastAsia="Arial Unicode MS" w:cs="Arial Unicode MS"/>
          <w:szCs w:val="22"/>
          <w:u w:color="000000"/>
          <w:bdr w:val="nil"/>
          <w:lang w:val="en-US" w:eastAsia="en-SG"/>
        </w:rPr>
        <w:t xml:space="preserve"> more effective than t</w:t>
      </w:r>
      <w:r w:rsidRPr="006B72EB">
        <w:rPr>
          <w:rFonts w:eastAsia="Arial Unicode MS" w:cs="Arial Unicode MS"/>
          <w:szCs w:val="22"/>
          <w:u w:color="000000"/>
          <w:bdr w:val="nil"/>
          <w:lang w:val="en-US" w:eastAsia="en-SG"/>
        </w:rPr>
        <w:t>hose that used sanctions and incentives as part of the intervention</w:t>
      </w:r>
      <w:r w:rsidR="00D65B1A">
        <w:rPr>
          <w:rFonts w:eastAsia="Arial Unicode MS" w:cs="Arial Unicode MS"/>
          <w:szCs w:val="22"/>
          <w:u w:color="000000"/>
          <w:bdr w:val="nil"/>
          <w:lang w:val="en-US" w:eastAsia="en-SG"/>
        </w:rPr>
        <w:t>.</w:t>
      </w:r>
      <w:r w:rsidRPr="006B72EB">
        <w:rPr>
          <w:rFonts w:eastAsia="Arial Unicode MS" w:cs="Arial Unicode MS"/>
          <w:szCs w:val="22"/>
          <w:u w:color="000000"/>
          <w:bdr w:val="nil"/>
          <w:lang w:val="en-US" w:eastAsia="en-SG"/>
        </w:rPr>
        <w:t xml:space="preserve"> Across both types of programmes (those that used sanctions and incentives, and those that </w:t>
      </w:r>
      <w:r w:rsidR="00C816D6" w:rsidRPr="006B72EB">
        <w:rPr>
          <w:rFonts w:eastAsia="Arial Unicode MS" w:cs="Arial Unicode MS"/>
          <w:szCs w:val="22"/>
          <w:u w:color="000000"/>
          <w:bdr w:val="nil"/>
          <w:lang w:val="en-US" w:eastAsia="en-SG"/>
        </w:rPr>
        <w:t>focused</w:t>
      </w:r>
      <w:r w:rsidRPr="006B72EB">
        <w:rPr>
          <w:rFonts w:eastAsia="Arial Unicode MS" w:cs="Arial Unicode MS"/>
          <w:szCs w:val="22"/>
          <w:u w:color="000000"/>
          <w:bdr w:val="nil"/>
          <w:lang w:val="en-US" w:eastAsia="en-SG"/>
        </w:rPr>
        <w:t xml:space="preserve"> on education and career development), positive effects on participation in education and training did not necessarily translate into better rates of employment</w:t>
      </w:r>
      <w:r w:rsidR="00184F08">
        <w:rPr>
          <w:rFonts w:eastAsia="Arial Unicode MS" w:cs="Arial Unicode MS"/>
          <w:szCs w:val="22"/>
          <w:u w:color="000000"/>
          <w:bdr w:val="nil"/>
          <w:lang w:val="en-US" w:eastAsia="en-SG"/>
        </w:rPr>
        <w:t xml:space="preserve"> </w:t>
      </w:r>
      <w:r w:rsidR="00184F08" w:rsidRPr="006B72EB">
        <w:rPr>
          <w:rFonts w:eastAsia="Arial Unicode MS" w:cs="Arial Unicode MS"/>
          <w:szCs w:val="22"/>
          <w:u w:color="000000"/>
          <w:bdr w:val="nil"/>
          <w:lang w:val="en-US" w:eastAsia="en-SG"/>
        </w:rPr>
        <w:t>in the short-term</w:t>
      </w:r>
      <w:r w:rsidR="00673FB8">
        <w:rPr>
          <w:lang w:val="en-US"/>
        </w:rPr>
        <w:t xml:space="preserve">. </w:t>
      </w:r>
      <w:r w:rsidR="00673FB8">
        <w:rPr>
          <w:rFonts w:eastAsia="Arial Unicode MS" w:cs="Arial Unicode MS"/>
          <w:szCs w:val="22"/>
          <w:u w:color="000000"/>
          <w:bdr w:val="nil"/>
          <w:lang w:val="en-US" w:eastAsia="en-SG"/>
        </w:rPr>
        <w:t>Y</w:t>
      </w:r>
      <w:r w:rsidRPr="006B72EB">
        <w:rPr>
          <w:rFonts w:eastAsia="Arial Unicode MS" w:cs="Arial Unicode MS"/>
          <w:szCs w:val="22"/>
          <w:u w:color="000000"/>
          <w:bdr w:val="nil"/>
          <w:lang w:val="en-US" w:eastAsia="en-SG"/>
        </w:rPr>
        <w:t xml:space="preserve">oung mothers in the intervention and control groups had very similar employment </w:t>
      </w:r>
      <w:r w:rsidR="00FC1EC4">
        <w:rPr>
          <w:rFonts w:eastAsia="Arial Unicode MS" w:cs="Arial Unicode MS"/>
          <w:szCs w:val="22"/>
          <w:u w:color="000000"/>
          <w:bdr w:val="nil"/>
          <w:lang w:val="en-US" w:eastAsia="en-SG"/>
        </w:rPr>
        <w:t xml:space="preserve">rates </w:t>
      </w:r>
      <w:r w:rsidR="00FD35F4">
        <w:rPr>
          <w:rFonts w:eastAsia="Arial Unicode MS" w:cs="Arial Unicode MS"/>
          <w:szCs w:val="22"/>
          <w:u w:color="000000"/>
          <w:bdr w:val="nil"/>
          <w:lang w:val="en-US" w:eastAsia="en-SG"/>
        </w:rPr>
        <w:t>two to four</w:t>
      </w:r>
      <w:r w:rsidRPr="006B72EB">
        <w:rPr>
          <w:rFonts w:eastAsia="Arial Unicode MS" w:cs="Arial Unicode MS"/>
          <w:szCs w:val="22"/>
          <w:u w:color="000000"/>
          <w:bdr w:val="nil"/>
          <w:lang w:val="en-US" w:eastAsia="en-SG"/>
        </w:rPr>
        <w:t xml:space="preserve"> years later (Harden et al</w:t>
      </w:r>
      <w:r w:rsidR="00C00AF0">
        <w:rPr>
          <w:rFonts w:eastAsia="Arial Unicode MS" w:cs="Arial Unicode MS"/>
          <w:szCs w:val="22"/>
          <w:u w:color="000000"/>
          <w:bdr w:val="nil"/>
          <w:lang w:val="en-US" w:eastAsia="en-SG"/>
        </w:rPr>
        <w:t>.</w:t>
      </w:r>
      <w:r w:rsidRPr="006B72EB">
        <w:rPr>
          <w:rFonts w:eastAsia="Arial Unicode MS" w:cs="Arial Unicode MS"/>
          <w:szCs w:val="22"/>
          <w:u w:color="000000"/>
          <w:bdr w:val="nil"/>
          <w:lang w:val="en-US" w:eastAsia="en-SG"/>
        </w:rPr>
        <w:t xml:space="preserve">, 2006). </w:t>
      </w:r>
    </w:p>
    <w:p w:rsidR="00CE2FFC" w:rsidRDefault="00B82480" w:rsidP="00D0733B">
      <w:pPr>
        <w:pStyle w:val="Body"/>
        <w:jc w:val="both"/>
        <w:rPr>
          <w:lang w:val="en-US"/>
        </w:rPr>
      </w:pPr>
      <w:r>
        <w:rPr>
          <w:lang w:val="en-US"/>
        </w:rPr>
        <w:t>The aim of the present study is to examine the impact of New Zealand’s TPUs on educational outcomes. Our findings strengthen the international evidence-base on specialised school-based services for teen parents.</w:t>
      </w:r>
    </w:p>
    <w:p w:rsidR="00D66BFE" w:rsidRDefault="00D66BFE">
      <w:pPr>
        <w:rPr>
          <w:rFonts w:eastAsiaTheme="majorEastAsia"/>
          <w:bCs/>
          <w:sz w:val="36"/>
          <w:szCs w:val="28"/>
          <w:lang w:val="fr-FR"/>
        </w:rPr>
      </w:pPr>
      <w:r>
        <w:rPr>
          <w:lang w:val="fr-FR"/>
        </w:rPr>
        <w:br w:type="page"/>
      </w:r>
    </w:p>
    <w:p w:rsidR="00692951" w:rsidRPr="00D66BFE" w:rsidRDefault="009A1012" w:rsidP="00692951">
      <w:pPr>
        <w:pStyle w:val="Heading1"/>
        <w:ind w:left="709" w:hanging="709"/>
        <w:rPr>
          <w:rFonts w:ascii="Times New Roman" w:hAnsi="Times New Roman" w:cs="Times New Roman"/>
          <w:lang w:val="fr-FR"/>
        </w:rPr>
      </w:pPr>
      <w:bookmarkStart w:id="8" w:name="_Toc473803308"/>
      <w:r w:rsidRPr="0021065A">
        <w:rPr>
          <w:rFonts w:ascii="Times New Roman" w:hAnsi="Times New Roman" w:cs="Times New Roman"/>
          <w:lang w:val="fr-FR"/>
        </w:rPr>
        <w:t>Data</w:t>
      </w:r>
      <w:r w:rsidR="0021065A">
        <w:rPr>
          <w:rFonts w:ascii="Times New Roman" w:hAnsi="Times New Roman" w:cs="Times New Roman"/>
          <w:lang w:val="fr-FR"/>
        </w:rPr>
        <w:t xml:space="preserve"> S</w:t>
      </w:r>
      <w:r w:rsidR="003E1573" w:rsidRPr="0021065A">
        <w:rPr>
          <w:rFonts w:ascii="Times New Roman" w:hAnsi="Times New Roman" w:cs="Times New Roman"/>
          <w:lang w:val="fr-FR"/>
        </w:rPr>
        <w:t>ources</w:t>
      </w:r>
      <w:bookmarkEnd w:id="8"/>
    </w:p>
    <w:p w:rsidR="00673FB8" w:rsidRDefault="009A1012" w:rsidP="00716B5D">
      <w:pPr>
        <w:pStyle w:val="Body"/>
        <w:jc w:val="both"/>
      </w:pPr>
      <w:r w:rsidRPr="00B12C8E">
        <w:t xml:space="preserve">The data used for this study </w:t>
      </w:r>
      <w:r w:rsidR="00CC3479">
        <w:t xml:space="preserve">are </w:t>
      </w:r>
      <w:r w:rsidR="00D00D8A">
        <w:t xml:space="preserve">from a de-identified linkage of </w:t>
      </w:r>
      <w:r w:rsidR="00EF3CA6">
        <w:t xml:space="preserve">New Zealand Government-held </w:t>
      </w:r>
      <w:r w:rsidR="00D00D8A">
        <w:t>administrative data.</w:t>
      </w:r>
      <w:r w:rsidR="00D00D8A">
        <w:rPr>
          <w:rStyle w:val="FootnoteReference"/>
        </w:rPr>
        <w:footnoteReference w:id="5"/>
      </w:r>
      <w:r w:rsidR="00D00D8A">
        <w:t xml:space="preserve"> Included in the linkage </w:t>
      </w:r>
      <w:r w:rsidR="00572852">
        <w:t xml:space="preserve">are </w:t>
      </w:r>
      <w:r w:rsidR="00D00D8A">
        <w:t xml:space="preserve">data from the </w:t>
      </w:r>
      <w:r w:rsidRPr="00B12C8E">
        <w:t xml:space="preserve">Ministry of Education </w:t>
      </w:r>
      <w:r w:rsidR="00A20E77" w:rsidRPr="00B12C8E">
        <w:t>(</w:t>
      </w:r>
      <w:r w:rsidRPr="00B12C8E">
        <w:t>M</w:t>
      </w:r>
      <w:r w:rsidR="00FD35F4">
        <w:t>o</w:t>
      </w:r>
      <w:r w:rsidRPr="00B12C8E">
        <w:t>E</w:t>
      </w:r>
      <w:r w:rsidR="00A20E77" w:rsidRPr="00B12C8E">
        <w:t>)</w:t>
      </w:r>
      <w:r w:rsidRPr="00B12C8E">
        <w:t xml:space="preserve"> </w:t>
      </w:r>
      <w:r w:rsidR="0072534B">
        <w:t>ENROL</w:t>
      </w:r>
      <w:r w:rsidR="0072534B" w:rsidRPr="00B12C8E">
        <w:t xml:space="preserve"> </w:t>
      </w:r>
      <w:r w:rsidR="0080457C">
        <w:t>system, which</w:t>
      </w:r>
      <w:r w:rsidRPr="00B12C8E">
        <w:t xml:space="preserve"> covers private, public, correspondence, denominational and special schools, that is, all registered schools</w:t>
      </w:r>
      <w:r w:rsidR="0072534B">
        <w:t>.</w:t>
      </w:r>
      <w:r w:rsidRPr="00015742">
        <w:rPr>
          <w:vertAlign w:val="superscript"/>
        </w:rPr>
        <w:footnoteReference w:id="6"/>
      </w:r>
      <w:r w:rsidR="00FD35F4">
        <w:t xml:space="preserve"> Also included </w:t>
      </w:r>
      <w:r w:rsidR="00572852">
        <w:t xml:space="preserve">are </w:t>
      </w:r>
      <w:r w:rsidR="00A20E77" w:rsidRPr="00B12C8E">
        <w:t xml:space="preserve">New Zealand Qualifications Authority data held by </w:t>
      </w:r>
      <w:r w:rsidR="00FD35F4">
        <w:t xml:space="preserve">the </w:t>
      </w:r>
      <w:r w:rsidR="00DF661F">
        <w:t xml:space="preserve">MoE </w:t>
      </w:r>
      <w:r w:rsidR="00A20E77" w:rsidRPr="00B12C8E">
        <w:t>on standards attained</w:t>
      </w:r>
      <w:r w:rsidR="00AD0116">
        <w:t xml:space="preserve">, associated credit values, </w:t>
      </w:r>
      <w:r w:rsidR="00A20E77" w:rsidRPr="00B12C8E">
        <w:t>and year</w:t>
      </w:r>
      <w:r w:rsidR="00FD35F4">
        <w:t>s</w:t>
      </w:r>
      <w:r w:rsidR="00A20E77" w:rsidRPr="00B12C8E">
        <w:t xml:space="preserve"> of attainment</w:t>
      </w:r>
      <w:r w:rsidRPr="00B12C8E">
        <w:t xml:space="preserve">. </w:t>
      </w:r>
    </w:p>
    <w:p w:rsidR="005E3004" w:rsidRPr="00B12C8E" w:rsidRDefault="009A1012" w:rsidP="00716B5D">
      <w:pPr>
        <w:pStyle w:val="Body"/>
        <w:jc w:val="both"/>
        <w:rPr>
          <w:lang w:val="en-US"/>
        </w:rPr>
      </w:pPr>
      <w:r w:rsidRPr="00B12C8E">
        <w:t xml:space="preserve">The </w:t>
      </w:r>
      <w:r w:rsidR="00DF661F">
        <w:t xml:space="preserve">MoE </w:t>
      </w:r>
      <w:r w:rsidR="0072534B">
        <w:t>ENROL</w:t>
      </w:r>
      <w:r w:rsidR="0072534B" w:rsidRPr="00B12C8E">
        <w:t xml:space="preserve"> </w:t>
      </w:r>
      <w:r w:rsidRPr="00B12C8E">
        <w:t xml:space="preserve">data coverage expanded from 2006 to the end of 2007 by which time it covered all schools. The data </w:t>
      </w:r>
      <w:r w:rsidR="00D65B1A">
        <w:t>include</w:t>
      </w:r>
      <w:r w:rsidRPr="00B12C8E">
        <w:t xml:space="preserve"> enrolment episodes, with the start and finish </w:t>
      </w:r>
      <w:r w:rsidR="00DF661F">
        <w:t xml:space="preserve">dates of </w:t>
      </w:r>
      <w:r w:rsidRPr="00B12C8E">
        <w:t xml:space="preserve">spells at each school in which the student is enrolled. </w:t>
      </w:r>
      <w:r w:rsidR="008A664A" w:rsidRPr="00B12C8E">
        <w:t xml:space="preserve">A limitation for our purposes is that </w:t>
      </w:r>
      <w:r w:rsidR="00D00D8A">
        <w:t>these records</w:t>
      </w:r>
      <w:r w:rsidR="008A664A" w:rsidRPr="00B12C8E">
        <w:t xml:space="preserve"> do not allow us to establish whether a young woman who has had a teen birth is enrolled in a TPU, only whether she is enrolled in a school that </w:t>
      </w:r>
      <w:r w:rsidR="0072534B">
        <w:t xml:space="preserve">is a </w:t>
      </w:r>
      <w:r w:rsidR="00566F2C">
        <w:t>govern</w:t>
      </w:r>
      <w:r w:rsidR="0072534B">
        <w:t>ing school for</w:t>
      </w:r>
      <w:r w:rsidR="008A664A" w:rsidRPr="00B12C8E">
        <w:t xml:space="preserve"> a TPU.  </w:t>
      </w:r>
      <w:r w:rsidRPr="00B12C8E">
        <w:t>The data</w:t>
      </w:r>
      <w:r w:rsidR="00840F86">
        <w:t xml:space="preserve"> </w:t>
      </w:r>
      <w:r w:rsidR="00FD35F4">
        <w:t>were</w:t>
      </w:r>
      <w:r w:rsidR="00FD35F4" w:rsidRPr="00B12C8E">
        <w:t xml:space="preserve"> </w:t>
      </w:r>
      <w:r w:rsidRPr="00B12C8E">
        <w:t xml:space="preserve">extracted for our study </w:t>
      </w:r>
      <w:r w:rsidR="005F51BC">
        <w:t>in April</w:t>
      </w:r>
      <w:r w:rsidRPr="00B12C8E">
        <w:rPr>
          <w:lang w:val="en-US"/>
        </w:rPr>
        <w:t xml:space="preserve"> 2014.  </w:t>
      </w:r>
    </w:p>
    <w:p w:rsidR="00FE294D" w:rsidRDefault="009A1012" w:rsidP="008C5117">
      <w:pPr>
        <w:pStyle w:val="Body"/>
        <w:jc w:val="both"/>
      </w:pPr>
      <w:r w:rsidRPr="00B12C8E">
        <w:rPr>
          <w:lang w:val="en-US"/>
        </w:rPr>
        <w:t xml:space="preserve">To be included in our study, a young woman </w:t>
      </w:r>
      <w:r w:rsidR="00771C8D" w:rsidRPr="00B12C8E">
        <w:rPr>
          <w:lang w:val="en-US"/>
        </w:rPr>
        <w:t>ha</w:t>
      </w:r>
      <w:r w:rsidR="00771C8D">
        <w:rPr>
          <w:lang w:val="en-US"/>
        </w:rPr>
        <w:t>d</w:t>
      </w:r>
      <w:r w:rsidR="00771C8D" w:rsidRPr="00B12C8E">
        <w:rPr>
          <w:lang w:val="en-US"/>
        </w:rPr>
        <w:t xml:space="preserve"> </w:t>
      </w:r>
      <w:r w:rsidRPr="00B12C8E">
        <w:rPr>
          <w:lang w:val="en-US"/>
        </w:rPr>
        <w:t xml:space="preserve">to be born between 1 Jan 1991 and 31 December 1994 </w:t>
      </w:r>
      <w:r w:rsidRPr="00B12C8E">
        <w:rPr>
          <w:i/>
          <w:iCs/>
        </w:rPr>
        <w:t>and</w:t>
      </w:r>
      <w:r w:rsidRPr="00B12C8E">
        <w:rPr>
          <w:lang w:val="en-US"/>
        </w:rPr>
        <w:t xml:space="preserve"> enrolled in a New Zealand school for at least </w:t>
      </w:r>
      <w:r w:rsidR="00FD35F4">
        <w:rPr>
          <w:lang w:val="en-US"/>
        </w:rPr>
        <w:t>one</w:t>
      </w:r>
      <w:r w:rsidRPr="00B12C8E">
        <w:rPr>
          <w:lang w:val="en-US"/>
        </w:rPr>
        <w:t xml:space="preserve"> day between the start of the </w:t>
      </w:r>
      <w:r w:rsidR="0072534B">
        <w:rPr>
          <w:lang w:val="en-US"/>
        </w:rPr>
        <w:t>ENROL</w:t>
      </w:r>
      <w:r w:rsidR="0072534B" w:rsidRPr="00B12C8E">
        <w:rPr>
          <w:lang w:val="en-US"/>
        </w:rPr>
        <w:t xml:space="preserve"> </w:t>
      </w:r>
      <w:r w:rsidRPr="00B12C8E">
        <w:rPr>
          <w:lang w:val="en-US"/>
        </w:rPr>
        <w:t>data in 2006 and 1 January 2008</w:t>
      </w:r>
      <w:r w:rsidR="009F30E2" w:rsidRPr="00B12C8E">
        <w:t>.</w:t>
      </w:r>
      <w:r w:rsidRPr="00B12C8E">
        <w:rPr>
          <w:rStyle w:val="FootnoteReference"/>
        </w:rPr>
        <w:footnoteReference w:id="7"/>
      </w:r>
      <w:r w:rsidR="009F30E2">
        <w:t xml:space="preserve"> </w:t>
      </w:r>
      <w:r w:rsidR="0082052F">
        <w:t xml:space="preserve">This yields 125,760 young women in the study sample. </w:t>
      </w:r>
      <w:r w:rsidR="008C5117">
        <w:t xml:space="preserve"> </w:t>
      </w:r>
    </w:p>
    <w:p w:rsidR="00F44D56" w:rsidRDefault="009A1012" w:rsidP="00673FB8">
      <w:pPr>
        <w:pStyle w:val="Body"/>
        <w:jc w:val="both"/>
      </w:pPr>
      <w:r w:rsidRPr="00B12C8E">
        <w:rPr>
          <w:lang w:val="en-US"/>
        </w:rPr>
        <w:t xml:space="preserve">To </w:t>
      </w:r>
      <w:r w:rsidR="008C12CD" w:rsidRPr="00B12C8E">
        <w:rPr>
          <w:lang w:val="en-US"/>
        </w:rPr>
        <w:t>establish</w:t>
      </w:r>
      <w:r w:rsidRPr="00B12C8E">
        <w:rPr>
          <w:lang w:val="en-US"/>
        </w:rPr>
        <w:t xml:space="preserve"> how comprehensive the data </w:t>
      </w:r>
      <w:r w:rsidR="008D46F2">
        <w:rPr>
          <w:lang w:val="en-US"/>
        </w:rPr>
        <w:t>are</w:t>
      </w:r>
      <w:r w:rsidRPr="00B12C8E">
        <w:rPr>
          <w:lang w:val="en-US"/>
        </w:rPr>
        <w:t xml:space="preserve">, </w:t>
      </w:r>
      <w:hyperlink w:anchor="Ref436141130" w:history="1">
        <w:r w:rsidRPr="00B12C8E">
          <w:rPr>
            <w:lang w:val="en-US"/>
          </w:rPr>
          <w:t>Table 1</w:t>
        </w:r>
      </w:hyperlink>
      <w:r w:rsidRPr="00B12C8E">
        <w:rPr>
          <w:lang w:val="en-US"/>
        </w:rPr>
        <w:t xml:space="preserve"> shows the population size in the study and compares it to </w:t>
      </w:r>
      <w:r w:rsidR="00CF45B5" w:rsidRPr="00B12C8E">
        <w:rPr>
          <w:lang w:val="en-US"/>
        </w:rPr>
        <w:t>n</w:t>
      </w:r>
      <w:r w:rsidRPr="00B12C8E">
        <w:rPr>
          <w:lang w:val="en-US"/>
        </w:rPr>
        <w:t xml:space="preserve">ational population </w:t>
      </w:r>
      <w:r w:rsidR="00CF45B5" w:rsidRPr="00B12C8E">
        <w:rPr>
          <w:lang w:val="en-US"/>
        </w:rPr>
        <w:t>estimates</w:t>
      </w:r>
      <w:r w:rsidRPr="00B12C8E">
        <w:rPr>
          <w:lang w:val="en-US"/>
        </w:rPr>
        <w:t xml:space="preserve"> as at 1 December 2006.</w:t>
      </w:r>
      <w:r w:rsidR="00D65B1A" w:rsidRPr="00D65B1A">
        <w:rPr>
          <w:rStyle w:val="FootnoteReference"/>
        </w:rPr>
        <w:t xml:space="preserve"> </w:t>
      </w:r>
      <w:r w:rsidR="00D65B1A" w:rsidRPr="00B12C8E">
        <w:rPr>
          <w:rStyle w:val="FootnoteReference"/>
        </w:rPr>
        <w:footnoteReference w:id="8"/>
      </w:r>
      <w:r w:rsidRPr="00B12C8E">
        <w:rPr>
          <w:lang w:val="en-US"/>
        </w:rPr>
        <w:t xml:space="preserve"> We have </w:t>
      </w:r>
      <w:r w:rsidR="003A1660" w:rsidRPr="00B12C8E">
        <w:rPr>
          <w:lang w:val="en-US"/>
        </w:rPr>
        <w:t xml:space="preserve">only </w:t>
      </w:r>
      <w:r w:rsidRPr="00B12C8E">
        <w:rPr>
          <w:lang w:val="en-US"/>
        </w:rPr>
        <w:t xml:space="preserve">partial cohorts for </w:t>
      </w:r>
      <w:r w:rsidR="008E58D3">
        <w:rPr>
          <w:lang w:val="en-US"/>
        </w:rPr>
        <w:t xml:space="preserve">both </w:t>
      </w:r>
      <w:r w:rsidRPr="00B12C8E">
        <w:rPr>
          <w:lang w:val="en-US"/>
        </w:rPr>
        <w:t xml:space="preserve">12 and 16 year olds. </w:t>
      </w:r>
      <w:r w:rsidR="00455108" w:rsidRPr="00B12C8E">
        <w:rPr>
          <w:lang w:val="en-US"/>
        </w:rPr>
        <w:t xml:space="preserve">The </w:t>
      </w:r>
      <w:r w:rsidR="00C478BA" w:rsidRPr="00B12C8E">
        <w:rPr>
          <w:lang w:val="en-US"/>
        </w:rPr>
        <w:t>analysis</w:t>
      </w:r>
      <w:r w:rsidR="00455108" w:rsidRPr="00B12C8E">
        <w:rPr>
          <w:lang w:val="en-US"/>
        </w:rPr>
        <w:t xml:space="preserve"> suggests</w:t>
      </w:r>
      <w:r w:rsidR="00840F86">
        <w:rPr>
          <w:lang w:val="en-US"/>
        </w:rPr>
        <w:t xml:space="preserve"> that</w:t>
      </w:r>
      <w:r w:rsidR="00455108" w:rsidRPr="00B12C8E">
        <w:rPr>
          <w:lang w:val="en-US"/>
        </w:rPr>
        <w:t xml:space="preserve"> </w:t>
      </w:r>
      <w:r w:rsidR="000D6628" w:rsidRPr="00B12C8E">
        <w:rPr>
          <w:lang w:val="en-US"/>
        </w:rPr>
        <w:t xml:space="preserve">we have around 1,000 more individuals in our </w:t>
      </w:r>
      <w:r w:rsidR="00840F86">
        <w:rPr>
          <w:lang w:val="en-US"/>
        </w:rPr>
        <w:t>sample</w:t>
      </w:r>
      <w:r w:rsidR="00363BD2" w:rsidRPr="00B12C8E">
        <w:rPr>
          <w:lang w:val="en-US"/>
        </w:rPr>
        <w:t xml:space="preserve"> than the</w:t>
      </w:r>
      <w:r w:rsidR="00840F86">
        <w:rPr>
          <w:lang w:val="en-US"/>
        </w:rPr>
        <w:t xml:space="preserve"> Statistics New Zealand</w:t>
      </w:r>
      <w:r w:rsidR="00363BD2" w:rsidRPr="00B12C8E">
        <w:rPr>
          <w:lang w:val="en-US"/>
        </w:rPr>
        <w:t xml:space="preserve"> December 2006 population estimate</w:t>
      </w:r>
      <w:r w:rsidR="008E58D3">
        <w:rPr>
          <w:lang w:val="en-US"/>
        </w:rPr>
        <w:t>s</w:t>
      </w:r>
      <w:r w:rsidR="00455108" w:rsidRPr="00B12C8E">
        <w:rPr>
          <w:lang w:val="en-US"/>
        </w:rPr>
        <w:t xml:space="preserve">. </w:t>
      </w:r>
      <w:r w:rsidRPr="00B12C8E">
        <w:rPr>
          <w:lang w:val="en-US"/>
        </w:rPr>
        <w:t xml:space="preserve">Discrepancies could be </w:t>
      </w:r>
      <w:r w:rsidR="00840F86">
        <w:rPr>
          <w:lang w:val="en-US"/>
        </w:rPr>
        <w:t>due to</w:t>
      </w:r>
      <w:r w:rsidRPr="00B12C8E">
        <w:rPr>
          <w:lang w:val="en-US"/>
        </w:rPr>
        <w:t xml:space="preserve"> young women migrat</w:t>
      </w:r>
      <w:r w:rsidR="00840F86">
        <w:rPr>
          <w:lang w:val="en-US"/>
        </w:rPr>
        <w:t>ing</w:t>
      </w:r>
      <w:r w:rsidRPr="00B12C8E">
        <w:rPr>
          <w:lang w:val="en-US"/>
        </w:rPr>
        <w:t xml:space="preserve"> to N</w:t>
      </w:r>
      <w:r w:rsidR="00572852">
        <w:rPr>
          <w:lang w:val="en-US"/>
        </w:rPr>
        <w:t xml:space="preserve">ew </w:t>
      </w:r>
      <w:r w:rsidRPr="00B12C8E">
        <w:rPr>
          <w:lang w:val="en-US"/>
        </w:rPr>
        <w:t>Z</w:t>
      </w:r>
      <w:r w:rsidR="00572852">
        <w:rPr>
          <w:lang w:val="en-US"/>
        </w:rPr>
        <w:t>ealand</w:t>
      </w:r>
      <w:r w:rsidRPr="00B12C8E">
        <w:rPr>
          <w:lang w:val="en-US"/>
        </w:rPr>
        <w:t xml:space="preserve"> between </w:t>
      </w:r>
      <w:r w:rsidR="00363BD2" w:rsidRPr="00B12C8E">
        <w:rPr>
          <w:lang w:val="en-US"/>
        </w:rPr>
        <w:t xml:space="preserve">December </w:t>
      </w:r>
      <w:r w:rsidRPr="00B12C8E">
        <w:rPr>
          <w:lang w:val="en-US"/>
        </w:rPr>
        <w:t xml:space="preserve">2006 and 1 Jan 2008 </w:t>
      </w:r>
      <w:r w:rsidR="00840F86">
        <w:rPr>
          <w:lang w:val="en-US"/>
        </w:rPr>
        <w:t xml:space="preserve">who </w:t>
      </w:r>
      <w:r w:rsidRPr="00B12C8E">
        <w:rPr>
          <w:lang w:val="en-US"/>
        </w:rPr>
        <w:t xml:space="preserve">would be included in our </w:t>
      </w:r>
      <w:r w:rsidR="00B33722" w:rsidRPr="00B12C8E">
        <w:rPr>
          <w:lang w:val="en-US"/>
        </w:rPr>
        <w:t>data</w:t>
      </w:r>
      <w:r w:rsidRPr="00B12C8E">
        <w:rPr>
          <w:lang w:val="en-US"/>
        </w:rPr>
        <w:t xml:space="preserve"> but not </w:t>
      </w:r>
      <w:r w:rsidR="008E58D3">
        <w:rPr>
          <w:lang w:val="en-US"/>
        </w:rPr>
        <w:t xml:space="preserve">necessarily </w:t>
      </w:r>
      <w:r w:rsidRPr="00B12C8E">
        <w:rPr>
          <w:lang w:val="en-US"/>
        </w:rPr>
        <w:t xml:space="preserve">in the </w:t>
      </w:r>
      <w:r w:rsidR="00363BD2" w:rsidRPr="00B12C8E">
        <w:rPr>
          <w:lang w:val="en-US"/>
        </w:rPr>
        <w:t>population estimates</w:t>
      </w:r>
      <w:r w:rsidRPr="00B12C8E">
        <w:rPr>
          <w:lang w:val="en-US"/>
        </w:rPr>
        <w:t xml:space="preserve">. </w:t>
      </w:r>
      <w:r w:rsidR="00621DF4" w:rsidRPr="00B12C8E">
        <w:rPr>
          <w:lang w:val="en-US"/>
        </w:rPr>
        <w:t xml:space="preserve">The data suggest that our method of constructing the cohort has captured a near census-level dataset of the </w:t>
      </w:r>
      <w:r w:rsidR="008E58D3">
        <w:rPr>
          <w:lang w:val="en-US"/>
        </w:rPr>
        <w:t xml:space="preserve">relevant </w:t>
      </w:r>
      <w:r w:rsidR="00621DF4" w:rsidRPr="00B12C8E">
        <w:rPr>
          <w:lang w:val="en-US"/>
        </w:rPr>
        <w:t>population.</w:t>
      </w:r>
    </w:p>
    <w:p w:rsidR="00F44D56" w:rsidRPr="00D57003" w:rsidRDefault="00F44D56" w:rsidP="00F44D56">
      <w:pPr>
        <w:pStyle w:val="Caption"/>
        <w:keepNext/>
        <w:spacing w:before="0" w:after="120"/>
        <w:jc w:val="center"/>
      </w:pPr>
      <w:bookmarkStart w:id="9" w:name="_Toc462736173"/>
      <w:bookmarkStart w:id="10" w:name="_Toc475430713"/>
      <w:r w:rsidRPr="00D57003">
        <w:t xml:space="preserve">Table </w:t>
      </w:r>
      <w:r>
        <w:fldChar w:fldCharType="begin"/>
      </w:r>
      <w:r>
        <w:instrText xml:space="preserve"> SEQ Table \* ARABIC </w:instrText>
      </w:r>
      <w:r>
        <w:fldChar w:fldCharType="separate"/>
      </w:r>
      <w:r>
        <w:rPr>
          <w:noProof/>
        </w:rPr>
        <w:t>1</w:t>
      </w:r>
      <w:r>
        <w:fldChar w:fldCharType="end"/>
      </w:r>
      <w:r w:rsidRPr="00D57003">
        <w:t xml:space="preserve">: Study </w:t>
      </w:r>
      <w:r>
        <w:t>cohort and estimated r</w:t>
      </w:r>
      <w:r w:rsidRPr="00D57003">
        <w:t xml:space="preserve">esident </w:t>
      </w:r>
      <w:r>
        <w:t>female p</w:t>
      </w:r>
      <w:r w:rsidRPr="00D57003">
        <w:t>opulation</w:t>
      </w:r>
      <w:bookmarkEnd w:id="9"/>
      <w:bookmarkEnd w:id="10"/>
    </w:p>
    <w:tbl>
      <w:tblPr>
        <w:tblW w:w="4599" w:type="dxa"/>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619"/>
        <w:gridCol w:w="1300"/>
        <w:gridCol w:w="1680"/>
      </w:tblGrid>
      <w:tr w:rsidR="00F44D56" w:rsidRPr="005D68C0" w:rsidTr="00A60DC6">
        <w:trPr>
          <w:trHeight w:val="780"/>
          <w:jc w:val="center"/>
        </w:trPr>
        <w:tc>
          <w:tcPr>
            <w:tcW w:w="1619" w:type="dxa"/>
            <w:shd w:val="clear" w:color="auto" w:fill="auto"/>
            <w:vAlign w:val="bottom"/>
            <w:hideMark/>
          </w:tcPr>
          <w:p w:rsidR="00F44D56" w:rsidRPr="00ED2B82" w:rsidRDefault="00F44D56" w:rsidP="00A60DC6">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lang w:val="en-NZ"/>
              </w:rPr>
            </w:pPr>
            <w:r w:rsidRPr="00ED2B82">
              <w:rPr>
                <w:sz w:val="20"/>
                <w:szCs w:val="20"/>
                <w:lang w:val="en-NZ"/>
              </w:rPr>
              <w:t>Age of girl as at 1 Dec 2006</w:t>
            </w:r>
          </w:p>
        </w:tc>
        <w:tc>
          <w:tcPr>
            <w:tcW w:w="1300" w:type="dxa"/>
            <w:shd w:val="clear" w:color="auto" w:fill="auto"/>
            <w:vAlign w:val="bottom"/>
            <w:hideMark/>
          </w:tcPr>
          <w:p w:rsidR="00F44D56" w:rsidRPr="00ED2B82" w:rsidRDefault="00F44D56" w:rsidP="00A60DC6">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lang w:val="en-NZ"/>
              </w:rPr>
            </w:pPr>
            <w:r w:rsidRPr="00ED2B82">
              <w:rPr>
                <w:sz w:val="20"/>
                <w:szCs w:val="20"/>
                <w:lang w:val="en-NZ"/>
              </w:rPr>
              <w:t>Study Population</w:t>
            </w:r>
          </w:p>
        </w:tc>
        <w:tc>
          <w:tcPr>
            <w:tcW w:w="1680" w:type="dxa"/>
            <w:shd w:val="clear" w:color="auto" w:fill="auto"/>
            <w:vAlign w:val="bottom"/>
            <w:hideMark/>
          </w:tcPr>
          <w:p w:rsidR="00F44D56" w:rsidRPr="00ED2B82" w:rsidRDefault="00F44D56" w:rsidP="00A60DC6">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lang w:val="en-NZ"/>
              </w:rPr>
            </w:pPr>
            <w:r w:rsidRPr="00ED2B82">
              <w:rPr>
                <w:sz w:val="20"/>
                <w:szCs w:val="20"/>
                <w:lang w:val="en-NZ"/>
              </w:rPr>
              <w:t>Population Estimates</w:t>
            </w:r>
          </w:p>
        </w:tc>
      </w:tr>
      <w:tr w:rsidR="00F44D56" w:rsidRPr="005D68C0" w:rsidTr="00A60DC6">
        <w:trPr>
          <w:trHeight w:val="397"/>
          <w:jc w:val="center"/>
        </w:trPr>
        <w:tc>
          <w:tcPr>
            <w:tcW w:w="1619" w:type="dxa"/>
            <w:shd w:val="clear" w:color="auto" w:fill="auto"/>
            <w:vAlign w:val="center"/>
            <w:hideMark/>
          </w:tcPr>
          <w:p w:rsidR="00F44D56" w:rsidRPr="006817EC" w:rsidRDefault="00F44D56" w:rsidP="00A60DC6">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en-GB"/>
              </w:rPr>
            </w:pPr>
            <w:r w:rsidRPr="006817EC">
              <w:rPr>
                <w:rFonts w:eastAsia="Times New Roman"/>
                <w:color w:val="000000"/>
                <w:sz w:val="20"/>
                <w:szCs w:val="20"/>
                <w:bdr w:val="none" w:sz="0" w:space="0" w:color="auto"/>
                <w:lang w:val="en-GB"/>
              </w:rPr>
              <w:t>12</w:t>
            </w:r>
          </w:p>
        </w:tc>
        <w:tc>
          <w:tcPr>
            <w:tcW w:w="1300" w:type="dxa"/>
            <w:shd w:val="clear" w:color="auto" w:fill="auto"/>
            <w:vAlign w:val="center"/>
            <w:hideMark/>
          </w:tcPr>
          <w:p w:rsidR="00F44D56" w:rsidRPr="006817EC" w:rsidRDefault="00F44D56" w:rsidP="00A60DC6">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en-GB"/>
              </w:rPr>
            </w:pPr>
            <w:r w:rsidRPr="006817EC">
              <w:rPr>
                <w:rFonts w:eastAsia="Times New Roman"/>
                <w:color w:val="000000"/>
                <w:sz w:val="20"/>
                <w:szCs w:val="20"/>
                <w:bdr w:val="none" w:sz="0" w:space="0" w:color="auto"/>
                <w:lang w:val="en-GB"/>
              </w:rPr>
              <w:t>18,369</w:t>
            </w:r>
          </w:p>
        </w:tc>
        <w:tc>
          <w:tcPr>
            <w:tcW w:w="1680" w:type="dxa"/>
            <w:shd w:val="clear" w:color="auto" w:fill="auto"/>
            <w:vAlign w:val="center"/>
            <w:hideMark/>
          </w:tcPr>
          <w:p w:rsidR="00F44D56" w:rsidRPr="006817EC" w:rsidRDefault="00F44D56" w:rsidP="00A60DC6">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i/>
                <w:iCs/>
                <w:color w:val="000000"/>
                <w:sz w:val="20"/>
                <w:szCs w:val="20"/>
                <w:bdr w:val="none" w:sz="0" w:space="0" w:color="auto"/>
                <w:lang w:val="en-GB"/>
              </w:rPr>
            </w:pPr>
            <w:r w:rsidRPr="006817EC">
              <w:rPr>
                <w:rFonts w:eastAsia="Times New Roman"/>
                <w:i/>
                <w:iCs/>
                <w:color w:val="000000"/>
                <w:sz w:val="20"/>
                <w:szCs w:val="20"/>
                <w:bdr w:val="none" w:sz="0" w:space="0" w:color="auto"/>
                <w:lang w:val="en-GB"/>
              </w:rPr>
              <w:t>Not comparable</w:t>
            </w:r>
          </w:p>
        </w:tc>
      </w:tr>
      <w:tr w:rsidR="00F44D56" w:rsidRPr="005D68C0" w:rsidTr="00A60DC6">
        <w:trPr>
          <w:trHeight w:val="397"/>
          <w:jc w:val="center"/>
        </w:trPr>
        <w:tc>
          <w:tcPr>
            <w:tcW w:w="1619" w:type="dxa"/>
            <w:shd w:val="clear" w:color="auto" w:fill="auto"/>
            <w:vAlign w:val="center"/>
            <w:hideMark/>
          </w:tcPr>
          <w:p w:rsidR="00F44D56" w:rsidRPr="006817EC" w:rsidRDefault="00F44D56" w:rsidP="00A60DC6">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en-GB"/>
              </w:rPr>
            </w:pPr>
            <w:r w:rsidRPr="006817EC">
              <w:rPr>
                <w:rFonts w:eastAsia="Times New Roman"/>
                <w:color w:val="000000"/>
                <w:sz w:val="20"/>
                <w:szCs w:val="20"/>
                <w:bdr w:val="none" w:sz="0" w:space="0" w:color="auto"/>
                <w:lang w:val="en-GB"/>
              </w:rPr>
              <w:t>13</w:t>
            </w:r>
          </w:p>
        </w:tc>
        <w:tc>
          <w:tcPr>
            <w:tcW w:w="1300" w:type="dxa"/>
            <w:shd w:val="clear" w:color="auto" w:fill="auto"/>
            <w:vAlign w:val="center"/>
            <w:hideMark/>
          </w:tcPr>
          <w:p w:rsidR="00F44D56" w:rsidRPr="006817EC" w:rsidRDefault="00F44D56" w:rsidP="00A60DC6">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en-GB"/>
              </w:rPr>
            </w:pPr>
            <w:r w:rsidRPr="006817EC">
              <w:rPr>
                <w:rFonts w:eastAsia="Times New Roman"/>
                <w:color w:val="000000"/>
                <w:sz w:val="20"/>
                <w:szCs w:val="20"/>
                <w:bdr w:val="none" w:sz="0" w:space="0" w:color="auto"/>
                <w:lang w:val="en-GB"/>
              </w:rPr>
              <w:t>30,765</w:t>
            </w:r>
          </w:p>
        </w:tc>
        <w:tc>
          <w:tcPr>
            <w:tcW w:w="1680" w:type="dxa"/>
            <w:shd w:val="clear" w:color="auto" w:fill="auto"/>
            <w:vAlign w:val="center"/>
            <w:hideMark/>
          </w:tcPr>
          <w:p w:rsidR="00F44D56" w:rsidRPr="006817EC" w:rsidRDefault="00F44D56" w:rsidP="00A60DC6">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en-GB"/>
              </w:rPr>
            </w:pPr>
            <w:r w:rsidRPr="006817EC">
              <w:rPr>
                <w:rFonts w:eastAsia="Times New Roman"/>
                <w:color w:val="000000"/>
                <w:sz w:val="20"/>
                <w:szCs w:val="20"/>
                <w:bdr w:val="none" w:sz="0" w:space="0" w:color="auto"/>
                <w:lang w:val="en-GB"/>
              </w:rPr>
              <w:t>30,580</w:t>
            </w:r>
          </w:p>
        </w:tc>
      </w:tr>
      <w:tr w:rsidR="00F44D56" w:rsidRPr="005D68C0" w:rsidTr="00A60DC6">
        <w:trPr>
          <w:trHeight w:val="397"/>
          <w:jc w:val="center"/>
        </w:trPr>
        <w:tc>
          <w:tcPr>
            <w:tcW w:w="1619" w:type="dxa"/>
            <w:shd w:val="clear" w:color="auto" w:fill="auto"/>
            <w:vAlign w:val="center"/>
            <w:hideMark/>
          </w:tcPr>
          <w:p w:rsidR="00F44D56" w:rsidRPr="006817EC" w:rsidRDefault="00F44D56" w:rsidP="00A60DC6">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en-GB"/>
              </w:rPr>
            </w:pPr>
            <w:r w:rsidRPr="006817EC">
              <w:rPr>
                <w:rFonts w:eastAsia="Times New Roman"/>
                <w:color w:val="000000"/>
                <w:sz w:val="20"/>
                <w:szCs w:val="20"/>
                <w:bdr w:val="none" w:sz="0" w:space="0" w:color="auto"/>
                <w:lang w:val="en-GB"/>
              </w:rPr>
              <w:t>14</w:t>
            </w:r>
          </w:p>
        </w:tc>
        <w:tc>
          <w:tcPr>
            <w:tcW w:w="1300" w:type="dxa"/>
            <w:shd w:val="clear" w:color="auto" w:fill="auto"/>
            <w:vAlign w:val="center"/>
            <w:hideMark/>
          </w:tcPr>
          <w:p w:rsidR="00F44D56" w:rsidRPr="006817EC" w:rsidRDefault="00F44D56" w:rsidP="00A60DC6">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en-GB"/>
              </w:rPr>
            </w:pPr>
            <w:r w:rsidRPr="006817EC">
              <w:rPr>
                <w:rFonts w:eastAsia="Times New Roman"/>
                <w:color w:val="000000"/>
                <w:sz w:val="20"/>
                <w:szCs w:val="20"/>
                <w:bdr w:val="none" w:sz="0" w:space="0" w:color="auto"/>
                <w:lang w:val="en-GB"/>
              </w:rPr>
              <w:t>31,143</w:t>
            </w:r>
          </w:p>
        </w:tc>
        <w:tc>
          <w:tcPr>
            <w:tcW w:w="1680" w:type="dxa"/>
            <w:shd w:val="clear" w:color="auto" w:fill="auto"/>
            <w:vAlign w:val="center"/>
            <w:hideMark/>
          </w:tcPr>
          <w:p w:rsidR="00F44D56" w:rsidRPr="006817EC" w:rsidRDefault="00F44D56" w:rsidP="00A60DC6">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en-GB"/>
              </w:rPr>
            </w:pPr>
            <w:r w:rsidRPr="006817EC">
              <w:rPr>
                <w:rFonts w:eastAsia="Times New Roman"/>
                <w:color w:val="000000"/>
                <w:sz w:val="20"/>
                <w:szCs w:val="20"/>
                <w:bdr w:val="none" w:sz="0" w:space="0" w:color="auto"/>
                <w:lang w:val="en-GB"/>
              </w:rPr>
              <w:t>30,730</w:t>
            </w:r>
          </w:p>
        </w:tc>
      </w:tr>
      <w:tr w:rsidR="00F44D56" w:rsidRPr="005D68C0" w:rsidTr="00A60DC6">
        <w:trPr>
          <w:trHeight w:val="397"/>
          <w:jc w:val="center"/>
        </w:trPr>
        <w:tc>
          <w:tcPr>
            <w:tcW w:w="1619" w:type="dxa"/>
            <w:shd w:val="clear" w:color="auto" w:fill="auto"/>
            <w:vAlign w:val="center"/>
            <w:hideMark/>
          </w:tcPr>
          <w:p w:rsidR="00F44D56" w:rsidRPr="006817EC" w:rsidRDefault="00F44D56" w:rsidP="00A60DC6">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en-GB"/>
              </w:rPr>
            </w:pPr>
            <w:r w:rsidRPr="006817EC">
              <w:rPr>
                <w:rFonts w:eastAsia="Times New Roman"/>
                <w:color w:val="000000"/>
                <w:sz w:val="20"/>
                <w:szCs w:val="20"/>
                <w:bdr w:val="none" w:sz="0" w:space="0" w:color="auto"/>
                <w:lang w:val="en-GB"/>
              </w:rPr>
              <w:t>15</w:t>
            </w:r>
          </w:p>
        </w:tc>
        <w:tc>
          <w:tcPr>
            <w:tcW w:w="1300" w:type="dxa"/>
            <w:shd w:val="clear" w:color="auto" w:fill="auto"/>
            <w:vAlign w:val="center"/>
            <w:hideMark/>
          </w:tcPr>
          <w:p w:rsidR="00F44D56" w:rsidRPr="006817EC" w:rsidRDefault="00F44D56" w:rsidP="00A60DC6">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en-GB"/>
              </w:rPr>
            </w:pPr>
            <w:r w:rsidRPr="006817EC">
              <w:rPr>
                <w:rFonts w:eastAsia="Times New Roman"/>
                <w:color w:val="000000"/>
                <w:sz w:val="20"/>
                <w:szCs w:val="20"/>
                <w:bdr w:val="none" w:sz="0" w:space="0" w:color="auto"/>
                <w:lang w:val="en-GB"/>
              </w:rPr>
              <w:t>32,043</w:t>
            </w:r>
          </w:p>
        </w:tc>
        <w:tc>
          <w:tcPr>
            <w:tcW w:w="1680" w:type="dxa"/>
            <w:shd w:val="clear" w:color="auto" w:fill="auto"/>
            <w:vAlign w:val="center"/>
            <w:hideMark/>
          </w:tcPr>
          <w:p w:rsidR="00F44D56" w:rsidRPr="006817EC" w:rsidRDefault="00F44D56" w:rsidP="00A60DC6">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en-GB"/>
              </w:rPr>
            </w:pPr>
            <w:r w:rsidRPr="006817EC">
              <w:rPr>
                <w:rFonts w:eastAsia="Times New Roman"/>
                <w:color w:val="000000"/>
                <w:sz w:val="20"/>
                <w:szCs w:val="20"/>
                <w:bdr w:val="none" w:sz="0" w:space="0" w:color="auto"/>
                <w:lang w:val="en-GB"/>
              </w:rPr>
              <w:t>31,540</w:t>
            </w:r>
          </w:p>
        </w:tc>
      </w:tr>
      <w:tr w:rsidR="00F44D56" w:rsidRPr="005D68C0" w:rsidTr="00A60DC6">
        <w:trPr>
          <w:trHeight w:val="397"/>
          <w:jc w:val="center"/>
        </w:trPr>
        <w:tc>
          <w:tcPr>
            <w:tcW w:w="1619" w:type="dxa"/>
            <w:shd w:val="clear" w:color="auto" w:fill="auto"/>
            <w:vAlign w:val="center"/>
            <w:hideMark/>
          </w:tcPr>
          <w:p w:rsidR="00F44D56" w:rsidRPr="006817EC" w:rsidRDefault="00F44D56" w:rsidP="00A60DC6">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en-GB"/>
              </w:rPr>
            </w:pPr>
            <w:r w:rsidRPr="006817EC">
              <w:rPr>
                <w:rFonts w:eastAsia="Times New Roman"/>
                <w:color w:val="000000"/>
                <w:sz w:val="20"/>
                <w:szCs w:val="20"/>
                <w:bdr w:val="none" w:sz="0" w:space="0" w:color="auto"/>
                <w:lang w:val="en-GB"/>
              </w:rPr>
              <w:t>16</w:t>
            </w:r>
          </w:p>
        </w:tc>
        <w:tc>
          <w:tcPr>
            <w:tcW w:w="1300" w:type="dxa"/>
            <w:shd w:val="clear" w:color="auto" w:fill="auto"/>
            <w:vAlign w:val="center"/>
            <w:hideMark/>
          </w:tcPr>
          <w:p w:rsidR="00F44D56" w:rsidRPr="006817EC" w:rsidRDefault="00F44D56" w:rsidP="00A60DC6">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en-GB"/>
              </w:rPr>
            </w:pPr>
            <w:r w:rsidRPr="006817EC">
              <w:rPr>
                <w:rFonts w:eastAsia="Times New Roman"/>
                <w:color w:val="000000"/>
                <w:sz w:val="20"/>
                <w:szCs w:val="20"/>
                <w:bdr w:val="none" w:sz="0" w:space="0" w:color="auto"/>
                <w:lang w:val="en-GB"/>
              </w:rPr>
              <w:t>13,440</w:t>
            </w:r>
          </w:p>
        </w:tc>
        <w:tc>
          <w:tcPr>
            <w:tcW w:w="1680" w:type="dxa"/>
            <w:shd w:val="clear" w:color="auto" w:fill="auto"/>
            <w:vAlign w:val="center"/>
            <w:hideMark/>
          </w:tcPr>
          <w:p w:rsidR="00F44D56" w:rsidRPr="006817EC" w:rsidRDefault="00F44D56" w:rsidP="00A60DC6">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i/>
                <w:iCs/>
                <w:color w:val="000000"/>
                <w:sz w:val="20"/>
                <w:szCs w:val="20"/>
                <w:bdr w:val="none" w:sz="0" w:space="0" w:color="auto"/>
                <w:lang w:val="en-GB"/>
              </w:rPr>
            </w:pPr>
            <w:r w:rsidRPr="006817EC">
              <w:rPr>
                <w:rFonts w:eastAsia="Times New Roman"/>
                <w:i/>
                <w:iCs/>
                <w:color w:val="000000"/>
                <w:sz w:val="20"/>
                <w:szCs w:val="20"/>
                <w:bdr w:val="none" w:sz="0" w:space="0" w:color="auto"/>
                <w:lang w:val="en-GB"/>
              </w:rPr>
              <w:t>Not comparable</w:t>
            </w:r>
          </w:p>
        </w:tc>
      </w:tr>
      <w:tr w:rsidR="00F44D56" w:rsidRPr="005D68C0" w:rsidTr="00A60DC6">
        <w:trPr>
          <w:trHeight w:val="397"/>
          <w:jc w:val="center"/>
        </w:trPr>
        <w:tc>
          <w:tcPr>
            <w:tcW w:w="1619" w:type="dxa"/>
            <w:shd w:val="clear" w:color="auto" w:fill="auto"/>
            <w:vAlign w:val="center"/>
            <w:hideMark/>
          </w:tcPr>
          <w:p w:rsidR="00F44D56" w:rsidRPr="006817EC" w:rsidRDefault="00F44D56" w:rsidP="00A60DC6">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i/>
                <w:iCs/>
                <w:color w:val="000000"/>
                <w:sz w:val="20"/>
                <w:szCs w:val="20"/>
                <w:bdr w:val="none" w:sz="0" w:space="0" w:color="auto"/>
                <w:lang w:val="en-GB"/>
              </w:rPr>
            </w:pPr>
            <w:r w:rsidRPr="006817EC">
              <w:rPr>
                <w:rFonts w:eastAsia="Times New Roman"/>
                <w:i/>
                <w:iCs/>
                <w:color w:val="000000"/>
                <w:sz w:val="20"/>
                <w:szCs w:val="20"/>
                <w:bdr w:val="none" w:sz="0" w:space="0" w:color="auto"/>
                <w:lang w:val="en-GB"/>
              </w:rPr>
              <w:t>Ages 12-16</w:t>
            </w:r>
          </w:p>
        </w:tc>
        <w:tc>
          <w:tcPr>
            <w:tcW w:w="1300" w:type="dxa"/>
            <w:shd w:val="clear" w:color="auto" w:fill="auto"/>
            <w:vAlign w:val="center"/>
            <w:hideMark/>
          </w:tcPr>
          <w:p w:rsidR="00F44D56" w:rsidRPr="006817EC" w:rsidRDefault="00F44D56" w:rsidP="00A60DC6">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i/>
                <w:iCs/>
                <w:color w:val="000000"/>
                <w:sz w:val="20"/>
                <w:szCs w:val="20"/>
                <w:bdr w:val="none" w:sz="0" w:space="0" w:color="auto"/>
                <w:lang w:val="en-GB"/>
              </w:rPr>
            </w:pPr>
            <w:r w:rsidRPr="006817EC">
              <w:rPr>
                <w:rFonts w:eastAsia="Times New Roman"/>
                <w:i/>
                <w:iCs/>
                <w:color w:val="000000"/>
                <w:sz w:val="20"/>
                <w:szCs w:val="20"/>
                <w:bdr w:val="none" w:sz="0" w:space="0" w:color="auto"/>
                <w:lang w:val="en-GB"/>
              </w:rPr>
              <w:t>125,760</w:t>
            </w:r>
          </w:p>
        </w:tc>
        <w:tc>
          <w:tcPr>
            <w:tcW w:w="1680" w:type="dxa"/>
            <w:shd w:val="clear" w:color="auto" w:fill="auto"/>
            <w:vAlign w:val="center"/>
            <w:hideMark/>
          </w:tcPr>
          <w:p w:rsidR="00F44D56" w:rsidRPr="006817EC" w:rsidRDefault="00F44D56" w:rsidP="00A60DC6">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i/>
                <w:iCs/>
                <w:color w:val="000000"/>
                <w:sz w:val="20"/>
                <w:szCs w:val="20"/>
                <w:bdr w:val="none" w:sz="0" w:space="0" w:color="auto"/>
                <w:lang w:val="en-GB"/>
              </w:rPr>
            </w:pPr>
            <w:r w:rsidRPr="006817EC">
              <w:rPr>
                <w:rFonts w:eastAsia="Times New Roman"/>
                <w:i/>
                <w:iCs/>
                <w:color w:val="000000"/>
                <w:sz w:val="20"/>
                <w:szCs w:val="20"/>
                <w:bdr w:val="none" w:sz="0" w:space="0" w:color="auto"/>
                <w:lang w:val="en-GB"/>
              </w:rPr>
              <w:t>Not comparable</w:t>
            </w:r>
          </w:p>
        </w:tc>
      </w:tr>
    </w:tbl>
    <w:p w:rsidR="00F44D56" w:rsidRDefault="00F44D56" w:rsidP="00F44D56">
      <w:pPr>
        <w:pStyle w:val="Body"/>
        <w:spacing w:before="120" w:after="0" w:line="240" w:lineRule="auto"/>
        <w:rPr>
          <w:sz w:val="20"/>
          <w:szCs w:val="20"/>
          <w:lang w:val="en-US"/>
        </w:rPr>
      </w:pPr>
      <w:r w:rsidRPr="00AF07FD">
        <w:rPr>
          <w:i/>
          <w:iCs/>
          <w:sz w:val="20"/>
          <w:szCs w:val="20"/>
        </w:rPr>
        <w:t>Notes</w:t>
      </w:r>
      <w:r w:rsidRPr="00AF07FD">
        <w:rPr>
          <w:sz w:val="20"/>
          <w:szCs w:val="20"/>
          <w:lang w:val="en-US"/>
        </w:rPr>
        <w:t xml:space="preserve">: Estimated resident population, females by age (Annual </w:t>
      </w:r>
      <w:r w:rsidRPr="00AF07FD">
        <w:rPr>
          <w:sz w:val="20"/>
          <w:szCs w:val="20"/>
        </w:rPr>
        <w:t xml:space="preserve">– </w:t>
      </w:r>
      <w:r w:rsidRPr="00AF07FD">
        <w:rPr>
          <w:sz w:val="20"/>
          <w:szCs w:val="20"/>
          <w:lang w:val="en-US"/>
        </w:rPr>
        <w:t xml:space="preserve">December 2006).  Random rounding of counts </w:t>
      </w:r>
      <w:r>
        <w:rPr>
          <w:sz w:val="20"/>
          <w:szCs w:val="20"/>
          <w:lang w:val="en-US"/>
        </w:rPr>
        <w:t>t</w:t>
      </w:r>
      <w:r w:rsidRPr="00AF07FD">
        <w:rPr>
          <w:sz w:val="20"/>
          <w:szCs w:val="20"/>
          <w:lang w:val="en-US"/>
        </w:rPr>
        <w:t xml:space="preserve">o base 3. </w:t>
      </w:r>
      <w:r w:rsidRPr="00AF07FD">
        <w:rPr>
          <w:i/>
          <w:iCs/>
          <w:sz w:val="20"/>
          <w:szCs w:val="20"/>
          <w:lang w:val="fr-FR"/>
        </w:rPr>
        <w:t>Source:</w:t>
      </w:r>
      <w:r w:rsidRPr="00AF07FD">
        <w:rPr>
          <w:sz w:val="20"/>
          <w:szCs w:val="20"/>
          <w:lang w:val="en-US"/>
        </w:rPr>
        <w:t xml:space="preserve"> Infoshare, Statistics New Zealand. </w:t>
      </w:r>
    </w:p>
    <w:p w:rsidR="00E05949" w:rsidRDefault="00D00D8A" w:rsidP="00BD0E7B">
      <w:pPr>
        <w:pStyle w:val="Body"/>
        <w:jc w:val="both"/>
      </w:pPr>
      <w:r>
        <w:t>The linkage used for the study also includes</w:t>
      </w:r>
      <w:r w:rsidR="009A1012" w:rsidRPr="00BD0E7B">
        <w:t xml:space="preserve"> Ministry of Health </w:t>
      </w:r>
      <w:r w:rsidR="00022EA3" w:rsidRPr="00BD0E7B">
        <w:t xml:space="preserve">(MoH) </w:t>
      </w:r>
      <w:r w:rsidR="00C85E05" w:rsidRPr="00BD0E7B">
        <w:t>m</w:t>
      </w:r>
      <w:r w:rsidR="00363BD2" w:rsidRPr="00BD0E7B">
        <w:t xml:space="preserve">aternity </w:t>
      </w:r>
      <w:r w:rsidR="009A1012" w:rsidRPr="00BD0E7B">
        <w:t>data</w:t>
      </w:r>
      <w:r w:rsidR="00741993" w:rsidRPr="00BD0E7B">
        <w:t xml:space="preserve">. </w:t>
      </w:r>
      <w:r w:rsidR="00C85E05" w:rsidRPr="00B12C8E">
        <w:t xml:space="preserve">Births in maternity data are identified as a result of </w:t>
      </w:r>
      <w:r w:rsidR="00563256" w:rsidRPr="00B12C8E">
        <w:t xml:space="preserve">either </w:t>
      </w:r>
      <w:r w:rsidR="00C85E05" w:rsidRPr="00B12C8E">
        <w:t>(i)</w:t>
      </w:r>
      <w:r w:rsidR="0072534B">
        <w:t xml:space="preserve"> </w:t>
      </w:r>
      <w:r w:rsidR="00C85E05" w:rsidRPr="00B12C8E">
        <w:t>a lead maternity carer’s claim for payment; or (ii)</w:t>
      </w:r>
      <w:r w:rsidR="0072534B">
        <w:t xml:space="preserve"> </w:t>
      </w:r>
      <w:r w:rsidR="00C85E05" w:rsidRPr="00B12C8E">
        <w:t>a p</w:t>
      </w:r>
      <w:r w:rsidR="00536E31">
        <w:t xml:space="preserve">ublicly funded hospital event. </w:t>
      </w:r>
      <w:r w:rsidR="00C85E05" w:rsidRPr="00B12C8E">
        <w:t>Because maternity services in New Zealand are publicly funded and provided universally</w:t>
      </w:r>
      <w:r w:rsidR="00673FB8">
        <w:t xml:space="preserve"> and</w:t>
      </w:r>
      <w:r w:rsidR="00C85E05" w:rsidRPr="00B12C8E">
        <w:t xml:space="preserve"> free of charge, these data capture </w:t>
      </w:r>
      <w:r w:rsidR="00563256">
        <w:t>virtually</w:t>
      </w:r>
      <w:r w:rsidR="00563256" w:rsidRPr="00B12C8E">
        <w:t xml:space="preserve"> </w:t>
      </w:r>
      <w:r w:rsidR="00C85E05" w:rsidRPr="00B12C8E">
        <w:t>all births</w:t>
      </w:r>
      <w:r w:rsidR="009A1012" w:rsidRPr="00BD0E7B">
        <w:t>.</w:t>
      </w:r>
      <w:r w:rsidR="00C85E05" w:rsidRPr="00B12C8E">
        <w:t xml:space="preserve"> </w:t>
      </w:r>
      <w:r w:rsidR="005110C6" w:rsidRPr="00B12C8E">
        <w:t xml:space="preserve">We define a </w:t>
      </w:r>
      <w:r w:rsidR="005110C6" w:rsidRPr="00BD0E7B">
        <w:t xml:space="preserve">teen </w:t>
      </w:r>
      <w:r w:rsidR="00363BD2" w:rsidRPr="00BD0E7B">
        <w:t xml:space="preserve">mother </w:t>
      </w:r>
      <w:r w:rsidR="005110C6" w:rsidRPr="00BD0E7B">
        <w:t xml:space="preserve">as </w:t>
      </w:r>
      <w:r w:rsidR="00363BD2" w:rsidRPr="00BD0E7B">
        <w:t xml:space="preserve">a woman </w:t>
      </w:r>
      <w:r w:rsidR="005110C6" w:rsidRPr="00BD0E7B">
        <w:t xml:space="preserve">having a live birth between </w:t>
      </w:r>
      <w:r w:rsidR="00363BD2" w:rsidRPr="00BD0E7B">
        <w:t>her</w:t>
      </w:r>
      <w:r w:rsidR="005110C6" w:rsidRPr="00BD0E7B">
        <w:t xml:space="preserve"> 13</w:t>
      </w:r>
      <w:r w:rsidR="005110C6" w:rsidRPr="00BD0E7B">
        <w:rPr>
          <w:vertAlign w:val="superscript"/>
        </w:rPr>
        <w:t>th</w:t>
      </w:r>
      <w:r w:rsidR="005110C6" w:rsidRPr="00BD0E7B">
        <w:t xml:space="preserve"> and 19</w:t>
      </w:r>
      <w:r w:rsidR="005110C6" w:rsidRPr="00BD0E7B">
        <w:rPr>
          <w:vertAlign w:val="superscript"/>
        </w:rPr>
        <w:t>th</w:t>
      </w:r>
      <w:r w:rsidR="005110C6" w:rsidRPr="00BD0E7B">
        <w:t xml:space="preserve"> birthday</w:t>
      </w:r>
      <w:r w:rsidR="00741993" w:rsidRPr="00BD0E7B">
        <w:t>, as reco</w:t>
      </w:r>
      <w:r w:rsidR="00FD35F4">
        <w:t>r</w:t>
      </w:r>
      <w:r w:rsidR="00741993" w:rsidRPr="00BD0E7B">
        <w:t xml:space="preserve">ded in </w:t>
      </w:r>
      <w:r w:rsidR="00C85E05" w:rsidRPr="00BD0E7B">
        <w:t>m</w:t>
      </w:r>
      <w:r w:rsidR="00741993" w:rsidRPr="00BD0E7B">
        <w:t>aternity data</w:t>
      </w:r>
      <w:r w:rsidR="009A1012" w:rsidRPr="00B12C8E">
        <w:t>.</w:t>
      </w:r>
      <w:r w:rsidR="006977CE">
        <w:rPr>
          <w:rStyle w:val="FootnoteReference"/>
        </w:rPr>
        <w:footnoteReference w:id="9"/>
      </w:r>
      <w:r w:rsidR="009A1012" w:rsidRPr="00B12C8E">
        <w:t xml:space="preserve"> This </w:t>
      </w:r>
      <w:r w:rsidR="00EF3CA6">
        <w:t>yields</w:t>
      </w:r>
      <w:r w:rsidR="009A1012" w:rsidRPr="00B12C8E">
        <w:t xml:space="preserve"> </w:t>
      </w:r>
      <w:r w:rsidR="00871F20">
        <w:t xml:space="preserve">observations </w:t>
      </w:r>
      <w:r w:rsidR="00EF3CA6">
        <w:t>for</w:t>
      </w:r>
      <w:r w:rsidR="00871F20">
        <w:t xml:space="preserve"> </w:t>
      </w:r>
      <w:r w:rsidR="00681701">
        <w:t>6,711</w:t>
      </w:r>
      <w:r w:rsidR="009A1012" w:rsidRPr="00B12C8E">
        <w:t xml:space="preserve"> young women </w:t>
      </w:r>
      <w:r w:rsidR="00741993" w:rsidRPr="00B12C8E">
        <w:t xml:space="preserve">in the cohorts studied </w:t>
      </w:r>
      <w:r w:rsidR="009A1012" w:rsidRPr="00B12C8E">
        <w:t>who had a teen</w:t>
      </w:r>
      <w:r w:rsidR="00741993" w:rsidRPr="00B12C8E">
        <w:t xml:space="preserve"> (before age 19)</w:t>
      </w:r>
      <w:r w:rsidR="00B53392">
        <w:t xml:space="preserve"> birth.</w:t>
      </w:r>
    </w:p>
    <w:p w:rsidR="00563256" w:rsidRDefault="00563256" w:rsidP="00563256">
      <w:pPr>
        <w:pStyle w:val="Body"/>
        <w:jc w:val="both"/>
      </w:pPr>
      <w:r w:rsidRPr="00B12C8E">
        <w:t xml:space="preserve">Other administrative data in the linkage are used to establish a range of control variables. </w:t>
      </w:r>
      <w:r>
        <w:t>T</w:t>
      </w:r>
      <w:r w:rsidRPr="00B12C8E">
        <w:t>h</w:t>
      </w:r>
      <w:r w:rsidR="00433745">
        <w:t>ese includ</w:t>
      </w:r>
      <w:r w:rsidRPr="00B12C8E">
        <w:t xml:space="preserve">e </w:t>
      </w:r>
      <w:r>
        <w:t xml:space="preserve">indicators of past involvement with the </w:t>
      </w:r>
      <w:r w:rsidRPr="00B12C8E">
        <w:t xml:space="preserve">Child Youth and Family (CYF) </w:t>
      </w:r>
      <w:r>
        <w:t xml:space="preserve">care and protection and </w:t>
      </w:r>
      <w:r w:rsidRPr="004B60E1">
        <w:t>youth justice</w:t>
      </w:r>
      <w:r>
        <w:t xml:space="preserve"> systems and </w:t>
      </w:r>
      <w:r w:rsidRPr="00B12C8E">
        <w:t xml:space="preserve">history of being included </w:t>
      </w:r>
      <w:r>
        <w:t xml:space="preserve">as a dependent child </w:t>
      </w:r>
      <w:r w:rsidRPr="00B12C8E">
        <w:t>in main welfare benefits</w:t>
      </w:r>
      <w:r>
        <w:t xml:space="preserve">. These </w:t>
      </w:r>
      <w:r w:rsidR="0091776F">
        <w:t xml:space="preserve">histories </w:t>
      </w:r>
      <w:r w:rsidR="00CA7D8E">
        <w:t>we</w:t>
      </w:r>
      <w:r>
        <w:t>re</w:t>
      </w:r>
      <w:r w:rsidR="00CA7D8E">
        <w:t xml:space="preserve"> </w:t>
      </w:r>
      <w:r>
        <w:t>observed for young wom</w:t>
      </w:r>
      <w:r w:rsidR="0091776F">
        <w:t>e</w:t>
      </w:r>
      <w:r>
        <w:t xml:space="preserve">n prior to giving birth. Additional control variables </w:t>
      </w:r>
      <w:r w:rsidR="00F85E8C">
        <w:t>include t</w:t>
      </w:r>
      <w:r>
        <w:t>he young woman’s e</w:t>
      </w:r>
      <w:r w:rsidRPr="00B12C8E">
        <w:t>thnic</w:t>
      </w:r>
      <w:r>
        <w:t xml:space="preserve">ity, and school characteristics (school decile, size of school and </w:t>
      </w:r>
      <w:r w:rsidR="00DF661F">
        <w:t xml:space="preserve">MoE </w:t>
      </w:r>
      <w:r w:rsidR="0024398F">
        <w:t>local</w:t>
      </w:r>
      <w:r>
        <w:t xml:space="preserve"> office </w:t>
      </w:r>
      <w:r w:rsidR="0024398F">
        <w:t>to</w:t>
      </w:r>
      <w:r w:rsidR="0091776F">
        <w:t xml:space="preserve"> which </w:t>
      </w:r>
      <w:r>
        <w:t xml:space="preserve">the school </w:t>
      </w:r>
      <w:r w:rsidR="0091776F">
        <w:t xml:space="preserve">was </w:t>
      </w:r>
      <w:r w:rsidR="0024398F">
        <w:t>attached</w:t>
      </w:r>
      <w:r>
        <w:t>).</w:t>
      </w:r>
      <w:r w:rsidRPr="00B12C8E">
        <w:t xml:space="preserve"> </w:t>
      </w:r>
      <w:r w:rsidR="00F44D56">
        <w:t>Table 2 shows selected characteristics of the study sample.</w:t>
      </w:r>
    </w:p>
    <w:p w:rsidR="00F44D56" w:rsidRPr="00D57003" w:rsidRDefault="0075464E" w:rsidP="00F44D56">
      <w:pPr>
        <w:pStyle w:val="Caption"/>
        <w:keepNext/>
        <w:spacing w:before="0" w:after="120"/>
        <w:jc w:val="center"/>
      </w:pPr>
      <w:bookmarkStart w:id="11" w:name="_Toc462736175"/>
      <w:bookmarkStart w:id="12" w:name="_Toc475430714"/>
      <w:r>
        <w:t xml:space="preserve">Table </w:t>
      </w:r>
      <w:r w:rsidR="00E86701">
        <w:fldChar w:fldCharType="begin"/>
      </w:r>
      <w:r w:rsidR="00E86701">
        <w:instrText xml:space="preserve"> SEQ Table \* ARABIC  \* MERGEFORMAT </w:instrText>
      </w:r>
      <w:r w:rsidR="00E86701">
        <w:fldChar w:fldCharType="separate"/>
      </w:r>
      <w:r>
        <w:rPr>
          <w:noProof/>
        </w:rPr>
        <w:t>2</w:t>
      </w:r>
      <w:r w:rsidR="00E86701">
        <w:rPr>
          <w:noProof/>
        </w:rPr>
        <w:fldChar w:fldCharType="end"/>
      </w:r>
      <w:r w:rsidR="00F44D56" w:rsidRPr="00D57003">
        <w:t>: C</w:t>
      </w:r>
      <w:r w:rsidR="00F44D56">
        <w:t>haracteristics of study s</w:t>
      </w:r>
      <w:r w:rsidR="00F44D56" w:rsidRPr="00D57003">
        <w:t>ample</w:t>
      </w:r>
      <w:bookmarkEnd w:id="11"/>
      <w:bookmarkEnd w:id="12"/>
    </w:p>
    <w:tbl>
      <w:tblPr>
        <w:tblW w:w="0" w:type="auto"/>
        <w:jc w:val="center"/>
        <w:tblBorders>
          <w:top w:val="single" w:sz="4" w:space="0" w:color="000000"/>
          <w:bottom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722"/>
        <w:gridCol w:w="1588"/>
        <w:gridCol w:w="1588"/>
        <w:gridCol w:w="1588"/>
      </w:tblGrid>
      <w:tr w:rsidR="00F44D56" w:rsidRPr="006F442D" w:rsidTr="00A60DC6">
        <w:trPr>
          <w:trHeight w:val="454"/>
          <w:jc w:val="center"/>
        </w:trPr>
        <w:tc>
          <w:tcPr>
            <w:tcW w:w="2722" w:type="dxa"/>
            <w:shd w:val="clear" w:color="auto" w:fill="auto"/>
            <w:tcMar>
              <w:top w:w="15" w:type="dxa"/>
              <w:left w:w="108" w:type="dxa"/>
              <w:bottom w:w="0" w:type="dxa"/>
              <w:right w:w="108" w:type="dxa"/>
            </w:tcMar>
            <w:hideMark/>
          </w:tcPr>
          <w:p w:rsidR="00F44D56" w:rsidRPr="006F442D" w:rsidRDefault="00F44D56" w:rsidP="00A60DC6">
            <w:pPr>
              <w:spacing w:before="120"/>
              <w:rPr>
                <w:sz w:val="20"/>
                <w:szCs w:val="20"/>
                <w:lang w:val="en-NZ"/>
              </w:rPr>
            </w:pPr>
          </w:p>
        </w:tc>
        <w:tc>
          <w:tcPr>
            <w:tcW w:w="1588" w:type="dxa"/>
            <w:shd w:val="clear" w:color="auto" w:fill="auto"/>
            <w:tcMar>
              <w:top w:w="15" w:type="dxa"/>
              <w:left w:w="108" w:type="dxa"/>
              <w:bottom w:w="0" w:type="dxa"/>
              <w:right w:w="108" w:type="dxa"/>
            </w:tcMar>
            <w:vAlign w:val="bottom"/>
            <w:hideMark/>
          </w:tcPr>
          <w:p w:rsidR="00F44D56" w:rsidRPr="006F442D" w:rsidRDefault="00F44D56" w:rsidP="00A60DC6">
            <w:pPr>
              <w:jc w:val="center"/>
              <w:rPr>
                <w:sz w:val="20"/>
                <w:szCs w:val="20"/>
                <w:lang w:val="en-NZ"/>
              </w:rPr>
            </w:pPr>
            <w:r w:rsidRPr="006F442D">
              <w:rPr>
                <w:sz w:val="20"/>
                <w:szCs w:val="20"/>
              </w:rPr>
              <w:t>Teen Mother</w:t>
            </w:r>
            <w:r>
              <w:rPr>
                <w:sz w:val="20"/>
                <w:szCs w:val="20"/>
              </w:rPr>
              <w:t>s</w:t>
            </w:r>
          </w:p>
        </w:tc>
        <w:tc>
          <w:tcPr>
            <w:tcW w:w="1588" w:type="dxa"/>
            <w:shd w:val="clear" w:color="auto" w:fill="auto"/>
            <w:tcMar>
              <w:top w:w="15" w:type="dxa"/>
              <w:left w:w="108" w:type="dxa"/>
              <w:bottom w:w="0" w:type="dxa"/>
              <w:right w:w="108" w:type="dxa"/>
            </w:tcMar>
            <w:vAlign w:val="bottom"/>
            <w:hideMark/>
          </w:tcPr>
          <w:p w:rsidR="00F44D56" w:rsidRPr="006F442D" w:rsidRDefault="00F44D56" w:rsidP="00A60DC6">
            <w:pPr>
              <w:jc w:val="center"/>
              <w:rPr>
                <w:sz w:val="20"/>
                <w:szCs w:val="20"/>
                <w:lang w:val="en-NZ"/>
              </w:rPr>
            </w:pPr>
            <w:r w:rsidRPr="006F442D">
              <w:rPr>
                <w:sz w:val="20"/>
                <w:szCs w:val="20"/>
              </w:rPr>
              <w:t>Rest of Sample</w:t>
            </w:r>
          </w:p>
        </w:tc>
        <w:tc>
          <w:tcPr>
            <w:tcW w:w="1588" w:type="dxa"/>
            <w:shd w:val="clear" w:color="auto" w:fill="auto"/>
            <w:tcMar>
              <w:top w:w="15" w:type="dxa"/>
              <w:left w:w="108" w:type="dxa"/>
              <w:bottom w:w="0" w:type="dxa"/>
              <w:right w:w="108" w:type="dxa"/>
            </w:tcMar>
            <w:vAlign w:val="bottom"/>
            <w:hideMark/>
          </w:tcPr>
          <w:p w:rsidR="00F44D56" w:rsidRPr="006F442D" w:rsidRDefault="00F44D56" w:rsidP="00A60DC6">
            <w:pPr>
              <w:jc w:val="center"/>
              <w:rPr>
                <w:sz w:val="20"/>
                <w:szCs w:val="20"/>
                <w:lang w:val="en-NZ"/>
              </w:rPr>
            </w:pPr>
            <w:r w:rsidRPr="006F442D">
              <w:rPr>
                <w:sz w:val="20"/>
                <w:szCs w:val="20"/>
              </w:rPr>
              <w:t>All</w:t>
            </w:r>
          </w:p>
        </w:tc>
      </w:tr>
      <w:tr w:rsidR="00F44D56" w:rsidRPr="006F442D" w:rsidTr="00A60DC6">
        <w:trPr>
          <w:trHeight w:val="280"/>
          <w:jc w:val="center"/>
        </w:trPr>
        <w:tc>
          <w:tcPr>
            <w:tcW w:w="2722" w:type="dxa"/>
            <w:shd w:val="clear" w:color="auto" w:fill="auto"/>
            <w:tcMar>
              <w:top w:w="28" w:type="dxa"/>
              <w:left w:w="108" w:type="dxa"/>
              <w:bottom w:w="28" w:type="dxa"/>
              <w:right w:w="108" w:type="dxa"/>
            </w:tcMar>
            <w:vAlign w:val="center"/>
            <w:hideMark/>
          </w:tcPr>
          <w:p w:rsidR="00F44D56" w:rsidRPr="006F442D" w:rsidRDefault="00F44D56" w:rsidP="00A60DC6">
            <w:pPr>
              <w:jc w:val="center"/>
              <w:rPr>
                <w:sz w:val="20"/>
                <w:szCs w:val="20"/>
                <w:lang w:val="en-NZ"/>
              </w:rPr>
            </w:pPr>
            <w:r w:rsidRPr="006F442D">
              <w:rPr>
                <w:sz w:val="20"/>
                <w:szCs w:val="20"/>
              </w:rPr>
              <w:t>European</w:t>
            </w:r>
          </w:p>
        </w:tc>
        <w:tc>
          <w:tcPr>
            <w:tcW w:w="1588" w:type="dxa"/>
            <w:shd w:val="clear" w:color="auto" w:fill="auto"/>
            <w:tcMar>
              <w:top w:w="28" w:type="dxa"/>
              <w:left w:w="108" w:type="dxa"/>
              <w:bottom w:w="28" w:type="dxa"/>
              <w:right w:w="108" w:type="dxa"/>
            </w:tcMar>
            <w:vAlign w:val="center"/>
            <w:hideMark/>
          </w:tcPr>
          <w:p w:rsidR="00F44D56" w:rsidRPr="006F442D" w:rsidRDefault="00F44D56" w:rsidP="00DE223D">
            <w:pPr>
              <w:jc w:val="center"/>
              <w:rPr>
                <w:sz w:val="20"/>
                <w:szCs w:val="20"/>
                <w:lang w:val="en-NZ"/>
              </w:rPr>
            </w:pPr>
            <w:r w:rsidRPr="006F442D">
              <w:rPr>
                <w:sz w:val="20"/>
                <w:szCs w:val="20"/>
              </w:rPr>
              <w:t>4</w:t>
            </w:r>
            <w:r w:rsidR="00DE223D">
              <w:rPr>
                <w:sz w:val="20"/>
                <w:szCs w:val="20"/>
              </w:rPr>
              <w:t>5</w:t>
            </w:r>
            <w:r>
              <w:rPr>
                <w:sz w:val="20"/>
                <w:szCs w:val="20"/>
              </w:rPr>
              <w:t>%</w:t>
            </w:r>
          </w:p>
        </w:tc>
        <w:tc>
          <w:tcPr>
            <w:tcW w:w="1588" w:type="dxa"/>
            <w:shd w:val="clear" w:color="auto" w:fill="auto"/>
            <w:tcMar>
              <w:top w:w="28" w:type="dxa"/>
              <w:left w:w="108" w:type="dxa"/>
              <w:bottom w:w="28" w:type="dxa"/>
              <w:right w:w="108" w:type="dxa"/>
            </w:tcMar>
            <w:vAlign w:val="center"/>
            <w:hideMark/>
          </w:tcPr>
          <w:p w:rsidR="00F44D56" w:rsidRPr="006F442D" w:rsidRDefault="00F44D56" w:rsidP="00DE223D">
            <w:pPr>
              <w:jc w:val="center"/>
              <w:rPr>
                <w:sz w:val="20"/>
                <w:szCs w:val="20"/>
                <w:lang w:val="en-NZ"/>
              </w:rPr>
            </w:pPr>
            <w:r w:rsidRPr="006F442D">
              <w:rPr>
                <w:sz w:val="20"/>
                <w:szCs w:val="20"/>
              </w:rPr>
              <w:t>65</w:t>
            </w:r>
            <w:r>
              <w:rPr>
                <w:sz w:val="20"/>
                <w:szCs w:val="20"/>
              </w:rPr>
              <w:t>%</w:t>
            </w:r>
          </w:p>
        </w:tc>
        <w:tc>
          <w:tcPr>
            <w:tcW w:w="1588" w:type="dxa"/>
            <w:shd w:val="clear" w:color="auto" w:fill="auto"/>
            <w:tcMar>
              <w:top w:w="28" w:type="dxa"/>
              <w:left w:w="108" w:type="dxa"/>
              <w:bottom w:w="28" w:type="dxa"/>
              <w:right w:w="108" w:type="dxa"/>
            </w:tcMar>
            <w:vAlign w:val="center"/>
            <w:hideMark/>
          </w:tcPr>
          <w:p w:rsidR="00F44D56" w:rsidRPr="006F442D" w:rsidRDefault="00F44D56" w:rsidP="00A60DC6">
            <w:pPr>
              <w:jc w:val="center"/>
              <w:rPr>
                <w:sz w:val="20"/>
                <w:szCs w:val="20"/>
                <w:lang w:val="en-NZ"/>
              </w:rPr>
            </w:pPr>
            <w:r w:rsidRPr="006F442D">
              <w:rPr>
                <w:sz w:val="20"/>
                <w:szCs w:val="20"/>
              </w:rPr>
              <w:t>64</w:t>
            </w:r>
            <w:r>
              <w:rPr>
                <w:sz w:val="20"/>
                <w:szCs w:val="20"/>
              </w:rPr>
              <w:t>%</w:t>
            </w:r>
          </w:p>
        </w:tc>
      </w:tr>
      <w:tr w:rsidR="00F44D56" w:rsidRPr="006F442D" w:rsidTr="00A60DC6">
        <w:trPr>
          <w:trHeight w:val="280"/>
          <w:jc w:val="center"/>
        </w:trPr>
        <w:tc>
          <w:tcPr>
            <w:tcW w:w="2722" w:type="dxa"/>
            <w:shd w:val="clear" w:color="auto" w:fill="auto"/>
            <w:tcMar>
              <w:top w:w="28" w:type="dxa"/>
              <w:left w:w="108" w:type="dxa"/>
              <w:bottom w:w="28" w:type="dxa"/>
              <w:right w:w="108" w:type="dxa"/>
            </w:tcMar>
            <w:vAlign w:val="center"/>
            <w:hideMark/>
          </w:tcPr>
          <w:p w:rsidR="00F44D56" w:rsidRPr="006F442D" w:rsidRDefault="00F44D56" w:rsidP="00A60DC6">
            <w:pPr>
              <w:jc w:val="center"/>
              <w:rPr>
                <w:sz w:val="20"/>
                <w:szCs w:val="20"/>
                <w:lang w:val="en-NZ"/>
              </w:rPr>
            </w:pPr>
            <w:r w:rsidRPr="006F442D">
              <w:rPr>
                <w:sz w:val="20"/>
                <w:szCs w:val="20"/>
                <w:lang w:val="en-GB"/>
              </w:rPr>
              <w:t>Māori</w:t>
            </w:r>
          </w:p>
        </w:tc>
        <w:tc>
          <w:tcPr>
            <w:tcW w:w="1588" w:type="dxa"/>
            <w:shd w:val="clear" w:color="auto" w:fill="auto"/>
            <w:tcMar>
              <w:top w:w="28" w:type="dxa"/>
              <w:left w:w="108" w:type="dxa"/>
              <w:bottom w:w="28" w:type="dxa"/>
              <w:right w:w="108" w:type="dxa"/>
            </w:tcMar>
            <w:vAlign w:val="center"/>
            <w:hideMark/>
          </w:tcPr>
          <w:p w:rsidR="00F44D56" w:rsidRPr="006F442D" w:rsidRDefault="00F44D56" w:rsidP="00DE223D">
            <w:pPr>
              <w:jc w:val="center"/>
              <w:rPr>
                <w:sz w:val="20"/>
                <w:szCs w:val="20"/>
                <w:lang w:val="en-NZ"/>
              </w:rPr>
            </w:pPr>
            <w:r w:rsidRPr="006F442D">
              <w:rPr>
                <w:sz w:val="20"/>
                <w:szCs w:val="20"/>
              </w:rPr>
              <w:t>52</w:t>
            </w:r>
            <w:r>
              <w:rPr>
                <w:sz w:val="20"/>
                <w:szCs w:val="20"/>
              </w:rPr>
              <w:t>%</w:t>
            </w:r>
          </w:p>
        </w:tc>
        <w:tc>
          <w:tcPr>
            <w:tcW w:w="1588" w:type="dxa"/>
            <w:shd w:val="clear" w:color="auto" w:fill="auto"/>
            <w:tcMar>
              <w:top w:w="28" w:type="dxa"/>
              <w:left w:w="108" w:type="dxa"/>
              <w:bottom w:w="28" w:type="dxa"/>
              <w:right w:w="108" w:type="dxa"/>
            </w:tcMar>
            <w:vAlign w:val="center"/>
            <w:hideMark/>
          </w:tcPr>
          <w:p w:rsidR="00F44D56" w:rsidRPr="006F442D" w:rsidRDefault="00DE223D" w:rsidP="00A60DC6">
            <w:pPr>
              <w:jc w:val="center"/>
              <w:rPr>
                <w:sz w:val="20"/>
                <w:szCs w:val="20"/>
                <w:lang w:val="en-NZ"/>
              </w:rPr>
            </w:pPr>
            <w:r>
              <w:rPr>
                <w:sz w:val="20"/>
                <w:szCs w:val="20"/>
              </w:rPr>
              <w:t>20</w:t>
            </w:r>
            <w:r w:rsidR="00F44D56">
              <w:rPr>
                <w:sz w:val="20"/>
                <w:szCs w:val="20"/>
              </w:rPr>
              <w:t>%</w:t>
            </w:r>
          </w:p>
        </w:tc>
        <w:tc>
          <w:tcPr>
            <w:tcW w:w="1588" w:type="dxa"/>
            <w:shd w:val="clear" w:color="auto" w:fill="auto"/>
            <w:tcMar>
              <w:top w:w="28" w:type="dxa"/>
              <w:left w:w="108" w:type="dxa"/>
              <w:bottom w:w="28" w:type="dxa"/>
              <w:right w:w="108" w:type="dxa"/>
            </w:tcMar>
            <w:vAlign w:val="center"/>
            <w:hideMark/>
          </w:tcPr>
          <w:p w:rsidR="00F44D56" w:rsidRPr="006F442D" w:rsidRDefault="00DE223D" w:rsidP="00A60DC6">
            <w:pPr>
              <w:jc w:val="center"/>
              <w:rPr>
                <w:sz w:val="20"/>
                <w:szCs w:val="20"/>
                <w:lang w:val="en-NZ"/>
              </w:rPr>
            </w:pPr>
            <w:r>
              <w:rPr>
                <w:sz w:val="20"/>
                <w:szCs w:val="20"/>
              </w:rPr>
              <w:t>22</w:t>
            </w:r>
            <w:r w:rsidR="00F44D56">
              <w:rPr>
                <w:sz w:val="20"/>
                <w:szCs w:val="20"/>
              </w:rPr>
              <w:t>%</w:t>
            </w:r>
          </w:p>
        </w:tc>
      </w:tr>
      <w:tr w:rsidR="00F44D56" w:rsidRPr="006F442D" w:rsidTr="00A60DC6">
        <w:trPr>
          <w:trHeight w:val="280"/>
          <w:jc w:val="center"/>
        </w:trPr>
        <w:tc>
          <w:tcPr>
            <w:tcW w:w="2722" w:type="dxa"/>
            <w:shd w:val="clear" w:color="auto" w:fill="auto"/>
            <w:tcMar>
              <w:top w:w="28" w:type="dxa"/>
              <w:left w:w="108" w:type="dxa"/>
              <w:bottom w:w="28" w:type="dxa"/>
              <w:right w:w="108" w:type="dxa"/>
            </w:tcMar>
            <w:vAlign w:val="center"/>
            <w:hideMark/>
          </w:tcPr>
          <w:p w:rsidR="00F44D56" w:rsidRPr="006F442D" w:rsidRDefault="00F44D56" w:rsidP="00A60DC6">
            <w:pPr>
              <w:jc w:val="center"/>
              <w:rPr>
                <w:sz w:val="20"/>
                <w:szCs w:val="20"/>
                <w:lang w:val="en-NZ"/>
              </w:rPr>
            </w:pPr>
            <w:r w:rsidRPr="006F442D">
              <w:rPr>
                <w:sz w:val="20"/>
                <w:szCs w:val="20"/>
              </w:rPr>
              <w:t>Pacific</w:t>
            </w:r>
          </w:p>
        </w:tc>
        <w:tc>
          <w:tcPr>
            <w:tcW w:w="1588" w:type="dxa"/>
            <w:shd w:val="clear" w:color="auto" w:fill="auto"/>
            <w:tcMar>
              <w:top w:w="28" w:type="dxa"/>
              <w:left w:w="108" w:type="dxa"/>
              <w:bottom w:w="28" w:type="dxa"/>
              <w:right w:w="108" w:type="dxa"/>
            </w:tcMar>
            <w:vAlign w:val="center"/>
            <w:hideMark/>
          </w:tcPr>
          <w:p w:rsidR="00F44D56" w:rsidRPr="006F442D" w:rsidRDefault="00DE223D" w:rsidP="00A60DC6">
            <w:pPr>
              <w:jc w:val="center"/>
              <w:rPr>
                <w:sz w:val="20"/>
                <w:szCs w:val="20"/>
                <w:lang w:val="en-NZ"/>
              </w:rPr>
            </w:pPr>
            <w:r>
              <w:rPr>
                <w:sz w:val="20"/>
                <w:szCs w:val="20"/>
              </w:rPr>
              <w:t>13</w:t>
            </w:r>
            <w:r w:rsidR="00F44D56">
              <w:rPr>
                <w:sz w:val="20"/>
                <w:szCs w:val="20"/>
              </w:rPr>
              <w:t>%</w:t>
            </w:r>
          </w:p>
        </w:tc>
        <w:tc>
          <w:tcPr>
            <w:tcW w:w="1588" w:type="dxa"/>
            <w:shd w:val="clear" w:color="auto" w:fill="auto"/>
            <w:tcMar>
              <w:top w:w="28" w:type="dxa"/>
              <w:left w:w="108" w:type="dxa"/>
              <w:bottom w:w="28" w:type="dxa"/>
              <w:right w:w="108" w:type="dxa"/>
            </w:tcMar>
            <w:vAlign w:val="center"/>
            <w:hideMark/>
          </w:tcPr>
          <w:p w:rsidR="00F44D56" w:rsidRPr="006F442D" w:rsidRDefault="00DE223D" w:rsidP="00A60DC6">
            <w:pPr>
              <w:jc w:val="center"/>
              <w:rPr>
                <w:sz w:val="20"/>
                <w:szCs w:val="20"/>
                <w:lang w:val="en-NZ"/>
              </w:rPr>
            </w:pPr>
            <w:r>
              <w:rPr>
                <w:sz w:val="20"/>
                <w:szCs w:val="20"/>
              </w:rPr>
              <w:t>10</w:t>
            </w:r>
            <w:r w:rsidR="00F44D56">
              <w:rPr>
                <w:sz w:val="20"/>
                <w:szCs w:val="20"/>
              </w:rPr>
              <w:t>%</w:t>
            </w:r>
          </w:p>
        </w:tc>
        <w:tc>
          <w:tcPr>
            <w:tcW w:w="1588" w:type="dxa"/>
            <w:shd w:val="clear" w:color="auto" w:fill="auto"/>
            <w:tcMar>
              <w:top w:w="28" w:type="dxa"/>
              <w:left w:w="108" w:type="dxa"/>
              <w:bottom w:w="28" w:type="dxa"/>
              <w:right w:w="108" w:type="dxa"/>
            </w:tcMar>
            <w:vAlign w:val="center"/>
            <w:hideMark/>
          </w:tcPr>
          <w:p w:rsidR="00F44D56" w:rsidRPr="006F442D" w:rsidRDefault="00DE223D" w:rsidP="00A60DC6">
            <w:pPr>
              <w:jc w:val="center"/>
              <w:rPr>
                <w:sz w:val="20"/>
                <w:szCs w:val="20"/>
                <w:lang w:val="en-NZ"/>
              </w:rPr>
            </w:pPr>
            <w:r>
              <w:rPr>
                <w:sz w:val="20"/>
                <w:szCs w:val="20"/>
              </w:rPr>
              <w:t>10</w:t>
            </w:r>
            <w:r w:rsidR="00F44D56">
              <w:rPr>
                <w:sz w:val="20"/>
                <w:szCs w:val="20"/>
              </w:rPr>
              <w:t>%</w:t>
            </w:r>
          </w:p>
        </w:tc>
      </w:tr>
      <w:tr w:rsidR="00F44D56" w:rsidRPr="006F442D" w:rsidTr="00A60DC6">
        <w:trPr>
          <w:trHeight w:val="280"/>
          <w:jc w:val="center"/>
        </w:trPr>
        <w:tc>
          <w:tcPr>
            <w:tcW w:w="2722" w:type="dxa"/>
            <w:shd w:val="clear" w:color="auto" w:fill="auto"/>
            <w:tcMar>
              <w:top w:w="28" w:type="dxa"/>
              <w:left w:w="108" w:type="dxa"/>
              <w:bottom w:w="28" w:type="dxa"/>
              <w:right w:w="108" w:type="dxa"/>
            </w:tcMar>
            <w:vAlign w:val="center"/>
            <w:hideMark/>
          </w:tcPr>
          <w:p w:rsidR="00F44D56" w:rsidRPr="006F442D" w:rsidRDefault="00F44D56" w:rsidP="00A60DC6">
            <w:pPr>
              <w:jc w:val="center"/>
              <w:rPr>
                <w:sz w:val="20"/>
                <w:szCs w:val="20"/>
                <w:lang w:val="en-NZ"/>
              </w:rPr>
            </w:pPr>
            <w:r w:rsidRPr="006F442D">
              <w:rPr>
                <w:sz w:val="20"/>
                <w:szCs w:val="20"/>
              </w:rPr>
              <w:t>Asian</w:t>
            </w:r>
          </w:p>
        </w:tc>
        <w:tc>
          <w:tcPr>
            <w:tcW w:w="1588" w:type="dxa"/>
            <w:shd w:val="clear" w:color="auto" w:fill="auto"/>
            <w:tcMar>
              <w:top w:w="28" w:type="dxa"/>
              <w:left w:w="108" w:type="dxa"/>
              <w:bottom w:w="28" w:type="dxa"/>
              <w:right w:w="108" w:type="dxa"/>
            </w:tcMar>
            <w:vAlign w:val="center"/>
            <w:hideMark/>
          </w:tcPr>
          <w:p w:rsidR="00F44D56" w:rsidRPr="006F442D" w:rsidRDefault="00DE223D" w:rsidP="00A60DC6">
            <w:pPr>
              <w:jc w:val="center"/>
              <w:rPr>
                <w:sz w:val="20"/>
                <w:szCs w:val="20"/>
                <w:lang w:val="en-NZ"/>
              </w:rPr>
            </w:pPr>
            <w:r>
              <w:rPr>
                <w:sz w:val="20"/>
                <w:szCs w:val="20"/>
              </w:rPr>
              <w:t>2</w:t>
            </w:r>
            <w:r w:rsidR="00F44D56">
              <w:rPr>
                <w:sz w:val="20"/>
                <w:szCs w:val="20"/>
              </w:rPr>
              <w:t>%</w:t>
            </w:r>
          </w:p>
        </w:tc>
        <w:tc>
          <w:tcPr>
            <w:tcW w:w="1588" w:type="dxa"/>
            <w:shd w:val="clear" w:color="auto" w:fill="auto"/>
            <w:tcMar>
              <w:top w:w="28" w:type="dxa"/>
              <w:left w:w="108" w:type="dxa"/>
              <w:bottom w:w="28" w:type="dxa"/>
              <w:right w:w="108" w:type="dxa"/>
            </w:tcMar>
            <w:vAlign w:val="center"/>
            <w:hideMark/>
          </w:tcPr>
          <w:p w:rsidR="00F44D56" w:rsidRPr="006F442D" w:rsidRDefault="00DE223D" w:rsidP="00A60DC6">
            <w:pPr>
              <w:jc w:val="center"/>
              <w:rPr>
                <w:sz w:val="20"/>
                <w:szCs w:val="20"/>
                <w:lang w:val="en-NZ"/>
              </w:rPr>
            </w:pPr>
            <w:r>
              <w:rPr>
                <w:sz w:val="20"/>
                <w:szCs w:val="20"/>
              </w:rPr>
              <w:t>11</w:t>
            </w:r>
            <w:r w:rsidR="00F44D56">
              <w:rPr>
                <w:sz w:val="20"/>
                <w:szCs w:val="20"/>
              </w:rPr>
              <w:t>%</w:t>
            </w:r>
          </w:p>
        </w:tc>
        <w:tc>
          <w:tcPr>
            <w:tcW w:w="1588" w:type="dxa"/>
            <w:shd w:val="clear" w:color="auto" w:fill="auto"/>
            <w:tcMar>
              <w:top w:w="28" w:type="dxa"/>
              <w:left w:w="108" w:type="dxa"/>
              <w:bottom w:w="28" w:type="dxa"/>
              <w:right w:w="108" w:type="dxa"/>
            </w:tcMar>
            <w:vAlign w:val="center"/>
            <w:hideMark/>
          </w:tcPr>
          <w:p w:rsidR="00F44D56" w:rsidRPr="006F442D" w:rsidRDefault="00F44D56" w:rsidP="00A60DC6">
            <w:pPr>
              <w:jc w:val="center"/>
              <w:rPr>
                <w:sz w:val="20"/>
                <w:szCs w:val="20"/>
                <w:lang w:val="en-NZ"/>
              </w:rPr>
            </w:pPr>
            <w:r w:rsidRPr="006F442D">
              <w:rPr>
                <w:sz w:val="20"/>
                <w:szCs w:val="20"/>
              </w:rPr>
              <w:t>10</w:t>
            </w:r>
            <w:r>
              <w:rPr>
                <w:sz w:val="20"/>
                <w:szCs w:val="20"/>
              </w:rPr>
              <w:t>%</w:t>
            </w:r>
          </w:p>
        </w:tc>
      </w:tr>
      <w:tr w:rsidR="00F44D56" w:rsidRPr="006F442D" w:rsidTr="00A60DC6">
        <w:trPr>
          <w:trHeight w:val="280"/>
          <w:jc w:val="center"/>
        </w:trPr>
        <w:tc>
          <w:tcPr>
            <w:tcW w:w="2722" w:type="dxa"/>
            <w:shd w:val="clear" w:color="auto" w:fill="auto"/>
            <w:tcMar>
              <w:top w:w="28" w:type="dxa"/>
              <w:left w:w="108" w:type="dxa"/>
              <w:bottom w:w="28" w:type="dxa"/>
              <w:right w:w="108" w:type="dxa"/>
            </w:tcMar>
            <w:vAlign w:val="center"/>
            <w:hideMark/>
          </w:tcPr>
          <w:p w:rsidR="00F44D56" w:rsidRPr="006F442D" w:rsidRDefault="00F44D56" w:rsidP="00A60DC6">
            <w:pPr>
              <w:jc w:val="center"/>
              <w:rPr>
                <w:sz w:val="20"/>
                <w:szCs w:val="20"/>
                <w:lang w:val="en-NZ"/>
              </w:rPr>
            </w:pPr>
            <w:r w:rsidRPr="006F442D">
              <w:rPr>
                <w:sz w:val="20"/>
                <w:szCs w:val="20"/>
              </w:rPr>
              <w:t>Other ethnic group</w:t>
            </w:r>
          </w:p>
        </w:tc>
        <w:tc>
          <w:tcPr>
            <w:tcW w:w="1588" w:type="dxa"/>
            <w:shd w:val="clear" w:color="auto" w:fill="auto"/>
            <w:tcMar>
              <w:top w:w="28" w:type="dxa"/>
              <w:left w:w="108" w:type="dxa"/>
              <w:bottom w:w="28" w:type="dxa"/>
              <w:right w:w="108" w:type="dxa"/>
            </w:tcMar>
            <w:vAlign w:val="center"/>
            <w:hideMark/>
          </w:tcPr>
          <w:p w:rsidR="00F44D56" w:rsidRPr="006F442D" w:rsidRDefault="00F44D56" w:rsidP="00DE223D">
            <w:pPr>
              <w:jc w:val="center"/>
              <w:rPr>
                <w:sz w:val="20"/>
                <w:szCs w:val="20"/>
                <w:lang w:val="en-NZ"/>
              </w:rPr>
            </w:pPr>
            <w:r w:rsidRPr="006F442D">
              <w:rPr>
                <w:sz w:val="20"/>
                <w:szCs w:val="20"/>
              </w:rPr>
              <w:t>1</w:t>
            </w:r>
            <w:r>
              <w:rPr>
                <w:sz w:val="20"/>
                <w:szCs w:val="20"/>
              </w:rPr>
              <w:t>%</w:t>
            </w:r>
          </w:p>
        </w:tc>
        <w:tc>
          <w:tcPr>
            <w:tcW w:w="1588" w:type="dxa"/>
            <w:shd w:val="clear" w:color="auto" w:fill="auto"/>
            <w:tcMar>
              <w:top w:w="28" w:type="dxa"/>
              <w:left w:w="108" w:type="dxa"/>
              <w:bottom w:w="28" w:type="dxa"/>
              <w:right w:w="108" w:type="dxa"/>
            </w:tcMar>
            <w:vAlign w:val="center"/>
            <w:hideMark/>
          </w:tcPr>
          <w:p w:rsidR="00F44D56" w:rsidRPr="006F442D" w:rsidRDefault="00F44D56" w:rsidP="00A60DC6">
            <w:pPr>
              <w:jc w:val="center"/>
              <w:rPr>
                <w:sz w:val="20"/>
                <w:szCs w:val="20"/>
                <w:lang w:val="en-NZ"/>
              </w:rPr>
            </w:pPr>
            <w:r w:rsidRPr="006F442D">
              <w:rPr>
                <w:sz w:val="20"/>
                <w:szCs w:val="20"/>
              </w:rPr>
              <w:t>2</w:t>
            </w:r>
            <w:r>
              <w:rPr>
                <w:sz w:val="20"/>
                <w:szCs w:val="20"/>
              </w:rPr>
              <w:t>%</w:t>
            </w:r>
          </w:p>
        </w:tc>
        <w:tc>
          <w:tcPr>
            <w:tcW w:w="1588" w:type="dxa"/>
            <w:shd w:val="clear" w:color="auto" w:fill="auto"/>
            <w:tcMar>
              <w:top w:w="28" w:type="dxa"/>
              <w:left w:w="108" w:type="dxa"/>
              <w:bottom w:w="28" w:type="dxa"/>
              <w:right w:w="108" w:type="dxa"/>
            </w:tcMar>
            <w:vAlign w:val="center"/>
            <w:hideMark/>
          </w:tcPr>
          <w:p w:rsidR="00F44D56" w:rsidRPr="006F442D" w:rsidRDefault="00F44D56" w:rsidP="00A60DC6">
            <w:pPr>
              <w:jc w:val="center"/>
              <w:rPr>
                <w:sz w:val="20"/>
                <w:szCs w:val="20"/>
                <w:lang w:val="en-NZ"/>
              </w:rPr>
            </w:pPr>
            <w:r w:rsidRPr="006F442D">
              <w:rPr>
                <w:sz w:val="20"/>
                <w:szCs w:val="20"/>
              </w:rPr>
              <w:t>2</w:t>
            </w:r>
            <w:r>
              <w:rPr>
                <w:sz w:val="20"/>
                <w:szCs w:val="20"/>
              </w:rPr>
              <w:t>%</w:t>
            </w:r>
          </w:p>
        </w:tc>
      </w:tr>
      <w:tr w:rsidR="00F44D56" w:rsidRPr="006F442D" w:rsidTr="00A60DC6">
        <w:trPr>
          <w:trHeight w:val="280"/>
          <w:jc w:val="center"/>
        </w:trPr>
        <w:tc>
          <w:tcPr>
            <w:tcW w:w="2722" w:type="dxa"/>
            <w:shd w:val="clear" w:color="auto" w:fill="auto"/>
            <w:tcMar>
              <w:top w:w="28" w:type="dxa"/>
              <w:left w:w="108" w:type="dxa"/>
              <w:bottom w:w="28" w:type="dxa"/>
              <w:right w:w="108" w:type="dxa"/>
            </w:tcMar>
            <w:vAlign w:val="center"/>
            <w:hideMark/>
          </w:tcPr>
          <w:p w:rsidR="00F44D56" w:rsidRPr="006F442D" w:rsidRDefault="00F44D56" w:rsidP="00A60DC6">
            <w:pPr>
              <w:jc w:val="center"/>
              <w:rPr>
                <w:sz w:val="20"/>
                <w:szCs w:val="20"/>
                <w:lang w:val="en-NZ"/>
              </w:rPr>
            </w:pPr>
            <w:r>
              <w:rPr>
                <w:sz w:val="20"/>
                <w:szCs w:val="20"/>
              </w:rPr>
              <w:t xml:space="preserve">1991 Birth </w:t>
            </w:r>
            <w:r w:rsidRPr="006F442D">
              <w:rPr>
                <w:sz w:val="20"/>
                <w:szCs w:val="20"/>
              </w:rPr>
              <w:t>Cohort</w:t>
            </w:r>
          </w:p>
        </w:tc>
        <w:tc>
          <w:tcPr>
            <w:tcW w:w="1588" w:type="dxa"/>
            <w:shd w:val="clear" w:color="auto" w:fill="auto"/>
            <w:tcMar>
              <w:top w:w="28" w:type="dxa"/>
              <w:left w:w="108" w:type="dxa"/>
              <w:bottom w:w="28" w:type="dxa"/>
              <w:right w:w="108" w:type="dxa"/>
            </w:tcMar>
            <w:vAlign w:val="center"/>
            <w:hideMark/>
          </w:tcPr>
          <w:p w:rsidR="00F44D56" w:rsidRPr="006F442D" w:rsidRDefault="00F44D56" w:rsidP="00DE223D">
            <w:pPr>
              <w:jc w:val="center"/>
              <w:rPr>
                <w:sz w:val="20"/>
                <w:szCs w:val="20"/>
                <w:lang w:val="en-NZ"/>
              </w:rPr>
            </w:pPr>
            <w:r w:rsidRPr="006F442D">
              <w:rPr>
                <w:sz w:val="20"/>
                <w:szCs w:val="20"/>
              </w:rPr>
              <w:t>31</w:t>
            </w:r>
            <w:r>
              <w:rPr>
                <w:sz w:val="20"/>
                <w:szCs w:val="20"/>
              </w:rPr>
              <w:t>%</w:t>
            </w:r>
          </w:p>
        </w:tc>
        <w:tc>
          <w:tcPr>
            <w:tcW w:w="1588" w:type="dxa"/>
            <w:shd w:val="clear" w:color="auto" w:fill="auto"/>
            <w:tcMar>
              <w:top w:w="28" w:type="dxa"/>
              <w:left w:w="108" w:type="dxa"/>
              <w:bottom w:w="28" w:type="dxa"/>
              <w:right w:w="108" w:type="dxa"/>
            </w:tcMar>
            <w:vAlign w:val="center"/>
            <w:hideMark/>
          </w:tcPr>
          <w:p w:rsidR="00F44D56" w:rsidRPr="006F442D" w:rsidRDefault="00F44D56" w:rsidP="00DE223D">
            <w:pPr>
              <w:jc w:val="center"/>
              <w:rPr>
                <w:sz w:val="20"/>
                <w:szCs w:val="20"/>
                <w:lang w:val="en-NZ"/>
              </w:rPr>
            </w:pPr>
            <w:r w:rsidRPr="006F442D">
              <w:rPr>
                <w:sz w:val="20"/>
                <w:szCs w:val="20"/>
              </w:rPr>
              <w:t>26</w:t>
            </w:r>
            <w:r>
              <w:rPr>
                <w:sz w:val="20"/>
                <w:szCs w:val="20"/>
              </w:rPr>
              <w:t>%</w:t>
            </w:r>
          </w:p>
        </w:tc>
        <w:tc>
          <w:tcPr>
            <w:tcW w:w="1588" w:type="dxa"/>
            <w:shd w:val="clear" w:color="auto" w:fill="auto"/>
            <w:tcMar>
              <w:top w:w="28" w:type="dxa"/>
              <w:left w:w="108" w:type="dxa"/>
              <w:bottom w:w="28" w:type="dxa"/>
              <w:right w:w="108" w:type="dxa"/>
            </w:tcMar>
            <w:vAlign w:val="center"/>
            <w:hideMark/>
          </w:tcPr>
          <w:p w:rsidR="00F44D56" w:rsidRPr="006F442D" w:rsidRDefault="00DE223D" w:rsidP="00A60DC6">
            <w:pPr>
              <w:jc w:val="center"/>
              <w:rPr>
                <w:sz w:val="20"/>
                <w:szCs w:val="20"/>
                <w:lang w:val="en-NZ"/>
              </w:rPr>
            </w:pPr>
            <w:r>
              <w:rPr>
                <w:sz w:val="20"/>
                <w:szCs w:val="20"/>
              </w:rPr>
              <w:t>26</w:t>
            </w:r>
            <w:r w:rsidR="00F44D56">
              <w:rPr>
                <w:sz w:val="20"/>
                <w:szCs w:val="20"/>
              </w:rPr>
              <w:t>%</w:t>
            </w:r>
          </w:p>
        </w:tc>
      </w:tr>
      <w:tr w:rsidR="00F44D56" w:rsidRPr="006F442D" w:rsidTr="00A60DC6">
        <w:trPr>
          <w:trHeight w:val="280"/>
          <w:jc w:val="center"/>
        </w:trPr>
        <w:tc>
          <w:tcPr>
            <w:tcW w:w="2722" w:type="dxa"/>
            <w:shd w:val="clear" w:color="auto" w:fill="auto"/>
            <w:tcMar>
              <w:top w:w="28" w:type="dxa"/>
              <w:left w:w="108" w:type="dxa"/>
              <w:bottom w:w="28" w:type="dxa"/>
              <w:right w:w="108" w:type="dxa"/>
            </w:tcMar>
            <w:vAlign w:val="center"/>
            <w:hideMark/>
          </w:tcPr>
          <w:p w:rsidR="00F44D56" w:rsidRPr="006F442D" w:rsidRDefault="00F44D56" w:rsidP="00A60DC6">
            <w:pPr>
              <w:jc w:val="center"/>
              <w:rPr>
                <w:sz w:val="20"/>
                <w:szCs w:val="20"/>
                <w:lang w:val="en-NZ"/>
              </w:rPr>
            </w:pPr>
            <w:r>
              <w:rPr>
                <w:sz w:val="20"/>
                <w:szCs w:val="20"/>
              </w:rPr>
              <w:t xml:space="preserve">1992 Birth </w:t>
            </w:r>
            <w:r w:rsidRPr="006F442D">
              <w:rPr>
                <w:sz w:val="20"/>
                <w:szCs w:val="20"/>
              </w:rPr>
              <w:t>Cohort</w:t>
            </w:r>
          </w:p>
        </w:tc>
        <w:tc>
          <w:tcPr>
            <w:tcW w:w="1588" w:type="dxa"/>
            <w:shd w:val="clear" w:color="auto" w:fill="auto"/>
            <w:tcMar>
              <w:top w:w="28" w:type="dxa"/>
              <w:left w:w="108" w:type="dxa"/>
              <w:bottom w:w="28" w:type="dxa"/>
              <w:right w:w="108" w:type="dxa"/>
            </w:tcMar>
            <w:vAlign w:val="center"/>
            <w:hideMark/>
          </w:tcPr>
          <w:p w:rsidR="00F44D56" w:rsidRPr="006F442D" w:rsidRDefault="00F44D56" w:rsidP="00A60DC6">
            <w:pPr>
              <w:jc w:val="center"/>
              <w:rPr>
                <w:sz w:val="20"/>
                <w:szCs w:val="20"/>
                <w:lang w:val="en-NZ"/>
              </w:rPr>
            </w:pPr>
            <w:r w:rsidRPr="006F442D">
              <w:rPr>
                <w:sz w:val="20"/>
                <w:szCs w:val="20"/>
              </w:rPr>
              <w:t>29</w:t>
            </w:r>
            <w:r>
              <w:rPr>
                <w:sz w:val="20"/>
                <w:szCs w:val="20"/>
              </w:rPr>
              <w:t>%</w:t>
            </w:r>
          </w:p>
        </w:tc>
        <w:tc>
          <w:tcPr>
            <w:tcW w:w="1588" w:type="dxa"/>
            <w:shd w:val="clear" w:color="auto" w:fill="auto"/>
            <w:tcMar>
              <w:top w:w="28" w:type="dxa"/>
              <w:left w:w="108" w:type="dxa"/>
              <w:bottom w:w="28" w:type="dxa"/>
              <w:right w:w="108" w:type="dxa"/>
            </w:tcMar>
            <w:vAlign w:val="center"/>
            <w:hideMark/>
          </w:tcPr>
          <w:p w:rsidR="00F44D56" w:rsidRPr="006F442D" w:rsidRDefault="00F44D56" w:rsidP="00DE223D">
            <w:pPr>
              <w:jc w:val="center"/>
              <w:rPr>
                <w:sz w:val="20"/>
                <w:szCs w:val="20"/>
                <w:lang w:val="en-NZ"/>
              </w:rPr>
            </w:pPr>
            <w:r w:rsidRPr="006F442D">
              <w:rPr>
                <w:sz w:val="20"/>
                <w:szCs w:val="20"/>
              </w:rPr>
              <w:t>2</w:t>
            </w:r>
            <w:r w:rsidR="00DE223D">
              <w:rPr>
                <w:sz w:val="20"/>
                <w:szCs w:val="20"/>
              </w:rPr>
              <w:t>5</w:t>
            </w:r>
            <w:r>
              <w:rPr>
                <w:sz w:val="20"/>
                <w:szCs w:val="20"/>
              </w:rPr>
              <w:t>%</w:t>
            </w:r>
          </w:p>
        </w:tc>
        <w:tc>
          <w:tcPr>
            <w:tcW w:w="1588" w:type="dxa"/>
            <w:shd w:val="clear" w:color="auto" w:fill="auto"/>
            <w:tcMar>
              <w:top w:w="28" w:type="dxa"/>
              <w:left w:w="108" w:type="dxa"/>
              <w:bottom w:w="28" w:type="dxa"/>
              <w:right w:w="108" w:type="dxa"/>
            </w:tcMar>
            <w:vAlign w:val="center"/>
            <w:hideMark/>
          </w:tcPr>
          <w:p w:rsidR="00F44D56" w:rsidRPr="006F442D" w:rsidRDefault="00DE223D" w:rsidP="00A60DC6">
            <w:pPr>
              <w:jc w:val="center"/>
              <w:rPr>
                <w:sz w:val="20"/>
                <w:szCs w:val="20"/>
                <w:lang w:val="en-NZ"/>
              </w:rPr>
            </w:pPr>
            <w:r>
              <w:rPr>
                <w:sz w:val="20"/>
                <w:szCs w:val="20"/>
              </w:rPr>
              <w:t>25</w:t>
            </w:r>
            <w:r w:rsidR="00F44D56">
              <w:rPr>
                <w:sz w:val="20"/>
                <w:szCs w:val="20"/>
              </w:rPr>
              <w:t>%</w:t>
            </w:r>
          </w:p>
        </w:tc>
      </w:tr>
      <w:tr w:rsidR="00F44D56" w:rsidRPr="006F442D" w:rsidTr="00A60DC6">
        <w:trPr>
          <w:trHeight w:val="280"/>
          <w:jc w:val="center"/>
        </w:trPr>
        <w:tc>
          <w:tcPr>
            <w:tcW w:w="2722" w:type="dxa"/>
            <w:shd w:val="clear" w:color="auto" w:fill="auto"/>
            <w:tcMar>
              <w:top w:w="28" w:type="dxa"/>
              <w:left w:w="108" w:type="dxa"/>
              <w:bottom w:w="28" w:type="dxa"/>
              <w:right w:w="108" w:type="dxa"/>
            </w:tcMar>
            <w:vAlign w:val="center"/>
            <w:hideMark/>
          </w:tcPr>
          <w:p w:rsidR="00F44D56" w:rsidRPr="006F442D" w:rsidRDefault="00F44D56" w:rsidP="00A60DC6">
            <w:pPr>
              <w:jc w:val="center"/>
              <w:rPr>
                <w:sz w:val="20"/>
                <w:szCs w:val="20"/>
                <w:lang w:val="en-NZ"/>
              </w:rPr>
            </w:pPr>
            <w:r w:rsidRPr="006F442D">
              <w:rPr>
                <w:sz w:val="20"/>
                <w:szCs w:val="20"/>
              </w:rPr>
              <w:t>1993</w:t>
            </w:r>
            <w:r>
              <w:rPr>
                <w:sz w:val="20"/>
                <w:szCs w:val="20"/>
              </w:rPr>
              <w:t xml:space="preserve"> Birth Cohort</w:t>
            </w:r>
          </w:p>
        </w:tc>
        <w:tc>
          <w:tcPr>
            <w:tcW w:w="1588" w:type="dxa"/>
            <w:shd w:val="clear" w:color="auto" w:fill="auto"/>
            <w:tcMar>
              <w:top w:w="28" w:type="dxa"/>
              <w:left w:w="108" w:type="dxa"/>
              <w:bottom w:w="28" w:type="dxa"/>
              <w:right w:w="108" w:type="dxa"/>
            </w:tcMar>
            <w:vAlign w:val="center"/>
            <w:hideMark/>
          </w:tcPr>
          <w:p w:rsidR="00F44D56" w:rsidRPr="006F442D" w:rsidRDefault="00F44D56" w:rsidP="00A60DC6">
            <w:pPr>
              <w:jc w:val="center"/>
              <w:rPr>
                <w:sz w:val="20"/>
                <w:szCs w:val="20"/>
                <w:lang w:val="en-NZ"/>
              </w:rPr>
            </w:pPr>
            <w:r w:rsidRPr="006F442D">
              <w:rPr>
                <w:sz w:val="20"/>
                <w:szCs w:val="20"/>
              </w:rPr>
              <w:t>26</w:t>
            </w:r>
            <w:r>
              <w:rPr>
                <w:sz w:val="20"/>
                <w:szCs w:val="20"/>
              </w:rPr>
              <w:t>%</w:t>
            </w:r>
          </w:p>
        </w:tc>
        <w:tc>
          <w:tcPr>
            <w:tcW w:w="1588" w:type="dxa"/>
            <w:shd w:val="clear" w:color="auto" w:fill="auto"/>
            <w:tcMar>
              <w:top w:w="28" w:type="dxa"/>
              <w:left w:w="108" w:type="dxa"/>
              <w:bottom w:w="28" w:type="dxa"/>
              <w:right w:w="108" w:type="dxa"/>
            </w:tcMar>
            <w:vAlign w:val="center"/>
            <w:hideMark/>
          </w:tcPr>
          <w:p w:rsidR="00F44D56" w:rsidRPr="006F442D" w:rsidRDefault="00DE223D" w:rsidP="00A60DC6">
            <w:pPr>
              <w:jc w:val="center"/>
              <w:rPr>
                <w:sz w:val="20"/>
                <w:szCs w:val="20"/>
                <w:lang w:val="en-NZ"/>
              </w:rPr>
            </w:pPr>
            <w:r>
              <w:rPr>
                <w:sz w:val="20"/>
                <w:szCs w:val="20"/>
              </w:rPr>
              <w:t>25</w:t>
            </w:r>
            <w:r w:rsidR="00F44D56">
              <w:rPr>
                <w:sz w:val="20"/>
                <w:szCs w:val="20"/>
              </w:rPr>
              <w:t>%</w:t>
            </w:r>
          </w:p>
        </w:tc>
        <w:tc>
          <w:tcPr>
            <w:tcW w:w="1588" w:type="dxa"/>
            <w:shd w:val="clear" w:color="auto" w:fill="auto"/>
            <w:tcMar>
              <w:top w:w="28" w:type="dxa"/>
              <w:left w:w="108" w:type="dxa"/>
              <w:bottom w:w="28" w:type="dxa"/>
              <w:right w:w="108" w:type="dxa"/>
            </w:tcMar>
            <w:vAlign w:val="center"/>
            <w:hideMark/>
          </w:tcPr>
          <w:p w:rsidR="00F44D56" w:rsidRPr="006F442D" w:rsidRDefault="00DE223D" w:rsidP="00A60DC6">
            <w:pPr>
              <w:jc w:val="center"/>
              <w:rPr>
                <w:sz w:val="20"/>
                <w:szCs w:val="20"/>
                <w:lang w:val="en-NZ"/>
              </w:rPr>
            </w:pPr>
            <w:r>
              <w:rPr>
                <w:sz w:val="20"/>
                <w:szCs w:val="20"/>
              </w:rPr>
              <w:t>25</w:t>
            </w:r>
            <w:r w:rsidR="00F44D56">
              <w:rPr>
                <w:sz w:val="20"/>
                <w:szCs w:val="20"/>
              </w:rPr>
              <w:t>%</w:t>
            </w:r>
          </w:p>
        </w:tc>
      </w:tr>
      <w:tr w:rsidR="00F44D56" w:rsidRPr="006F442D" w:rsidTr="00A60DC6">
        <w:trPr>
          <w:trHeight w:val="280"/>
          <w:jc w:val="center"/>
        </w:trPr>
        <w:tc>
          <w:tcPr>
            <w:tcW w:w="2722" w:type="dxa"/>
            <w:shd w:val="clear" w:color="auto" w:fill="auto"/>
            <w:tcMar>
              <w:top w:w="28" w:type="dxa"/>
              <w:left w:w="108" w:type="dxa"/>
              <w:bottom w:w="28" w:type="dxa"/>
              <w:right w:w="108" w:type="dxa"/>
            </w:tcMar>
            <w:vAlign w:val="center"/>
            <w:hideMark/>
          </w:tcPr>
          <w:p w:rsidR="00F44D56" w:rsidRPr="006F442D" w:rsidRDefault="00F44D56" w:rsidP="00A60DC6">
            <w:pPr>
              <w:jc w:val="center"/>
              <w:rPr>
                <w:sz w:val="20"/>
                <w:szCs w:val="20"/>
                <w:lang w:val="en-NZ"/>
              </w:rPr>
            </w:pPr>
            <w:r w:rsidRPr="006F442D">
              <w:rPr>
                <w:sz w:val="20"/>
                <w:szCs w:val="20"/>
              </w:rPr>
              <w:t>1994</w:t>
            </w:r>
            <w:r>
              <w:rPr>
                <w:sz w:val="20"/>
                <w:szCs w:val="20"/>
              </w:rPr>
              <w:t xml:space="preserve"> Birth Cohort</w:t>
            </w:r>
          </w:p>
        </w:tc>
        <w:tc>
          <w:tcPr>
            <w:tcW w:w="1588" w:type="dxa"/>
            <w:shd w:val="clear" w:color="auto" w:fill="auto"/>
            <w:tcMar>
              <w:top w:w="28" w:type="dxa"/>
              <w:left w:w="108" w:type="dxa"/>
              <w:bottom w:w="28" w:type="dxa"/>
              <w:right w:w="108" w:type="dxa"/>
            </w:tcMar>
            <w:vAlign w:val="center"/>
            <w:hideMark/>
          </w:tcPr>
          <w:p w:rsidR="00F44D56" w:rsidRPr="006F442D" w:rsidRDefault="00F44D56" w:rsidP="00DE223D">
            <w:pPr>
              <w:jc w:val="center"/>
              <w:rPr>
                <w:sz w:val="20"/>
                <w:szCs w:val="20"/>
                <w:lang w:val="en-NZ"/>
              </w:rPr>
            </w:pPr>
            <w:r w:rsidRPr="006F442D">
              <w:rPr>
                <w:sz w:val="20"/>
                <w:szCs w:val="20"/>
              </w:rPr>
              <w:t>1</w:t>
            </w:r>
            <w:r w:rsidR="00DE223D">
              <w:rPr>
                <w:sz w:val="20"/>
                <w:szCs w:val="20"/>
              </w:rPr>
              <w:t>4</w:t>
            </w:r>
            <w:r>
              <w:rPr>
                <w:sz w:val="20"/>
                <w:szCs w:val="20"/>
              </w:rPr>
              <w:t>%</w:t>
            </w:r>
          </w:p>
        </w:tc>
        <w:tc>
          <w:tcPr>
            <w:tcW w:w="1588" w:type="dxa"/>
            <w:shd w:val="clear" w:color="auto" w:fill="auto"/>
            <w:tcMar>
              <w:top w:w="28" w:type="dxa"/>
              <w:left w:w="108" w:type="dxa"/>
              <w:bottom w:w="28" w:type="dxa"/>
              <w:right w:w="108" w:type="dxa"/>
            </w:tcMar>
            <w:vAlign w:val="center"/>
            <w:hideMark/>
          </w:tcPr>
          <w:p w:rsidR="00F44D56" w:rsidRPr="006F442D" w:rsidRDefault="00F44D56" w:rsidP="00DE223D">
            <w:pPr>
              <w:jc w:val="center"/>
              <w:rPr>
                <w:sz w:val="20"/>
                <w:szCs w:val="20"/>
                <w:lang w:val="en-NZ"/>
              </w:rPr>
            </w:pPr>
            <w:r w:rsidRPr="006F442D">
              <w:rPr>
                <w:sz w:val="20"/>
                <w:szCs w:val="20"/>
              </w:rPr>
              <w:t>25</w:t>
            </w:r>
            <w:r>
              <w:rPr>
                <w:sz w:val="20"/>
                <w:szCs w:val="20"/>
              </w:rPr>
              <w:t>%</w:t>
            </w:r>
          </w:p>
        </w:tc>
        <w:tc>
          <w:tcPr>
            <w:tcW w:w="1588" w:type="dxa"/>
            <w:shd w:val="clear" w:color="auto" w:fill="auto"/>
            <w:tcMar>
              <w:top w:w="28" w:type="dxa"/>
              <w:left w:w="108" w:type="dxa"/>
              <w:bottom w:w="28" w:type="dxa"/>
              <w:right w:w="108" w:type="dxa"/>
            </w:tcMar>
            <w:vAlign w:val="center"/>
            <w:hideMark/>
          </w:tcPr>
          <w:p w:rsidR="00F44D56" w:rsidRPr="006F442D" w:rsidRDefault="00F44D56" w:rsidP="00A60DC6">
            <w:pPr>
              <w:jc w:val="center"/>
              <w:rPr>
                <w:sz w:val="20"/>
                <w:szCs w:val="20"/>
                <w:lang w:val="en-NZ"/>
              </w:rPr>
            </w:pPr>
            <w:r w:rsidRPr="006F442D">
              <w:rPr>
                <w:sz w:val="20"/>
                <w:szCs w:val="20"/>
              </w:rPr>
              <w:t>24</w:t>
            </w:r>
            <w:r>
              <w:rPr>
                <w:sz w:val="20"/>
                <w:szCs w:val="20"/>
              </w:rPr>
              <w:t>%</w:t>
            </w:r>
          </w:p>
        </w:tc>
      </w:tr>
      <w:tr w:rsidR="00F44D56" w:rsidRPr="006F442D" w:rsidTr="00A60DC6">
        <w:trPr>
          <w:trHeight w:val="280"/>
          <w:jc w:val="center"/>
        </w:trPr>
        <w:tc>
          <w:tcPr>
            <w:tcW w:w="2722" w:type="dxa"/>
            <w:shd w:val="clear" w:color="auto" w:fill="auto"/>
            <w:tcMar>
              <w:top w:w="28" w:type="dxa"/>
              <w:left w:w="108" w:type="dxa"/>
              <w:bottom w:w="28" w:type="dxa"/>
              <w:right w:w="108" w:type="dxa"/>
            </w:tcMar>
            <w:vAlign w:val="center"/>
            <w:hideMark/>
          </w:tcPr>
          <w:p w:rsidR="00F44D56" w:rsidRPr="006F442D" w:rsidRDefault="00F44D56" w:rsidP="00A60DC6">
            <w:pPr>
              <w:jc w:val="center"/>
              <w:rPr>
                <w:sz w:val="20"/>
                <w:szCs w:val="20"/>
                <w:lang w:val="en-NZ"/>
              </w:rPr>
            </w:pPr>
            <w:r w:rsidRPr="006F442D">
              <w:rPr>
                <w:sz w:val="20"/>
                <w:szCs w:val="20"/>
              </w:rPr>
              <w:t>Main Urban Area</w:t>
            </w:r>
          </w:p>
        </w:tc>
        <w:tc>
          <w:tcPr>
            <w:tcW w:w="1588" w:type="dxa"/>
            <w:shd w:val="clear" w:color="auto" w:fill="auto"/>
            <w:tcMar>
              <w:top w:w="28" w:type="dxa"/>
              <w:left w:w="108" w:type="dxa"/>
              <w:bottom w:w="28" w:type="dxa"/>
              <w:right w:w="108" w:type="dxa"/>
            </w:tcMar>
            <w:vAlign w:val="center"/>
            <w:hideMark/>
          </w:tcPr>
          <w:p w:rsidR="00F44D56" w:rsidRPr="006F442D" w:rsidRDefault="00F44D56" w:rsidP="00DE223D">
            <w:pPr>
              <w:jc w:val="center"/>
              <w:rPr>
                <w:sz w:val="20"/>
                <w:szCs w:val="20"/>
                <w:lang w:val="en-NZ"/>
              </w:rPr>
            </w:pPr>
            <w:r w:rsidRPr="006F442D">
              <w:rPr>
                <w:sz w:val="20"/>
                <w:szCs w:val="20"/>
              </w:rPr>
              <w:t>67</w:t>
            </w:r>
            <w:r>
              <w:rPr>
                <w:sz w:val="20"/>
                <w:szCs w:val="20"/>
              </w:rPr>
              <w:t>%</w:t>
            </w:r>
          </w:p>
        </w:tc>
        <w:tc>
          <w:tcPr>
            <w:tcW w:w="1588" w:type="dxa"/>
            <w:shd w:val="clear" w:color="auto" w:fill="auto"/>
            <w:tcMar>
              <w:top w:w="28" w:type="dxa"/>
              <w:left w:w="108" w:type="dxa"/>
              <w:bottom w:w="28" w:type="dxa"/>
              <w:right w:w="108" w:type="dxa"/>
            </w:tcMar>
            <w:vAlign w:val="center"/>
            <w:hideMark/>
          </w:tcPr>
          <w:p w:rsidR="00F44D56" w:rsidRPr="006F442D" w:rsidRDefault="00F44D56" w:rsidP="00A60DC6">
            <w:pPr>
              <w:jc w:val="center"/>
              <w:rPr>
                <w:sz w:val="20"/>
                <w:szCs w:val="20"/>
                <w:lang w:val="en-NZ"/>
              </w:rPr>
            </w:pPr>
            <w:r w:rsidRPr="006F442D">
              <w:rPr>
                <w:sz w:val="20"/>
                <w:szCs w:val="20"/>
              </w:rPr>
              <w:t>75</w:t>
            </w:r>
            <w:r>
              <w:rPr>
                <w:sz w:val="20"/>
                <w:szCs w:val="20"/>
              </w:rPr>
              <w:t>%</w:t>
            </w:r>
          </w:p>
        </w:tc>
        <w:tc>
          <w:tcPr>
            <w:tcW w:w="1588" w:type="dxa"/>
            <w:shd w:val="clear" w:color="auto" w:fill="auto"/>
            <w:tcMar>
              <w:top w:w="28" w:type="dxa"/>
              <w:left w:w="108" w:type="dxa"/>
              <w:bottom w:w="28" w:type="dxa"/>
              <w:right w:w="108" w:type="dxa"/>
            </w:tcMar>
            <w:vAlign w:val="center"/>
            <w:hideMark/>
          </w:tcPr>
          <w:p w:rsidR="00F44D56" w:rsidRPr="006F442D" w:rsidRDefault="00DE223D" w:rsidP="00A60DC6">
            <w:pPr>
              <w:jc w:val="center"/>
              <w:rPr>
                <w:sz w:val="20"/>
                <w:szCs w:val="20"/>
                <w:lang w:val="en-NZ"/>
              </w:rPr>
            </w:pPr>
            <w:r>
              <w:rPr>
                <w:sz w:val="20"/>
                <w:szCs w:val="20"/>
              </w:rPr>
              <w:t>75</w:t>
            </w:r>
            <w:r w:rsidR="00F44D56">
              <w:rPr>
                <w:sz w:val="20"/>
                <w:szCs w:val="20"/>
              </w:rPr>
              <w:t>%</w:t>
            </w:r>
          </w:p>
        </w:tc>
      </w:tr>
      <w:tr w:rsidR="00F44D56" w:rsidRPr="006F442D" w:rsidTr="00A60DC6">
        <w:trPr>
          <w:trHeight w:val="280"/>
          <w:jc w:val="center"/>
        </w:trPr>
        <w:tc>
          <w:tcPr>
            <w:tcW w:w="2722" w:type="dxa"/>
            <w:shd w:val="clear" w:color="auto" w:fill="auto"/>
            <w:tcMar>
              <w:top w:w="28" w:type="dxa"/>
              <w:left w:w="108" w:type="dxa"/>
              <w:bottom w:w="28" w:type="dxa"/>
              <w:right w:w="108" w:type="dxa"/>
            </w:tcMar>
            <w:vAlign w:val="center"/>
            <w:hideMark/>
          </w:tcPr>
          <w:p w:rsidR="00F44D56" w:rsidRPr="006F442D" w:rsidRDefault="00F44D56" w:rsidP="00A60DC6">
            <w:pPr>
              <w:jc w:val="center"/>
              <w:rPr>
                <w:sz w:val="20"/>
                <w:szCs w:val="20"/>
                <w:lang w:val="en-NZ"/>
              </w:rPr>
            </w:pPr>
            <w:r w:rsidRPr="006F442D">
              <w:rPr>
                <w:sz w:val="20"/>
                <w:szCs w:val="20"/>
              </w:rPr>
              <w:t>Minor Urban area</w:t>
            </w:r>
          </w:p>
        </w:tc>
        <w:tc>
          <w:tcPr>
            <w:tcW w:w="1588" w:type="dxa"/>
            <w:shd w:val="clear" w:color="auto" w:fill="auto"/>
            <w:tcMar>
              <w:top w:w="28" w:type="dxa"/>
              <w:left w:w="108" w:type="dxa"/>
              <w:bottom w:w="28" w:type="dxa"/>
              <w:right w:w="108" w:type="dxa"/>
            </w:tcMar>
            <w:vAlign w:val="center"/>
            <w:hideMark/>
          </w:tcPr>
          <w:p w:rsidR="00F44D56" w:rsidRPr="006F442D" w:rsidRDefault="00F44D56" w:rsidP="00DE223D">
            <w:pPr>
              <w:jc w:val="center"/>
              <w:rPr>
                <w:sz w:val="20"/>
                <w:szCs w:val="20"/>
                <w:lang w:val="en-NZ"/>
              </w:rPr>
            </w:pPr>
            <w:r w:rsidRPr="006F442D">
              <w:rPr>
                <w:sz w:val="20"/>
                <w:szCs w:val="20"/>
              </w:rPr>
              <w:t>15</w:t>
            </w:r>
            <w:r>
              <w:rPr>
                <w:sz w:val="20"/>
                <w:szCs w:val="20"/>
              </w:rPr>
              <w:t>%</w:t>
            </w:r>
          </w:p>
        </w:tc>
        <w:tc>
          <w:tcPr>
            <w:tcW w:w="1588" w:type="dxa"/>
            <w:shd w:val="clear" w:color="auto" w:fill="auto"/>
            <w:tcMar>
              <w:top w:w="28" w:type="dxa"/>
              <w:left w:w="108" w:type="dxa"/>
              <w:bottom w:w="28" w:type="dxa"/>
              <w:right w:w="108" w:type="dxa"/>
            </w:tcMar>
            <w:vAlign w:val="center"/>
            <w:hideMark/>
          </w:tcPr>
          <w:p w:rsidR="00F44D56" w:rsidRPr="006F442D" w:rsidRDefault="00DE223D" w:rsidP="00A60DC6">
            <w:pPr>
              <w:jc w:val="center"/>
              <w:rPr>
                <w:sz w:val="20"/>
                <w:szCs w:val="20"/>
                <w:lang w:val="en-NZ"/>
              </w:rPr>
            </w:pPr>
            <w:r>
              <w:rPr>
                <w:sz w:val="20"/>
                <w:szCs w:val="20"/>
              </w:rPr>
              <w:t>12</w:t>
            </w:r>
            <w:r w:rsidR="00F44D56">
              <w:rPr>
                <w:sz w:val="20"/>
                <w:szCs w:val="20"/>
              </w:rPr>
              <w:t>%</w:t>
            </w:r>
          </w:p>
        </w:tc>
        <w:tc>
          <w:tcPr>
            <w:tcW w:w="1588" w:type="dxa"/>
            <w:shd w:val="clear" w:color="auto" w:fill="auto"/>
            <w:tcMar>
              <w:top w:w="28" w:type="dxa"/>
              <w:left w:w="108" w:type="dxa"/>
              <w:bottom w:w="28" w:type="dxa"/>
              <w:right w:w="108" w:type="dxa"/>
            </w:tcMar>
            <w:vAlign w:val="center"/>
            <w:hideMark/>
          </w:tcPr>
          <w:p w:rsidR="00F44D56" w:rsidRPr="006F442D" w:rsidRDefault="00DE223D" w:rsidP="00A60DC6">
            <w:pPr>
              <w:jc w:val="center"/>
              <w:rPr>
                <w:sz w:val="20"/>
                <w:szCs w:val="20"/>
                <w:lang w:val="en-NZ"/>
              </w:rPr>
            </w:pPr>
            <w:r>
              <w:rPr>
                <w:sz w:val="20"/>
                <w:szCs w:val="20"/>
              </w:rPr>
              <w:t>12</w:t>
            </w:r>
            <w:r w:rsidR="00F44D56">
              <w:rPr>
                <w:sz w:val="20"/>
                <w:szCs w:val="20"/>
              </w:rPr>
              <w:t>%</w:t>
            </w:r>
          </w:p>
        </w:tc>
      </w:tr>
      <w:tr w:rsidR="00F44D56" w:rsidRPr="006F442D" w:rsidTr="00A60DC6">
        <w:trPr>
          <w:trHeight w:val="292"/>
          <w:jc w:val="center"/>
        </w:trPr>
        <w:tc>
          <w:tcPr>
            <w:tcW w:w="2722" w:type="dxa"/>
            <w:shd w:val="clear" w:color="auto" w:fill="auto"/>
            <w:tcMar>
              <w:top w:w="28" w:type="dxa"/>
              <w:left w:w="108" w:type="dxa"/>
              <w:bottom w:w="28" w:type="dxa"/>
              <w:right w:w="108" w:type="dxa"/>
            </w:tcMar>
            <w:vAlign w:val="center"/>
            <w:hideMark/>
          </w:tcPr>
          <w:p w:rsidR="00F44D56" w:rsidRPr="006F442D" w:rsidRDefault="00F44D56" w:rsidP="00A60DC6">
            <w:pPr>
              <w:jc w:val="center"/>
              <w:rPr>
                <w:sz w:val="20"/>
                <w:szCs w:val="20"/>
                <w:lang w:val="en-NZ"/>
              </w:rPr>
            </w:pPr>
            <w:r w:rsidRPr="006F442D">
              <w:rPr>
                <w:sz w:val="20"/>
                <w:szCs w:val="20"/>
              </w:rPr>
              <w:t>Rural Area</w:t>
            </w:r>
          </w:p>
        </w:tc>
        <w:tc>
          <w:tcPr>
            <w:tcW w:w="1588" w:type="dxa"/>
            <w:shd w:val="clear" w:color="auto" w:fill="auto"/>
            <w:tcMar>
              <w:top w:w="28" w:type="dxa"/>
              <w:left w:w="108" w:type="dxa"/>
              <w:bottom w:w="28" w:type="dxa"/>
              <w:right w:w="108" w:type="dxa"/>
            </w:tcMar>
            <w:vAlign w:val="center"/>
            <w:hideMark/>
          </w:tcPr>
          <w:p w:rsidR="00F44D56" w:rsidRPr="006F442D" w:rsidRDefault="00DE223D" w:rsidP="00A60DC6">
            <w:pPr>
              <w:jc w:val="center"/>
              <w:rPr>
                <w:sz w:val="20"/>
                <w:szCs w:val="20"/>
                <w:lang w:val="en-NZ"/>
              </w:rPr>
            </w:pPr>
            <w:r>
              <w:rPr>
                <w:sz w:val="20"/>
                <w:szCs w:val="20"/>
                <w:lang w:val="en-NZ"/>
              </w:rPr>
              <w:t>3</w:t>
            </w:r>
            <w:r w:rsidR="00F44D56">
              <w:rPr>
                <w:sz w:val="20"/>
                <w:szCs w:val="20"/>
                <w:lang w:val="en-NZ"/>
              </w:rPr>
              <w:t>%</w:t>
            </w:r>
          </w:p>
        </w:tc>
        <w:tc>
          <w:tcPr>
            <w:tcW w:w="1588" w:type="dxa"/>
            <w:shd w:val="clear" w:color="auto" w:fill="auto"/>
            <w:tcMar>
              <w:top w:w="28" w:type="dxa"/>
              <w:left w:w="108" w:type="dxa"/>
              <w:bottom w:w="28" w:type="dxa"/>
              <w:right w:w="108" w:type="dxa"/>
            </w:tcMar>
            <w:vAlign w:val="center"/>
            <w:hideMark/>
          </w:tcPr>
          <w:p w:rsidR="00F44D56" w:rsidRPr="006F442D" w:rsidRDefault="00DE223D" w:rsidP="00A60DC6">
            <w:pPr>
              <w:jc w:val="center"/>
              <w:rPr>
                <w:sz w:val="20"/>
                <w:szCs w:val="20"/>
                <w:lang w:val="en-NZ"/>
              </w:rPr>
            </w:pPr>
            <w:r>
              <w:rPr>
                <w:sz w:val="20"/>
                <w:szCs w:val="20"/>
              </w:rPr>
              <w:t>3</w:t>
            </w:r>
            <w:r w:rsidR="00F44D56">
              <w:rPr>
                <w:sz w:val="20"/>
                <w:szCs w:val="20"/>
              </w:rPr>
              <w:t>%</w:t>
            </w:r>
          </w:p>
        </w:tc>
        <w:tc>
          <w:tcPr>
            <w:tcW w:w="1588" w:type="dxa"/>
            <w:shd w:val="clear" w:color="auto" w:fill="auto"/>
            <w:tcMar>
              <w:top w:w="28" w:type="dxa"/>
              <w:left w:w="108" w:type="dxa"/>
              <w:bottom w:w="28" w:type="dxa"/>
              <w:right w:w="108" w:type="dxa"/>
            </w:tcMar>
            <w:vAlign w:val="center"/>
            <w:hideMark/>
          </w:tcPr>
          <w:p w:rsidR="00F44D56" w:rsidRPr="006F442D" w:rsidRDefault="00F44D56" w:rsidP="00A60DC6">
            <w:pPr>
              <w:jc w:val="center"/>
              <w:rPr>
                <w:sz w:val="20"/>
                <w:szCs w:val="20"/>
                <w:lang w:val="en-NZ"/>
              </w:rPr>
            </w:pPr>
            <w:r w:rsidRPr="006F442D">
              <w:rPr>
                <w:sz w:val="20"/>
                <w:szCs w:val="20"/>
              </w:rPr>
              <w:t>2</w:t>
            </w:r>
            <w:r w:rsidR="00DE223D">
              <w:rPr>
                <w:sz w:val="20"/>
                <w:szCs w:val="20"/>
              </w:rPr>
              <w:t>3</w:t>
            </w:r>
            <w:r>
              <w:rPr>
                <w:sz w:val="20"/>
                <w:szCs w:val="20"/>
              </w:rPr>
              <w:t>%</w:t>
            </w:r>
          </w:p>
        </w:tc>
      </w:tr>
      <w:tr w:rsidR="00F44D56" w:rsidRPr="006F442D" w:rsidTr="00A60DC6">
        <w:trPr>
          <w:trHeight w:val="280"/>
          <w:jc w:val="center"/>
        </w:trPr>
        <w:tc>
          <w:tcPr>
            <w:tcW w:w="2722" w:type="dxa"/>
            <w:shd w:val="clear" w:color="auto" w:fill="auto"/>
            <w:tcMar>
              <w:top w:w="28" w:type="dxa"/>
              <w:left w:w="108" w:type="dxa"/>
              <w:bottom w:w="28" w:type="dxa"/>
              <w:right w:w="108" w:type="dxa"/>
            </w:tcMar>
            <w:vAlign w:val="center"/>
            <w:hideMark/>
          </w:tcPr>
          <w:p w:rsidR="00F44D56" w:rsidRPr="00BC594F" w:rsidRDefault="00F44D56" w:rsidP="00A60DC6">
            <w:pPr>
              <w:jc w:val="center"/>
              <w:rPr>
                <w:sz w:val="20"/>
                <w:szCs w:val="20"/>
                <w:lang w:val="en-NZ"/>
              </w:rPr>
            </w:pPr>
            <w:r w:rsidRPr="00BC594F">
              <w:rPr>
                <w:sz w:val="20"/>
                <w:szCs w:val="20"/>
              </w:rPr>
              <w:t>Any CYF placement prior to birth of child</w:t>
            </w:r>
          </w:p>
        </w:tc>
        <w:tc>
          <w:tcPr>
            <w:tcW w:w="1588" w:type="dxa"/>
            <w:shd w:val="clear" w:color="auto" w:fill="auto"/>
            <w:tcMar>
              <w:top w:w="28" w:type="dxa"/>
              <w:left w:w="108" w:type="dxa"/>
              <w:bottom w:w="28" w:type="dxa"/>
              <w:right w:w="108" w:type="dxa"/>
            </w:tcMar>
            <w:vAlign w:val="center"/>
            <w:hideMark/>
          </w:tcPr>
          <w:p w:rsidR="00F44D56" w:rsidRPr="00BC594F" w:rsidRDefault="00F44D56" w:rsidP="00DE223D">
            <w:pPr>
              <w:jc w:val="center"/>
              <w:rPr>
                <w:sz w:val="20"/>
                <w:szCs w:val="20"/>
                <w:lang w:val="en-NZ"/>
              </w:rPr>
            </w:pPr>
            <w:r w:rsidRPr="00BC594F">
              <w:rPr>
                <w:sz w:val="20"/>
                <w:szCs w:val="20"/>
              </w:rPr>
              <w:t>1</w:t>
            </w:r>
            <w:r w:rsidR="00DE223D">
              <w:rPr>
                <w:sz w:val="20"/>
                <w:szCs w:val="20"/>
              </w:rPr>
              <w:t>3</w:t>
            </w:r>
            <w:r>
              <w:rPr>
                <w:sz w:val="20"/>
                <w:szCs w:val="20"/>
              </w:rPr>
              <w:t>%</w:t>
            </w:r>
          </w:p>
        </w:tc>
        <w:tc>
          <w:tcPr>
            <w:tcW w:w="1588" w:type="dxa"/>
            <w:shd w:val="clear" w:color="auto" w:fill="auto"/>
            <w:tcMar>
              <w:top w:w="28" w:type="dxa"/>
              <w:left w:w="108" w:type="dxa"/>
              <w:bottom w:w="28" w:type="dxa"/>
              <w:right w:w="108" w:type="dxa"/>
            </w:tcMar>
            <w:vAlign w:val="center"/>
            <w:hideMark/>
          </w:tcPr>
          <w:p w:rsidR="00F44D56" w:rsidRPr="00BC594F" w:rsidRDefault="00F44D56" w:rsidP="00A60DC6">
            <w:pPr>
              <w:jc w:val="center"/>
              <w:rPr>
                <w:sz w:val="20"/>
                <w:szCs w:val="20"/>
                <w:lang w:val="en-NZ"/>
              </w:rPr>
            </w:pPr>
            <w:r w:rsidRPr="00BC594F">
              <w:rPr>
                <w:sz w:val="20"/>
                <w:szCs w:val="20"/>
              </w:rPr>
              <w:t>2</w:t>
            </w:r>
            <w:r>
              <w:rPr>
                <w:sz w:val="20"/>
                <w:szCs w:val="20"/>
              </w:rPr>
              <w:t>%</w:t>
            </w:r>
          </w:p>
        </w:tc>
        <w:tc>
          <w:tcPr>
            <w:tcW w:w="1588" w:type="dxa"/>
            <w:shd w:val="clear" w:color="auto" w:fill="auto"/>
            <w:tcMar>
              <w:top w:w="28" w:type="dxa"/>
              <w:left w:w="108" w:type="dxa"/>
              <w:bottom w:w="28" w:type="dxa"/>
              <w:right w:w="108" w:type="dxa"/>
            </w:tcMar>
            <w:vAlign w:val="center"/>
            <w:hideMark/>
          </w:tcPr>
          <w:p w:rsidR="00F44D56" w:rsidRPr="00BC594F" w:rsidRDefault="00DE223D" w:rsidP="00A60DC6">
            <w:pPr>
              <w:jc w:val="center"/>
              <w:rPr>
                <w:sz w:val="20"/>
                <w:szCs w:val="20"/>
                <w:lang w:val="en-NZ"/>
              </w:rPr>
            </w:pPr>
            <w:r>
              <w:rPr>
                <w:sz w:val="20"/>
                <w:szCs w:val="20"/>
              </w:rPr>
              <w:t>3</w:t>
            </w:r>
            <w:r w:rsidR="00F44D56">
              <w:rPr>
                <w:sz w:val="20"/>
                <w:szCs w:val="20"/>
              </w:rPr>
              <w:t>%</w:t>
            </w:r>
          </w:p>
        </w:tc>
      </w:tr>
      <w:tr w:rsidR="00F44D56" w:rsidRPr="006F442D" w:rsidTr="00A60DC6">
        <w:trPr>
          <w:trHeight w:val="280"/>
          <w:jc w:val="center"/>
        </w:trPr>
        <w:tc>
          <w:tcPr>
            <w:tcW w:w="2722" w:type="dxa"/>
            <w:shd w:val="clear" w:color="auto" w:fill="auto"/>
            <w:tcMar>
              <w:top w:w="28" w:type="dxa"/>
              <w:left w:w="108" w:type="dxa"/>
              <w:bottom w:w="28" w:type="dxa"/>
              <w:right w:w="108" w:type="dxa"/>
            </w:tcMar>
            <w:vAlign w:val="center"/>
            <w:hideMark/>
          </w:tcPr>
          <w:p w:rsidR="00F44D56" w:rsidRPr="00BC594F" w:rsidRDefault="00F44D56" w:rsidP="00A60DC6">
            <w:pPr>
              <w:jc w:val="center"/>
              <w:rPr>
                <w:sz w:val="20"/>
                <w:szCs w:val="20"/>
                <w:lang w:val="en-NZ"/>
              </w:rPr>
            </w:pPr>
            <w:r w:rsidRPr="00BC594F">
              <w:rPr>
                <w:sz w:val="20"/>
                <w:szCs w:val="20"/>
              </w:rPr>
              <w:t>Any CYF Youth Justice referral</w:t>
            </w:r>
            <w:r>
              <w:rPr>
                <w:sz w:val="20"/>
                <w:szCs w:val="20"/>
              </w:rPr>
              <w:t xml:space="preserve"> prior to </w:t>
            </w:r>
            <w:r w:rsidRPr="00BC594F">
              <w:rPr>
                <w:sz w:val="20"/>
                <w:szCs w:val="20"/>
              </w:rPr>
              <w:t>birth of child</w:t>
            </w:r>
          </w:p>
        </w:tc>
        <w:tc>
          <w:tcPr>
            <w:tcW w:w="1588" w:type="dxa"/>
            <w:shd w:val="clear" w:color="auto" w:fill="auto"/>
            <w:tcMar>
              <w:top w:w="28" w:type="dxa"/>
              <w:left w:w="108" w:type="dxa"/>
              <w:bottom w:w="28" w:type="dxa"/>
              <w:right w:w="108" w:type="dxa"/>
            </w:tcMar>
            <w:vAlign w:val="center"/>
            <w:hideMark/>
          </w:tcPr>
          <w:p w:rsidR="00F44D56" w:rsidRPr="00BC594F" w:rsidRDefault="00F44D56" w:rsidP="00DE223D">
            <w:pPr>
              <w:jc w:val="center"/>
              <w:rPr>
                <w:sz w:val="20"/>
                <w:szCs w:val="20"/>
                <w:lang w:val="en-NZ"/>
              </w:rPr>
            </w:pPr>
            <w:r w:rsidRPr="00BC594F">
              <w:rPr>
                <w:sz w:val="20"/>
                <w:szCs w:val="20"/>
              </w:rPr>
              <w:t>1</w:t>
            </w:r>
            <w:r w:rsidR="00DE223D">
              <w:rPr>
                <w:sz w:val="20"/>
                <w:szCs w:val="20"/>
              </w:rPr>
              <w:t>3</w:t>
            </w:r>
            <w:r>
              <w:rPr>
                <w:sz w:val="20"/>
                <w:szCs w:val="20"/>
              </w:rPr>
              <w:t>%</w:t>
            </w:r>
          </w:p>
        </w:tc>
        <w:tc>
          <w:tcPr>
            <w:tcW w:w="1588" w:type="dxa"/>
            <w:shd w:val="clear" w:color="auto" w:fill="auto"/>
            <w:tcMar>
              <w:top w:w="28" w:type="dxa"/>
              <w:left w:w="108" w:type="dxa"/>
              <w:bottom w:w="28" w:type="dxa"/>
              <w:right w:w="108" w:type="dxa"/>
            </w:tcMar>
            <w:vAlign w:val="center"/>
            <w:hideMark/>
          </w:tcPr>
          <w:p w:rsidR="00F44D56" w:rsidRPr="00BC594F" w:rsidRDefault="00DE223D" w:rsidP="00A60DC6">
            <w:pPr>
              <w:jc w:val="center"/>
              <w:rPr>
                <w:sz w:val="20"/>
                <w:szCs w:val="20"/>
                <w:lang w:val="en-NZ"/>
              </w:rPr>
            </w:pPr>
            <w:r>
              <w:rPr>
                <w:sz w:val="20"/>
                <w:szCs w:val="20"/>
              </w:rPr>
              <w:t>2</w:t>
            </w:r>
            <w:r w:rsidR="00F44D56">
              <w:rPr>
                <w:sz w:val="20"/>
                <w:szCs w:val="20"/>
              </w:rPr>
              <w:t>%</w:t>
            </w:r>
          </w:p>
        </w:tc>
        <w:tc>
          <w:tcPr>
            <w:tcW w:w="1588" w:type="dxa"/>
            <w:shd w:val="clear" w:color="auto" w:fill="auto"/>
            <w:tcMar>
              <w:top w:w="28" w:type="dxa"/>
              <w:left w:w="108" w:type="dxa"/>
              <w:bottom w:w="28" w:type="dxa"/>
              <w:right w:w="108" w:type="dxa"/>
            </w:tcMar>
            <w:vAlign w:val="center"/>
            <w:hideMark/>
          </w:tcPr>
          <w:p w:rsidR="00F44D56" w:rsidRPr="00BC594F" w:rsidRDefault="00F44D56" w:rsidP="00A60DC6">
            <w:pPr>
              <w:jc w:val="center"/>
              <w:rPr>
                <w:sz w:val="20"/>
                <w:szCs w:val="20"/>
                <w:lang w:val="en-NZ"/>
              </w:rPr>
            </w:pPr>
            <w:r w:rsidRPr="00BC594F">
              <w:rPr>
                <w:sz w:val="20"/>
                <w:szCs w:val="20"/>
              </w:rPr>
              <w:t>2</w:t>
            </w:r>
            <w:r>
              <w:rPr>
                <w:sz w:val="20"/>
                <w:szCs w:val="20"/>
              </w:rPr>
              <w:t>%</w:t>
            </w:r>
          </w:p>
        </w:tc>
      </w:tr>
      <w:tr w:rsidR="00F44D56" w:rsidRPr="006F442D" w:rsidTr="00A60DC6">
        <w:trPr>
          <w:trHeight w:val="280"/>
          <w:jc w:val="center"/>
        </w:trPr>
        <w:tc>
          <w:tcPr>
            <w:tcW w:w="2722" w:type="dxa"/>
            <w:shd w:val="clear" w:color="auto" w:fill="auto"/>
            <w:tcMar>
              <w:top w:w="28" w:type="dxa"/>
              <w:left w:w="108" w:type="dxa"/>
              <w:bottom w:w="28" w:type="dxa"/>
              <w:right w:w="108" w:type="dxa"/>
            </w:tcMar>
            <w:vAlign w:val="center"/>
            <w:hideMark/>
          </w:tcPr>
          <w:p w:rsidR="00F44D56" w:rsidRPr="006F442D" w:rsidRDefault="00F44D56" w:rsidP="00A60DC6">
            <w:pPr>
              <w:jc w:val="center"/>
              <w:rPr>
                <w:sz w:val="20"/>
                <w:szCs w:val="20"/>
                <w:lang w:val="en-NZ"/>
              </w:rPr>
            </w:pPr>
            <w:r>
              <w:rPr>
                <w:sz w:val="20"/>
                <w:szCs w:val="20"/>
              </w:rPr>
              <w:t>First observed school was Decile 1-3</w:t>
            </w:r>
          </w:p>
        </w:tc>
        <w:tc>
          <w:tcPr>
            <w:tcW w:w="1588" w:type="dxa"/>
            <w:shd w:val="clear" w:color="auto" w:fill="auto"/>
            <w:tcMar>
              <w:top w:w="28" w:type="dxa"/>
              <w:left w:w="108" w:type="dxa"/>
              <w:bottom w:w="28" w:type="dxa"/>
              <w:right w:w="108" w:type="dxa"/>
            </w:tcMar>
            <w:vAlign w:val="center"/>
            <w:hideMark/>
          </w:tcPr>
          <w:p w:rsidR="00F44D56" w:rsidRPr="006F442D" w:rsidRDefault="00F44D56" w:rsidP="00DE223D">
            <w:pPr>
              <w:jc w:val="center"/>
              <w:rPr>
                <w:sz w:val="20"/>
                <w:szCs w:val="20"/>
                <w:lang w:val="en-NZ"/>
              </w:rPr>
            </w:pPr>
            <w:r w:rsidRPr="006F442D">
              <w:rPr>
                <w:sz w:val="20"/>
                <w:szCs w:val="20"/>
              </w:rPr>
              <w:t>3</w:t>
            </w:r>
            <w:r w:rsidR="00DE223D">
              <w:rPr>
                <w:sz w:val="20"/>
                <w:szCs w:val="20"/>
              </w:rPr>
              <w:t>6</w:t>
            </w:r>
            <w:r>
              <w:rPr>
                <w:sz w:val="20"/>
                <w:szCs w:val="20"/>
              </w:rPr>
              <w:t>%</w:t>
            </w:r>
          </w:p>
        </w:tc>
        <w:tc>
          <w:tcPr>
            <w:tcW w:w="1588" w:type="dxa"/>
            <w:shd w:val="clear" w:color="auto" w:fill="auto"/>
            <w:tcMar>
              <w:top w:w="28" w:type="dxa"/>
              <w:left w:w="108" w:type="dxa"/>
              <w:bottom w:w="28" w:type="dxa"/>
              <w:right w:w="108" w:type="dxa"/>
            </w:tcMar>
            <w:vAlign w:val="center"/>
            <w:hideMark/>
          </w:tcPr>
          <w:p w:rsidR="00F44D56" w:rsidRPr="006F442D" w:rsidRDefault="00DE223D" w:rsidP="00A60DC6">
            <w:pPr>
              <w:jc w:val="center"/>
              <w:rPr>
                <w:sz w:val="20"/>
                <w:szCs w:val="20"/>
                <w:lang w:val="en-NZ"/>
              </w:rPr>
            </w:pPr>
            <w:r>
              <w:rPr>
                <w:sz w:val="20"/>
                <w:szCs w:val="20"/>
              </w:rPr>
              <w:t>19</w:t>
            </w:r>
            <w:r w:rsidR="00F44D56">
              <w:rPr>
                <w:sz w:val="20"/>
                <w:szCs w:val="20"/>
              </w:rPr>
              <w:t>%</w:t>
            </w:r>
          </w:p>
        </w:tc>
        <w:tc>
          <w:tcPr>
            <w:tcW w:w="1588" w:type="dxa"/>
            <w:shd w:val="clear" w:color="auto" w:fill="auto"/>
            <w:tcMar>
              <w:top w:w="28" w:type="dxa"/>
              <w:left w:w="108" w:type="dxa"/>
              <w:bottom w:w="28" w:type="dxa"/>
              <w:right w:w="108" w:type="dxa"/>
            </w:tcMar>
            <w:vAlign w:val="center"/>
            <w:hideMark/>
          </w:tcPr>
          <w:p w:rsidR="00F44D56" w:rsidRPr="006F442D" w:rsidRDefault="00DE223D" w:rsidP="00A60DC6">
            <w:pPr>
              <w:jc w:val="center"/>
              <w:rPr>
                <w:sz w:val="20"/>
                <w:szCs w:val="20"/>
                <w:lang w:val="en-NZ"/>
              </w:rPr>
            </w:pPr>
            <w:r>
              <w:rPr>
                <w:sz w:val="20"/>
                <w:szCs w:val="20"/>
              </w:rPr>
              <w:t>20</w:t>
            </w:r>
            <w:r w:rsidR="00F44D56">
              <w:rPr>
                <w:sz w:val="20"/>
                <w:szCs w:val="20"/>
              </w:rPr>
              <w:t>%</w:t>
            </w:r>
          </w:p>
        </w:tc>
      </w:tr>
      <w:tr w:rsidR="00F44D56" w:rsidRPr="006F442D" w:rsidTr="00A60DC6">
        <w:trPr>
          <w:trHeight w:val="454"/>
          <w:jc w:val="center"/>
        </w:trPr>
        <w:tc>
          <w:tcPr>
            <w:tcW w:w="2722" w:type="dxa"/>
            <w:shd w:val="clear" w:color="auto" w:fill="auto"/>
            <w:tcMar>
              <w:top w:w="15" w:type="dxa"/>
              <w:left w:w="108" w:type="dxa"/>
              <w:bottom w:w="0" w:type="dxa"/>
              <w:right w:w="108" w:type="dxa"/>
            </w:tcMar>
            <w:vAlign w:val="center"/>
            <w:hideMark/>
          </w:tcPr>
          <w:p w:rsidR="00F44D56" w:rsidRPr="00EE2772" w:rsidRDefault="00F44D56" w:rsidP="00A60DC6">
            <w:pPr>
              <w:jc w:val="center"/>
              <w:rPr>
                <w:i/>
                <w:sz w:val="20"/>
                <w:szCs w:val="20"/>
                <w:lang w:val="en-NZ"/>
              </w:rPr>
            </w:pPr>
            <w:r w:rsidRPr="00EE2772">
              <w:rPr>
                <w:i/>
                <w:sz w:val="20"/>
                <w:szCs w:val="20"/>
                <w:lang w:val="en-NZ"/>
              </w:rPr>
              <w:t>n</w:t>
            </w:r>
          </w:p>
        </w:tc>
        <w:tc>
          <w:tcPr>
            <w:tcW w:w="1588" w:type="dxa"/>
            <w:shd w:val="clear" w:color="auto" w:fill="auto"/>
            <w:tcMar>
              <w:top w:w="15" w:type="dxa"/>
              <w:left w:w="108" w:type="dxa"/>
              <w:bottom w:w="0" w:type="dxa"/>
              <w:right w:w="108" w:type="dxa"/>
            </w:tcMar>
            <w:vAlign w:val="center"/>
            <w:hideMark/>
          </w:tcPr>
          <w:p w:rsidR="00F44D56" w:rsidRPr="006F442D" w:rsidRDefault="00F44D56" w:rsidP="00A60DC6">
            <w:pPr>
              <w:jc w:val="center"/>
              <w:rPr>
                <w:sz w:val="20"/>
                <w:szCs w:val="20"/>
                <w:lang w:val="en-NZ"/>
              </w:rPr>
            </w:pPr>
            <w:r w:rsidRPr="006F442D">
              <w:rPr>
                <w:sz w:val="20"/>
                <w:szCs w:val="20"/>
              </w:rPr>
              <w:t>6</w:t>
            </w:r>
            <w:r>
              <w:rPr>
                <w:sz w:val="20"/>
                <w:szCs w:val="20"/>
              </w:rPr>
              <w:t>,</w:t>
            </w:r>
            <w:r w:rsidRPr="006F442D">
              <w:rPr>
                <w:sz w:val="20"/>
                <w:szCs w:val="20"/>
              </w:rPr>
              <w:t>711</w:t>
            </w:r>
          </w:p>
        </w:tc>
        <w:tc>
          <w:tcPr>
            <w:tcW w:w="1588" w:type="dxa"/>
            <w:shd w:val="clear" w:color="auto" w:fill="auto"/>
            <w:tcMar>
              <w:top w:w="15" w:type="dxa"/>
              <w:left w:w="108" w:type="dxa"/>
              <w:bottom w:w="0" w:type="dxa"/>
              <w:right w:w="108" w:type="dxa"/>
            </w:tcMar>
            <w:vAlign w:val="center"/>
            <w:hideMark/>
          </w:tcPr>
          <w:p w:rsidR="00F44D56" w:rsidRPr="006F442D" w:rsidRDefault="00F44D56" w:rsidP="00A60DC6">
            <w:pPr>
              <w:jc w:val="center"/>
              <w:rPr>
                <w:sz w:val="20"/>
                <w:szCs w:val="20"/>
                <w:lang w:val="en-NZ"/>
              </w:rPr>
            </w:pPr>
            <w:r>
              <w:rPr>
                <w:sz w:val="20"/>
                <w:szCs w:val="20"/>
                <w:lang w:val="en-NZ"/>
              </w:rPr>
              <w:t>119,052</w:t>
            </w:r>
          </w:p>
        </w:tc>
        <w:tc>
          <w:tcPr>
            <w:tcW w:w="1588" w:type="dxa"/>
            <w:shd w:val="clear" w:color="auto" w:fill="auto"/>
            <w:tcMar>
              <w:top w:w="15" w:type="dxa"/>
              <w:left w:w="108" w:type="dxa"/>
              <w:bottom w:w="0" w:type="dxa"/>
              <w:right w:w="108" w:type="dxa"/>
            </w:tcMar>
            <w:vAlign w:val="center"/>
            <w:hideMark/>
          </w:tcPr>
          <w:p w:rsidR="00F44D56" w:rsidRPr="006F442D" w:rsidRDefault="00F44D56" w:rsidP="00A60DC6">
            <w:pPr>
              <w:jc w:val="center"/>
              <w:rPr>
                <w:sz w:val="20"/>
                <w:szCs w:val="20"/>
                <w:lang w:val="en-NZ"/>
              </w:rPr>
            </w:pPr>
            <w:r>
              <w:rPr>
                <w:sz w:val="20"/>
                <w:szCs w:val="20"/>
                <w:lang w:val="en-NZ"/>
              </w:rPr>
              <w:t>125,763</w:t>
            </w:r>
          </w:p>
        </w:tc>
      </w:tr>
    </w:tbl>
    <w:p w:rsidR="00F44D56" w:rsidRDefault="00F44D56" w:rsidP="00F44D56">
      <w:pPr>
        <w:spacing w:before="120"/>
        <w:jc w:val="both"/>
        <w:rPr>
          <w:sz w:val="20"/>
          <w:szCs w:val="20"/>
        </w:rPr>
      </w:pPr>
      <w:r>
        <w:rPr>
          <w:i/>
          <w:sz w:val="20"/>
          <w:szCs w:val="20"/>
        </w:rPr>
        <w:t>N</w:t>
      </w:r>
      <w:r w:rsidRPr="00891CC2">
        <w:rPr>
          <w:i/>
          <w:sz w:val="20"/>
          <w:szCs w:val="20"/>
        </w:rPr>
        <w:t>otes:</w:t>
      </w:r>
      <w:r w:rsidRPr="005E520A">
        <w:rPr>
          <w:sz w:val="20"/>
          <w:szCs w:val="20"/>
        </w:rPr>
        <w:t xml:space="preserve"> </w:t>
      </w:r>
      <w:r>
        <w:rPr>
          <w:sz w:val="20"/>
          <w:szCs w:val="20"/>
        </w:rPr>
        <w:t xml:space="preserve">Study sample of </w:t>
      </w:r>
      <w:r w:rsidRPr="00971CC5">
        <w:rPr>
          <w:sz w:val="20"/>
          <w:szCs w:val="20"/>
        </w:rPr>
        <w:t>young wo</w:t>
      </w:r>
      <w:r>
        <w:rPr>
          <w:sz w:val="20"/>
          <w:szCs w:val="20"/>
        </w:rPr>
        <w:t>me</w:t>
      </w:r>
      <w:r w:rsidRPr="00971CC5">
        <w:rPr>
          <w:sz w:val="20"/>
          <w:szCs w:val="20"/>
        </w:rPr>
        <w:t xml:space="preserve">n </w:t>
      </w:r>
      <w:r>
        <w:rPr>
          <w:sz w:val="20"/>
          <w:szCs w:val="20"/>
        </w:rPr>
        <w:t xml:space="preserve">in cohorts born </w:t>
      </w:r>
      <w:r w:rsidRPr="00971CC5">
        <w:rPr>
          <w:sz w:val="20"/>
          <w:szCs w:val="20"/>
        </w:rPr>
        <w:t>between 1 Jan 1991 and 31 December 1994 and enrolled in a New Zealand school for at least one day between the start of ENROL in 2006 and 1 January 2008</w:t>
      </w:r>
      <w:r>
        <w:rPr>
          <w:sz w:val="20"/>
          <w:szCs w:val="20"/>
        </w:rPr>
        <w:t>.  Teen mothers are those who recorded a live birth between 13</w:t>
      </w:r>
      <w:r w:rsidRPr="00043454">
        <w:rPr>
          <w:sz w:val="20"/>
          <w:szCs w:val="20"/>
          <w:vertAlign w:val="superscript"/>
        </w:rPr>
        <w:t>th</w:t>
      </w:r>
      <w:r>
        <w:rPr>
          <w:sz w:val="20"/>
          <w:szCs w:val="20"/>
        </w:rPr>
        <w:t xml:space="preserve"> and 19</w:t>
      </w:r>
      <w:r w:rsidRPr="00043454">
        <w:rPr>
          <w:sz w:val="20"/>
          <w:szCs w:val="20"/>
          <w:vertAlign w:val="superscript"/>
        </w:rPr>
        <w:t>th</w:t>
      </w:r>
      <w:r>
        <w:rPr>
          <w:sz w:val="20"/>
          <w:szCs w:val="20"/>
        </w:rPr>
        <w:t xml:space="preserve"> birthday in the MoH maternity data. Ethnic identity variables refer to non-prioritised ‘total response’ measures derived from MoE Enrol data (Ethnic1, Ethnic2 and Ethnic3 variables). </w:t>
      </w:r>
    </w:p>
    <w:p w:rsidR="00673FB8" w:rsidRDefault="00563256" w:rsidP="009368C4">
      <w:pPr>
        <w:pStyle w:val="Body"/>
        <w:jc w:val="both"/>
      </w:pPr>
      <w:r w:rsidRPr="00B12C8E">
        <w:t xml:space="preserve">Outcomes that we are concerned with in this study </w:t>
      </w:r>
      <w:r w:rsidR="0091776F">
        <w:t xml:space="preserve">are </w:t>
      </w:r>
      <w:r w:rsidR="00433745">
        <w:t>enrolment in a school by the young woman after giving birth</w:t>
      </w:r>
      <w:r w:rsidR="00433745" w:rsidRPr="00B12C8E">
        <w:t xml:space="preserve"> </w:t>
      </w:r>
      <w:r w:rsidR="00433745">
        <w:t>and</w:t>
      </w:r>
      <w:r w:rsidRPr="00B12C8E">
        <w:t xml:space="preserve"> </w:t>
      </w:r>
      <w:r w:rsidR="0091776F">
        <w:t xml:space="preserve">eventual </w:t>
      </w:r>
      <w:r w:rsidRPr="00B12C8E">
        <w:t>attainment of NCEA Level 1 and 2</w:t>
      </w:r>
      <w:r w:rsidR="0091776F">
        <w:t xml:space="preserve"> qualifications</w:t>
      </w:r>
      <w:r w:rsidRPr="00B12C8E">
        <w:t>.</w:t>
      </w:r>
      <w:r w:rsidR="00673FB8">
        <w:t xml:space="preserve"> </w:t>
      </w:r>
    </w:p>
    <w:p w:rsidR="00673FB8" w:rsidRDefault="00673FB8" w:rsidP="009368C4">
      <w:pPr>
        <w:pStyle w:val="Body"/>
        <w:jc w:val="both"/>
      </w:pPr>
      <w:r>
        <w:t xml:space="preserve">ENROL data allow us to examine post-birth enrolment status of young mothers in the study. </w:t>
      </w:r>
      <w:r w:rsidR="00433745">
        <w:t>While schooling is compulsory up until the 16</w:t>
      </w:r>
      <w:r w:rsidR="00433745" w:rsidRPr="00ED379E">
        <w:rPr>
          <w:vertAlign w:val="superscript"/>
        </w:rPr>
        <w:t>th</w:t>
      </w:r>
      <w:r w:rsidR="00433745">
        <w:t xml:space="preserve"> birthday, 83 percent</w:t>
      </w:r>
      <w:r w:rsidR="00433745" w:rsidRPr="00DF4C43">
        <w:t xml:space="preserve"> of students </w:t>
      </w:r>
      <w:r>
        <w:t xml:space="preserve">overall </w:t>
      </w:r>
      <w:r w:rsidR="00433745" w:rsidRPr="00DF4C43">
        <w:t>remain at school to their 17</w:t>
      </w:r>
      <w:r w:rsidR="00433745" w:rsidRPr="00DF4C43">
        <w:rPr>
          <w:vertAlign w:val="superscript"/>
        </w:rPr>
        <w:t>th</w:t>
      </w:r>
      <w:r w:rsidR="00433745" w:rsidRPr="00DF4C43">
        <w:t xml:space="preserve"> birthday or beyond</w:t>
      </w:r>
      <w:r w:rsidR="00433745">
        <w:t>.</w:t>
      </w:r>
      <w:r w:rsidR="00433745" w:rsidRPr="00DF4C43">
        <w:rPr>
          <w:rStyle w:val="FootnoteReference"/>
        </w:rPr>
        <w:footnoteReference w:id="10"/>
      </w:r>
      <w:r w:rsidR="00433745">
        <w:t xml:space="preserve"> </w:t>
      </w:r>
    </w:p>
    <w:p w:rsidR="00F8715A" w:rsidRDefault="0091776F" w:rsidP="009368C4">
      <w:pPr>
        <w:pStyle w:val="Body"/>
        <w:jc w:val="both"/>
      </w:pPr>
      <w:r>
        <w:t xml:space="preserve">The </w:t>
      </w:r>
      <w:r w:rsidR="00563256" w:rsidRPr="00B12C8E">
        <w:t xml:space="preserve">NCEA </w:t>
      </w:r>
      <w:r>
        <w:t xml:space="preserve">system </w:t>
      </w:r>
      <w:r w:rsidR="00563256" w:rsidRPr="00B12C8E">
        <w:t xml:space="preserve">is New Zealand’s main national qualification </w:t>
      </w:r>
      <w:r>
        <w:t xml:space="preserve">standard </w:t>
      </w:r>
      <w:r w:rsidR="00563256" w:rsidRPr="00B12C8E">
        <w:t xml:space="preserve">for secondary students. Students </w:t>
      </w:r>
      <w:r w:rsidR="00563256">
        <w:t xml:space="preserve">generally </w:t>
      </w:r>
      <w:r w:rsidR="00563256" w:rsidRPr="00B12C8E">
        <w:t xml:space="preserve">begin NCEA Level 1 in year 11 (typically </w:t>
      </w:r>
      <w:r w:rsidR="009368C4">
        <w:t>commenc</w:t>
      </w:r>
      <w:r>
        <w:t>ing</w:t>
      </w:r>
      <w:r w:rsidR="009368C4">
        <w:t xml:space="preserve"> </w:t>
      </w:r>
      <w:r w:rsidR="00563256" w:rsidRPr="00B12C8E">
        <w:t>at age</w:t>
      </w:r>
      <w:r>
        <w:t xml:space="preserve"> </w:t>
      </w:r>
      <w:r w:rsidR="00563256" w:rsidRPr="00B12C8E">
        <w:t>15) and continue on</w:t>
      </w:r>
      <w:r w:rsidR="00563256">
        <w:t xml:space="preserve"> </w:t>
      </w:r>
      <w:r w:rsidR="00563256" w:rsidRPr="00B12C8E">
        <w:t>to NCEA Level 2 in year 12</w:t>
      </w:r>
      <w:r w:rsidR="00563256">
        <w:t xml:space="preserve">. </w:t>
      </w:r>
      <w:r w:rsidR="005B61A6">
        <w:t>As noted, w</w:t>
      </w:r>
      <w:r w:rsidR="00563256" w:rsidRPr="00B12C8E">
        <w:t xml:space="preserve">e are able to access data that provide detailed information about the </w:t>
      </w:r>
      <w:r w:rsidR="00AD0116">
        <w:t xml:space="preserve">standards and associated </w:t>
      </w:r>
      <w:r w:rsidR="00563256" w:rsidRPr="00B12C8E">
        <w:t>credits achieved by each student. Using information about how credits translate into qualifications (i.e.</w:t>
      </w:r>
      <w:r>
        <w:t xml:space="preserve">, the </w:t>
      </w:r>
      <w:r w:rsidR="00CA7D8E">
        <w:t xml:space="preserve">requirements for the </w:t>
      </w:r>
      <w:r>
        <w:t>completion of</w:t>
      </w:r>
      <w:r w:rsidR="00563256" w:rsidRPr="00B12C8E">
        <w:t xml:space="preserve"> NCEA Level 1 and 2</w:t>
      </w:r>
      <w:r w:rsidR="00CA7D8E">
        <w:t xml:space="preserve"> qualifications</w:t>
      </w:r>
      <w:r w:rsidR="00563256" w:rsidRPr="00B12C8E">
        <w:t>) we estimate whether the student received the qualification,</w:t>
      </w:r>
      <w:r w:rsidR="00DF661F">
        <w:rPr>
          <w:rStyle w:val="FootnoteReference"/>
        </w:rPr>
        <w:footnoteReference w:id="11"/>
      </w:r>
      <w:r w:rsidR="00563256" w:rsidRPr="00B12C8E">
        <w:t xml:space="preserve"> and also the calendar year in which it was completed</w:t>
      </w:r>
      <w:r w:rsidR="00563256">
        <w:t xml:space="preserve">. </w:t>
      </w:r>
      <w:r w:rsidR="00563256" w:rsidRPr="00B12C8E">
        <w:t xml:space="preserve">This allows us to estimate whether the </w:t>
      </w:r>
      <w:r w:rsidR="00563256">
        <w:t>young mothers in our study</w:t>
      </w:r>
      <w:r w:rsidR="00563256" w:rsidRPr="00B12C8E">
        <w:t xml:space="preserve"> obtained a qualification after giving birth.</w:t>
      </w:r>
      <w:r w:rsidR="00F8715A">
        <w:t xml:space="preserve"> </w:t>
      </w:r>
    </w:p>
    <w:p w:rsidR="00F44D56" w:rsidRDefault="00F8715A" w:rsidP="00F44D56">
      <w:pPr>
        <w:pStyle w:val="Body"/>
        <w:jc w:val="both"/>
      </w:pPr>
      <w:r>
        <w:t>G</w:t>
      </w:r>
      <w:r w:rsidR="009368C4" w:rsidRPr="00AF51FA">
        <w:t xml:space="preserve">iven the </w:t>
      </w:r>
      <w:r w:rsidR="005B61A6">
        <w:t xml:space="preserve">different periods covered by different data sets in </w:t>
      </w:r>
      <w:r w:rsidR="009368C4" w:rsidRPr="00AF51FA">
        <w:t xml:space="preserve">the data linkage, not all of our study sample </w:t>
      </w:r>
      <w:r w:rsidR="0091776F" w:rsidRPr="00AF51FA">
        <w:t>participants are</w:t>
      </w:r>
      <w:r w:rsidR="009368C4" w:rsidRPr="00AF51FA">
        <w:t xml:space="preserve"> seen for the whole period of </w:t>
      </w:r>
      <w:r w:rsidR="0091776F" w:rsidRPr="00AF51FA">
        <w:t xml:space="preserve">the </w:t>
      </w:r>
      <w:r w:rsidR="009368C4" w:rsidRPr="00AF51FA">
        <w:t xml:space="preserve">study. </w:t>
      </w:r>
      <w:r w:rsidR="009368C4">
        <w:fldChar w:fldCharType="begin"/>
      </w:r>
      <w:r w:rsidR="009368C4" w:rsidRPr="00AF51FA">
        <w:instrText xml:space="preserve"> REF _Ref453072382 \h </w:instrText>
      </w:r>
      <w:r w:rsidR="00AF51FA" w:rsidRPr="00AF51FA">
        <w:instrText xml:space="preserve"> \* MERGEFORMAT </w:instrText>
      </w:r>
      <w:r w:rsidR="009368C4">
        <w:fldChar w:fldCharType="separate"/>
      </w:r>
      <w:r w:rsidR="00C508A3">
        <w:t xml:space="preserve">Table </w:t>
      </w:r>
      <w:r w:rsidR="00C508A3">
        <w:rPr>
          <w:noProof/>
        </w:rPr>
        <w:t>2</w:t>
      </w:r>
      <w:r w:rsidR="009368C4">
        <w:fldChar w:fldCharType="end"/>
      </w:r>
      <w:r w:rsidR="009368C4">
        <w:t xml:space="preserve"> provides a </w:t>
      </w:r>
      <w:r w:rsidR="009368C4" w:rsidRPr="009D0EAE">
        <w:t xml:space="preserve">breakdown of the degree of censoring that applies to each birth cohort in the study. </w:t>
      </w:r>
      <w:bookmarkStart w:id="13" w:name="_Ref453072382"/>
    </w:p>
    <w:p w:rsidR="00F44D56" w:rsidRPr="00AF07FD" w:rsidRDefault="0075464E" w:rsidP="00F44D56">
      <w:pPr>
        <w:pStyle w:val="Caption"/>
        <w:spacing w:before="0" w:after="120"/>
        <w:jc w:val="center"/>
        <w:rPr>
          <w:sz w:val="20"/>
          <w:szCs w:val="20"/>
        </w:rPr>
      </w:pPr>
      <w:bookmarkStart w:id="14" w:name="_Toc462736174"/>
      <w:bookmarkStart w:id="15" w:name="_Toc475430715"/>
      <w:bookmarkEnd w:id="13"/>
      <w:r>
        <w:t xml:space="preserve">Table </w:t>
      </w:r>
      <w:r w:rsidR="00E86701">
        <w:fldChar w:fldCharType="begin"/>
      </w:r>
      <w:r w:rsidR="00E86701">
        <w:instrText xml:space="preserve"> SEQ Table \* ARABIC  \* MERGEFORMAT </w:instrText>
      </w:r>
      <w:r w:rsidR="00E86701">
        <w:fldChar w:fldCharType="separate"/>
      </w:r>
      <w:r>
        <w:rPr>
          <w:noProof/>
        </w:rPr>
        <w:t>3</w:t>
      </w:r>
      <w:r w:rsidR="00E86701">
        <w:rPr>
          <w:noProof/>
        </w:rPr>
        <w:fldChar w:fldCharType="end"/>
      </w:r>
      <w:r w:rsidR="00F44D56">
        <w:t>: Censoring of study sample</w:t>
      </w:r>
      <w:bookmarkEnd w:id="14"/>
      <w:bookmarkEnd w:id="15"/>
    </w:p>
    <w:tbl>
      <w:tblPr>
        <w:tblW w:w="8946" w:type="dxa"/>
        <w:tblBorders>
          <w:top w:val="single" w:sz="4" w:space="0" w:color="000000"/>
          <w:bottom w:val="single" w:sz="4" w:space="0" w:color="000000"/>
          <w:insideH w:val="single" w:sz="4" w:space="0" w:color="000000"/>
          <w:insideV w:val="single" w:sz="4" w:space="0" w:color="000000"/>
        </w:tblBorders>
        <w:tblCellMar>
          <w:left w:w="0" w:type="dxa"/>
          <w:right w:w="0" w:type="dxa"/>
        </w:tblCellMar>
        <w:tblLook w:val="0420" w:firstRow="1" w:lastRow="0" w:firstColumn="0" w:lastColumn="0" w:noHBand="0" w:noVBand="1"/>
      </w:tblPr>
      <w:tblGrid>
        <w:gridCol w:w="1716"/>
        <w:gridCol w:w="1843"/>
        <w:gridCol w:w="1701"/>
        <w:gridCol w:w="1843"/>
        <w:gridCol w:w="1843"/>
      </w:tblGrid>
      <w:tr w:rsidR="00F44D56" w:rsidRPr="0055632A" w:rsidTr="00F44D56">
        <w:trPr>
          <w:trHeight w:val="829"/>
        </w:trPr>
        <w:tc>
          <w:tcPr>
            <w:tcW w:w="1716" w:type="dxa"/>
            <w:shd w:val="clear" w:color="auto" w:fill="auto"/>
            <w:tcMar>
              <w:top w:w="15" w:type="dxa"/>
              <w:left w:w="15" w:type="dxa"/>
              <w:bottom w:w="0" w:type="dxa"/>
              <w:right w:w="15" w:type="dxa"/>
            </w:tcMar>
            <w:vAlign w:val="bottom"/>
            <w:hideMark/>
          </w:tcPr>
          <w:p w:rsidR="00F44D56" w:rsidRPr="0055632A" w:rsidRDefault="00F44D56" w:rsidP="00A60DC6">
            <w:pPr>
              <w:jc w:val="center"/>
              <w:rPr>
                <w:sz w:val="20"/>
                <w:szCs w:val="20"/>
                <w:lang w:val="en-NZ"/>
              </w:rPr>
            </w:pPr>
            <w:r w:rsidRPr="0055632A">
              <w:rPr>
                <w:sz w:val="20"/>
                <w:szCs w:val="20"/>
                <w:lang w:val="en-NZ"/>
              </w:rPr>
              <w:t>Year Born</w:t>
            </w:r>
          </w:p>
        </w:tc>
        <w:tc>
          <w:tcPr>
            <w:tcW w:w="1843" w:type="dxa"/>
            <w:shd w:val="clear" w:color="auto" w:fill="auto"/>
            <w:tcMar>
              <w:top w:w="15" w:type="dxa"/>
              <w:left w:w="15" w:type="dxa"/>
              <w:bottom w:w="0" w:type="dxa"/>
              <w:right w:w="15" w:type="dxa"/>
            </w:tcMar>
            <w:vAlign w:val="bottom"/>
            <w:hideMark/>
          </w:tcPr>
          <w:p w:rsidR="00F44D56" w:rsidRPr="0055632A" w:rsidRDefault="00F44D56" w:rsidP="00A60DC6">
            <w:pPr>
              <w:jc w:val="center"/>
              <w:rPr>
                <w:sz w:val="20"/>
                <w:szCs w:val="20"/>
                <w:lang w:val="en-NZ"/>
              </w:rPr>
            </w:pPr>
            <w:r w:rsidRPr="0055632A">
              <w:rPr>
                <w:sz w:val="20"/>
                <w:szCs w:val="20"/>
                <w:lang w:val="en-NZ"/>
              </w:rPr>
              <w:t>Age at start of 2006 when ENROL data starts</w:t>
            </w:r>
          </w:p>
        </w:tc>
        <w:tc>
          <w:tcPr>
            <w:tcW w:w="1701" w:type="dxa"/>
            <w:shd w:val="clear" w:color="auto" w:fill="auto"/>
            <w:tcMar>
              <w:top w:w="15" w:type="dxa"/>
              <w:left w:w="15" w:type="dxa"/>
              <w:bottom w:w="0" w:type="dxa"/>
              <w:right w:w="15" w:type="dxa"/>
            </w:tcMar>
            <w:vAlign w:val="bottom"/>
            <w:hideMark/>
          </w:tcPr>
          <w:p w:rsidR="00F44D56" w:rsidRPr="0055632A" w:rsidRDefault="00F44D56" w:rsidP="00A60DC6">
            <w:pPr>
              <w:jc w:val="center"/>
              <w:rPr>
                <w:sz w:val="20"/>
                <w:szCs w:val="20"/>
                <w:lang w:val="en-NZ"/>
              </w:rPr>
            </w:pPr>
            <w:r w:rsidRPr="0055632A">
              <w:rPr>
                <w:sz w:val="20"/>
                <w:szCs w:val="20"/>
                <w:lang w:val="en-NZ"/>
              </w:rPr>
              <w:t xml:space="preserve">Age at end of 2007 </w:t>
            </w:r>
            <w:r>
              <w:rPr>
                <w:sz w:val="20"/>
                <w:szCs w:val="20"/>
                <w:lang w:val="en-NZ"/>
              </w:rPr>
              <w:t>when</w:t>
            </w:r>
            <w:r w:rsidRPr="0055632A">
              <w:rPr>
                <w:sz w:val="20"/>
                <w:szCs w:val="20"/>
                <w:lang w:val="en-NZ"/>
              </w:rPr>
              <w:t xml:space="preserve"> ENROL data has full coverage</w:t>
            </w:r>
          </w:p>
        </w:tc>
        <w:tc>
          <w:tcPr>
            <w:tcW w:w="1843" w:type="dxa"/>
            <w:shd w:val="clear" w:color="auto" w:fill="auto"/>
            <w:tcMar>
              <w:top w:w="15" w:type="dxa"/>
              <w:left w:w="15" w:type="dxa"/>
              <w:bottom w:w="0" w:type="dxa"/>
              <w:right w:w="15" w:type="dxa"/>
            </w:tcMar>
            <w:vAlign w:val="bottom"/>
            <w:hideMark/>
          </w:tcPr>
          <w:p w:rsidR="00F44D56" w:rsidRDefault="00F44D56" w:rsidP="00A60DC6">
            <w:pPr>
              <w:jc w:val="center"/>
              <w:rPr>
                <w:sz w:val="20"/>
                <w:szCs w:val="20"/>
                <w:lang w:val="en-NZ"/>
              </w:rPr>
            </w:pPr>
            <w:r w:rsidRPr="0055632A">
              <w:rPr>
                <w:sz w:val="20"/>
                <w:szCs w:val="20"/>
                <w:lang w:val="en-NZ"/>
              </w:rPr>
              <w:t xml:space="preserve">Age last seen in </w:t>
            </w:r>
            <w:r w:rsidR="00335AF4">
              <w:rPr>
                <w:sz w:val="20"/>
                <w:szCs w:val="20"/>
                <w:lang w:val="en-NZ"/>
              </w:rPr>
              <w:t>m</w:t>
            </w:r>
            <w:r w:rsidRPr="0055632A">
              <w:rPr>
                <w:sz w:val="20"/>
                <w:szCs w:val="20"/>
                <w:lang w:val="en-NZ"/>
              </w:rPr>
              <w:t xml:space="preserve">aternity data </w:t>
            </w:r>
          </w:p>
          <w:p w:rsidR="00F44D56" w:rsidRPr="0055632A" w:rsidRDefault="00F44D56" w:rsidP="00A60DC6">
            <w:pPr>
              <w:jc w:val="center"/>
              <w:rPr>
                <w:sz w:val="20"/>
                <w:szCs w:val="20"/>
                <w:lang w:val="en-NZ"/>
              </w:rPr>
            </w:pPr>
            <w:r w:rsidRPr="0055632A">
              <w:rPr>
                <w:sz w:val="20"/>
                <w:szCs w:val="20"/>
                <w:lang w:val="en-NZ"/>
              </w:rPr>
              <w:t>(3 June 2012)</w:t>
            </w:r>
          </w:p>
        </w:tc>
        <w:tc>
          <w:tcPr>
            <w:tcW w:w="1843" w:type="dxa"/>
            <w:shd w:val="clear" w:color="auto" w:fill="auto"/>
            <w:tcMar>
              <w:top w:w="15" w:type="dxa"/>
              <w:left w:w="15" w:type="dxa"/>
              <w:bottom w:w="0" w:type="dxa"/>
              <w:right w:w="15" w:type="dxa"/>
            </w:tcMar>
            <w:vAlign w:val="bottom"/>
            <w:hideMark/>
          </w:tcPr>
          <w:p w:rsidR="00F44D56" w:rsidRPr="0055632A" w:rsidRDefault="00F44D56" w:rsidP="00A60DC6">
            <w:pPr>
              <w:jc w:val="center"/>
              <w:rPr>
                <w:sz w:val="20"/>
                <w:szCs w:val="20"/>
                <w:lang w:val="en-NZ"/>
              </w:rPr>
            </w:pPr>
            <w:r w:rsidRPr="0055632A">
              <w:rPr>
                <w:sz w:val="20"/>
                <w:szCs w:val="20"/>
                <w:lang w:val="en-NZ"/>
              </w:rPr>
              <w:t xml:space="preserve">Age last seen in </w:t>
            </w:r>
            <w:r>
              <w:rPr>
                <w:sz w:val="20"/>
                <w:szCs w:val="20"/>
                <w:lang w:val="en-NZ"/>
              </w:rPr>
              <w:t>ENROL</w:t>
            </w:r>
            <w:r w:rsidRPr="0055632A">
              <w:rPr>
                <w:sz w:val="20"/>
                <w:szCs w:val="20"/>
                <w:lang w:val="en-NZ"/>
              </w:rPr>
              <w:t xml:space="preserve"> data </w:t>
            </w:r>
            <w:r>
              <w:rPr>
                <w:sz w:val="20"/>
                <w:szCs w:val="20"/>
                <w:lang w:val="en-NZ"/>
              </w:rPr>
              <w:t xml:space="preserve">          </w:t>
            </w:r>
            <w:r w:rsidRPr="0055632A">
              <w:rPr>
                <w:sz w:val="20"/>
                <w:szCs w:val="20"/>
                <w:lang w:val="en-NZ"/>
              </w:rPr>
              <w:t>(11 April 2014)</w:t>
            </w:r>
          </w:p>
        </w:tc>
      </w:tr>
      <w:tr w:rsidR="00F44D56" w:rsidRPr="0055632A" w:rsidTr="00F44D56">
        <w:trPr>
          <w:trHeight w:val="397"/>
        </w:trPr>
        <w:tc>
          <w:tcPr>
            <w:tcW w:w="1716" w:type="dxa"/>
            <w:shd w:val="clear" w:color="auto" w:fill="auto"/>
            <w:tcMar>
              <w:top w:w="15" w:type="dxa"/>
              <w:left w:w="15" w:type="dxa"/>
              <w:bottom w:w="0" w:type="dxa"/>
              <w:right w:w="15" w:type="dxa"/>
            </w:tcMar>
            <w:vAlign w:val="center"/>
            <w:hideMark/>
          </w:tcPr>
          <w:p w:rsidR="00F44D56" w:rsidRPr="0055632A" w:rsidRDefault="00F44D56" w:rsidP="00A60DC6">
            <w:pPr>
              <w:jc w:val="center"/>
              <w:rPr>
                <w:sz w:val="20"/>
                <w:szCs w:val="20"/>
                <w:lang w:val="en-NZ"/>
              </w:rPr>
            </w:pPr>
            <w:r w:rsidRPr="0055632A">
              <w:rPr>
                <w:sz w:val="20"/>
                <w:szCs w:val="20"/>
                <w:lang w:val="en-NZ"/>
              </w:rPr>
              <w:t>1991</w:t>
            </w:r>
          </w:p>
        </w:tc>
        <w:tc>
          <w:tcPr>
            <w:tcW w:w="1843" w:type="dxa"/>
            <w:shd w:val="clear" w:color="auto" w:fill="auto"/>
            <w:tcMar>
              <w:top w:w="15" w:type="dxa"/>
              <w:left w:w="15" w:type="dxa"/>
              <w:bottom w:w="0" w:type="dxa"/>
              <w:right w:w="15" w:type="dxa"/>
            </w:tcMar>
            <w:vAlign w:val="center"/>
            <w:hideMark/>
          </w:tcPr>
          <w:p w:rsidR="00F44D56" w:rsidRPr="0055632A" w:rsidRDefault="00F44D56" w:rsidP="00A60DC6">
            <w:pPr>
              <w:jc w:val="center"/>
              <w:rPr>
                <w:sz w:val="20"/>
                <w:szCs w:val="20"/>
                <w:lang w:val="en-NZ"/>
              </w:rPr>
            </w:pPr>
            <w:r>
              <w:rPr>
                <w:sz w:val="20"/>
                <w:szCs w:val="20"/>
                <w:lang w:val="en-NZ"/>
              </w:rPr>
              <w:t xml:space="preserve">14 - </w:t>
            </w:r>
            <w:r w:rsidRPr="0055632A">
              <w:rPr>
                <w:sz w:val="20"/>
                <w:szCs w:val="20"/>
                <w:lang w:val="en-NZ"/>
              </w:rPr>
              <w:t>15</w:t>
            </w:r>
          </w:p>
        </w:tc>
        <w:tc>
          <w:tcPr>
            <w:tcW w:w="1701" w:type="dxa"/>
            <w:shd w:val="clear" w:color="auto" w:fill="auto"/>
            <w:tcMar>
              <w:top w:w="15" w:type="dxa"/>
              <w:left w:w="15" w:type="dxa"/>
              <w:bottom w:w="0" w:type="dxa"/>
              <w:right w:w="15" w:type="dxa"/>
            </w:tcMar>
            <w:vAlign w:val="center"/>
            <w:hideMark/>
          </w:tcPr>
          <w:p w:rsidR="00F44D56" w:rsidRPr="0055632A" w:rsidRDefault="00F44D56" w:rsidP="00A60DC6">
            <w:pPr>
              <w:jc w:val="center"/>
              <w:rPr>
                <w:sz w:val="20"/>
                <w:szCs w:val="20"/>
                <w:lang w:val="en-NZ"/>
              </w:rPr>
            </w:pPr>
            <w:r>
              <w:rPr>
                <w:sz w:val="20"/>
                <w:szCs w:val="20"/>
                <w:lang w:val="en-NZ"/>
              </w:rPr>
              <w:t xml:space="preserve">16 - </w:t>
            </w:r>
            <w:r w:rsidRPr="0055632A">
              <w:rPr>
                <w:sz w:val="20"/>
                <w:szCs w:val="20"/>
                <w:lang w:val="en-NZ"/>
              </w:rPr>
              <w:t>17</w:t>
            </w:r>
          </w:p>
        </w:tc>
        <w:tc>
          <w:tcPr>
            <w:tcW w:w="1843" w:type="dxa"/>
            <w:shd w:val="clear" w:color="auto" w:fill="auto"/>
            <w:tcMar>
              <w:top w:w="15" w:type="dxa"/>
              <w:left w:w="15" w:type="dxa"/>
              <w:bottom w:w="0" w:type="dxa"/>
              <w:right w:w="15" w:type="dxa"/>
            </w:tcMar>
            <w:vAlign w:val="center"/>
            <w:hideMark/>
          </w:tcPr>
          <w:p w:rsidR="00F44D56" w:rsidRPr="0055632A" w:rsidRDefault="00F44D56" w:rsidP="00A60DC6">
            <w:pPr>
              <w:jc w:val="center"/>
              <w:rPr>
                <w:sz w:val="20"/>
                <w:szCs w:val="20"/>
                <w:lang w:val="en-NZ"/>
              </w:rPr>
            </w:pPr>
            <w:r>
              <w:rPr>
                <w:sz w:val="20"/>
                <w:szCs w:val="20"/>
                <w:lang w:val="en-NZ"/>
              </w:rPr>
              <w:t xml:space="preserve">20.5 - </w:t>
            </w:r>
            <w:r w:rsidRPr="0055632A">
              <w:rPr>
                <w:sz w:val="20"/>
                <w:szCs w:val="20"/>
                <w:lang w:val="en-NZ"/>
              </w:rPr>
              <w:t>21</w:t>
            </w:r>
            <w:r>
              <w:rPr>
                <w:sz w:val="20"/>
                <w:szCs w:val="20"/>
                <w:lang w:val="en-NZ"/>
              </w:rPr>
              <w:t>.5</w:t>
            </w:r>
          </w:p>
        </w:tc>
        <w:tc>
          <w:tcPr>
            <w:tcW w:w="1843" w:type="dxa"/>
            <w:shd w:val="clear" w:color="auto" w:fill="auto"/>
            <w:tcMar>
              <w:top w:w="15" w:type="dxa"/>
              <w:left w:w="15" w:type="dxa"/>
              <w:bottom w:w="0" w:type="dxa"/>
              <w:right w:w="15" w:type="dxa"/>
            </w:tcMar>
            <w:vAlign w:val="center"/>
            <w:hideMark/>
          </w:tcPr>
          <w:p w:rsidR="00F44D56" w:rsidRPr="0055632A" w:rsidRDefault="00F44D56" w:rsidP="00A60DC6">
            <w:pPr>
              <w:jc w:val="center"/>
              <w:rPr>
                <w:sz w:val="20"/>
                <w:szCs w:val="20"/>
                <w:lang w:val="en-NZ"/>
              </w:rPr>
            </w:pPr>
            <w:r>
              <w:rPr>
                <w:sz w:val="20"/>
                <w:szCs w:val="20"/>
                <w:lang w:val="en-NZ"/>
              </w:rPr>
              <w:t xml:space="preserve">22.25 – </w:t>
            </w:r>
            <w:r w:rsidRPr="0055632A">
              <w:rPr>
                <w:sz w:val="20"/>
                <w:szCs w:val="20"/>
                <w:lang w:val="en-NZ"/>
              </w:rPr>
              <w:t>23</w:t>
            </w:r>
            <w:r>
              <w:rPr>
                <w:sz w:val="20"/>
                <w:szCs w:val="20"/>
                <w:lang w:val="en-NZ"/>
              </w:rPr>
              <w:t>.25</w:t>
            </w:r>
          </w:p>
        </w:tc>
      </w:tr>
      <w:tr w:rsidR="00F44D56" w:rsidRPr="0055632A" w:rsidTr="00F44D56">
        <w:trPr>
          <w:trHeight w:val="397"/>
        </w:trPr>
        <w:tc>
          <w:tcPr>
            <w:tcW w:w="1716" w:type="dxa"/>
            <w:shd w:val="clear" w:color="auto" w:fill="auto"/>
            <w:tcMar>
              <w:top w:w="15" w:type="dxa"/>
              <w:left w:w="15" w:type="dxa"/>
              <w:bottom w:w="0" w:type="dxa"/>
              <w:right w:w="15" w:type="dxa"/>
            </w:tcMar>
            <w:vAlign w:val="center"/>
            <w:hideMark/>
          </w:tcPr>
          <w:p w:rsidR="00F44D56" w:rsidRPr="0055632A" w:rsidRDefault="00F44D56" w:rsidP="00A60DC6">
            <w:pPr>
              <w:jc w:val="center"/>
              <w:rPr>
                <w:sz w:val="20"/>
                <w:szCs w:val="20"/>
                <w:lang w:val="en-NZ"/>
              </w:rPr>
            </w:pPr>
            <w:r w:rsidRPr="0055632A">
              <w:rPr>
                <w:sz w:val="20"/>
                <w:szCs w:val="20"/>
                <w:lang w:val="en-NZ"/>
              </w:rPr>
              <w:t>1992</w:t>
            </w:r>
          </w:p>
        </w:tc>
        <w:tc>
          <w:tcPr>
            <w:tcW w:w="1843" w:type="dxa"/>
            <w:shd w:val="clear" w:color="auto" w:fill="auto"/>
            <w:tcMar>
              <w:top w:w="15" w:type="dxa"/>
              <w:left w:w="15" w:type="dxa"/>
              <w:bottom w:w="0" w:type="dxa"/>
              <w:right w:w="15" w:type="dxa"/>
            </w:tcMar>
            <w:vAlign w:val="center"/>
            <w:hideMark/>
          </w:tcPr>
          <w:p w:rsidR="00F44D56" w:rsidRPr="0055632A" w:rsidRDefault="00F44D56" w:rsidP="00A60DC6">
            <w:pPr>
              <w:jc w:val="center"/>
              <w:rPr>
                <w:sz w:val="20"/>
                <w:szCs w:val="20"/>
                <w:lang w:val="en-NZ"/>
              </w:rPr>
            </w:pPr>
            <w:r>
              <w:rPr>
                <w:sz w:val="20"/>
                <w:szCs w:val="20"/>
                <w:lang w:val="en-NZ"/>
              </w:rPr>
              <w:t xml:space="preserve">13 - </w:t>
            </w:r>
            <w:r w:rsidRPr="0055632A">
              <w:rPr>
                <w:sz w:val="20"/>
                <w:szCs w:val="20"/>
                <w:lang w:val="en-NZ"/>
              </w:rPr>
              <w:t>14</w:t>
            </w:r>
          </w:p>
        </w:tc>
        <w:tc>
          <w:tcPr>
            <w:tcW w:w="1701" w:type="dxa"/>
            <w:shd w:val="clear" w:color="auto" w:fill="auto"/>
            <w:tcMar>
              <w:top w:w="15" w:type="dxa"/>
              <w:left w:w="15" w:type="dxa"/>
              <w:bottom w:w="0" w:type="dxa"/>
              <w:right w:w="15" w:type="dxa"/>
            </w:tcMar>
            <w:vAlign w:val="center"/>
            <w:hideMark/>
          </w:tcPr>
          <w:p w:rsidR="00F44D56" w:rsidRPr="0055632A" w:rsidRDefault="00F44D56" w:rsidP="00A60DC6">
            <w:pPr>
              <w:jc w:val="center"/>
              <w:rPr>
                <w:sz w:val="20"/>
                <w:szCs w:val="20"/>
                <w:lang w:val="en-NZ"/>
              </w:rPr>
            </w:pPr>
            <w:r>
              <w:rPr>
                <w:sz w:val="20"/>
                <w:szCs w:val="20"/>
                <w:lang w:val="en-NZ"/>
              </w:rPr>
              <w:t xml:space="preserve">15 - </w:t>
            </w:r>
            <w:r w:rsidRPr="0055632A">
              <w:rPr>
                <w:sz w:val="20"/>
                <w:szCs w:val="20"/>
                <w:lang w:val="en-NZ"/>
              </w:rPr>
              <w:t>16</w:t>
            </w:r>
          </w:p>
        </w:tc>
        <w:tc>
          <w:tcPr>
            <w:tcW w:w="1843" w:type="dxa"/>
            <w:shd w:val="clear" w:color="auto" w:fill="auto"/>
            <w:tcMar>
              <w:top w:w="15" w:type="dxa"/>
              <w:left w:w="15" w:type="dxa"/>
              <w:bottom w:w="0" w:type="dxa"/>
              <w:right w:w="15" w:type="dxa"/>
            </w:tcMar>
            <w:vAlign w:val="center"/>
            <w:hideMark/>
          </w:tcPr>
          <w:p w:rsidR="00F44D56" w:rsidRPr="0055632A" w:rsidRDefault="00F44D56" w:rsidP="00A60DC6">
            <w:pPr>
              <w:jc w:val="center"/>
              <w:rPr>
                <w:sz w:val="20"/>
                <w:szCs w:val="20"/>
                <w:lang w:val="en-NZ"/>
              </w:rPr>
            </w:pPr>
            <w:r>
              <w:rPr>
                <w:sz w:val="20"/>
                <w:szCs w:val="20"/>
                <w:lang w:val="en-NZ"/>
              </w:rPr>
              <w:t xml:space="preserve">19.5 - </w:t>
            </w:r>
            <w:r w:rsidRPr="0055632A">
              <w:rPr>
                <w:sz w:val="20"/>
                <w:szCs w:val="20"/>
                <w:lang w:val="en-NZ"/>
              </w:rPr>
              <w:t>20</w:t>
            </w:r>
            <w:r>
              <w:rPr>
                <w:sz w:val="20"/>
                <w:szCs w:val="20"/>
                <w:lang w:val="en-NZ"/>
              </w:rPr>
              <w:t>.5</w:t>
            </w:r>
          </w:p>
        </w:tc>
        <w:tc>
          <w:tcPr>
            <w:tcW w:w="1843" w:type="dxa"/>
            <w:shd w:val="clear" w:color="auto" w:fill="auto"/>
            <w:tcMar>
              <w:top w:w="15" w:type="dxa"/>
              <w:left w:w="15" w:type="dxa"/>
              <w:bottom w:w="0" w:type="dxa"/>
              <w:right w:w="15" w:type="dxa"/>
            </w:tcMar>
            <w:vAlign w:val="center"/>
            <w:hideMark/>
          </w:tcPr>
          <w:p w:rsidR="00F44D56" w:rsidRPr="0055632A" w:rsidRDefault="00F44D56" w:rsidP="00A60DC6">
            <w:pPr>
              <w:jc w:val="center"/>
              <w:rPr>
                <w:sz w:val="20"/>
                <w:szCs w:val="20"/>
                <w:lang w:val="en-NZ"/>
              </w:rPr>
            </w:pPr>
            <w:r>
              <w:rPr>
                <w:sz w:val="20"/>
                <w:szCs w:val="20"/>
                <w:lang w:val="en-NZ"/>
              </w:rPr>
              <w:t>21.25 – 22.25</w:t>
            </w:r>
          </w:p>
        </w:tc>
      </w:tr>
      <w:tr w:rsidR="00F44D56" w:rsidRPr="0055632A" w:rsidTr="00F44D56">
        <w:trPr>
          <w:trHeight w:val="397"/>
        </w:trPr>
        <w:tc>
          <w:tcPr>
            <w:tcW w:w="1716" w:type="dxa"/>
            <w:shd w:val="clear" w:color="auto" w:fill="auto"/>
            <w:tcMar>
              <w:top w:w="15" w:type="dxa"/>
              <w:left w:w="15" w:type="dxa"/>
              <w:bottom w:w="0" w:type="dxa"/>
              <w:right w:w="15" w:type="dxa"/>
            </w:tcMar>
            <w:vAlign w:val="center"/>
            <w:hideMark/>
          </w:tcPr>
          <w:p w:rsidR="00F44D56" w:rsidRPr="0055632A" w:rsidRDefault="00F44D56" w:rsidP="00A60DC6">
            <w:pPr>
              <w:jc w:val="center"/>
              <w:rPr>
                <w:sz w:val="20"/>
                <w:szCs w:val="20"/>
                <w:lang w:val="en-NZ"/>
              </w:rPr>
            </w:pPr>
            <w:r w:rsidRPr="0055632A">
              <w:rPr>
                <w:sz w:val="20"/>
                <w:szCs w:val="20"/>
                <w:lang w:val="en-NZ"/>
              </w:rPr>
              <w:t>1993</w:t>
            </w:r>
          </w:p>
        </w:tc>
        <w:tc>
          <w:tcPr>
            <w:tcW w:w="1843" w:type="dxa"/>
            <w:shd w:val="clear" w:color="auto" w:fill="auto"/>
            <w:tcMar>
              <w:top w:w="15" w:type="dxa"/>
              <w:left w:w="15" w:type="dxa"/>
              <w:bottom w:w="0" w:type="dxa"/>
              <w:right w:w="15" w:type="dxa"/>
            </w:tcMar>
            <w:vAlign w:val="center"/>
            <w:hideMark/>
          </w:tcPr>
          <w:p w:rsidR="00F44D56" w:rsidRPr="0055632A" w:rsidRDefault="00F44D56" w:rsidP="00A60DC6">
            <w:pPr>
              <w:jc w:val="center"/>
              <w:rPr>
                <w:sz w:val="20"/>
                <w:szCs w:val="20"/>
                <w:lang w:val="en-NZ"/>
              </w:rPr>
            </w:pPr>
            <w:r>
              <w:rPr>
                <w:sz w:val="20"/>
                <w:szCs w:val="20"/>
                <w:lang w:val="en-NZ"/>
              </w:rPr>
              <w:t xml:space="preserve">12 - </w:t>
            </w:r>
            <w:r w:rsidRPr="0055632A">
              <w:rPr>
                <w:sz w:val="20"/>
                <w:szCs w:val="20"/>
                <w:lang w:val="en-NZ"/>
              </w:rPr>
              <w:t>13</w:t>
            </w:r>
          </w:p>
        </w:tc>
        <w:tc>
          <w:tcPr>
            <w:tcW w:w="1701" w:type="dxa"/>
            <w:shd w:val="clear" w:color="auto" w:fill="auto"/>
            <w:tcMar>
              <w:top w:w="15" w:type="dxa"/>
              <w:left w:w="15" w:type="dxa"/>
              <w:bottom w:w="0" w:type="dxa"/>
              <w:right w:w="15" w:type="dxa"/>
            </w:tcMar>
            <w:vAlign w:val="center"/>
            <w:hideMark/>
          </w:tcPr>
          <w:p w:rsidR="00F44D56" w:rsidRPr="0055632A" w:rsidRDefault="00F44D56" w:rsidP="00A60DC6">
            <w:pPr>
              <w:jc w:val="center"/>
              <w:rPr>
                <w:sz w:val="20"/>
                <w:szCs w:val="20"/>
                <w:lang w:val="en-NZ"/>
              </w:rPr>
            </w:pPr>
            <w:r>
              <w:rPr>
                <w:sz w:val="20"/>
                <w:szCs w:val="20"/>
                <w:lang w:val="en-NZ"/>
              </w:rPr>
              <w:t xml:space="preserve">14 - </w:t>
            </w:r>
            <w:r w:rsidRPr="0055632A">
              <w:rPr>
                <w:sz w:val="20"/>
                <w:szCs w:val="20"/>
                <w:lang w:val="en-NZ"/>
              </w:rPr>
              <w:t>15</w:t>
            </w:r>
          </w:p>
        </w:tc>
        <w:tc>
          <w:tcPr>
            <w:tcW w:w="1843" w:type="dxa"/>
            <w:shd w:val="clear" w:color="auto" w:fill="auto"/>
            <w:tcMar>
              <w:top w:w="15" w:type="dxa"/>
              <w:left w:w="15" w:type="dxa"/>
              <w:bottom w:w="0" w:type="dxa"/>
              <w:right w:w="15" w:type="dxa"/>
            </w:tcMar>
            <w:vAlign w:val="center"/>
            <w:hideMark/>
          </w:tcPr>
          <w:p w:rsidR="00F44D56" w:rsidRPr="0055632A" w:rsidRDefault="00F44D56" w:rsidP="00A60DC6">
            <w:pPr>
              <w:jc w:val="center"/>
              <w:rPr>
                <w:sz w:val="20"/>
                <w:szCs w:val="20"/>
                <w:lang w:val="en-NZ"/>
              </w:rPr>
            </w:pPr>
            <w:r>
              <w:rPr>
                <w:sz w:val="20"/>
                <w:szCs w:val="20"/>
                <w:lang w:val="en-NZ"/>
              </w:rPr>
              <w:t xml:space="preserve">18.5 - </w:t>
            </w:r>
            <w:r w:rsidRPr="0055632A">
              <w:rPr>
                <w:sz w:val="20"/>
                <w:szCs w:val="20"/>
                <w:lang w:val="en-NZ"/>
              </w:rPr>
              <w:t>19</w:t>
            </w:r>
            <w:r>
              <w:rPr>
                <w:sz w:val="20"/>
                <w:szCs w:val="20"/>
                <w:lang w:val="en-NZ"/>
              </w:rPr>
              <w:t>.5</w:t>
            </w:r>
          </w:p>
        </w:tc>
        <w:tc>
          <w:tcPr>
            <w:tcW w:w="1843" w:type="dxa"/>
            <w:shd w:val="clear" w:color="auto" w:fill="auto"/>
            <w:tcMar>
              <w:top w:w="15" w:type="dxa"/>
              <w:left w:w="15" w:type="dxa"/>
              <w:bottom w:w="0" w:type="dxa"/>
              <w:right w:w="15" w:type="dxa"/>
            </w:tcMar>
            <w:vAlign w:val="center"/>
            <w:hideMark/>
          </w:tcPr>
          <w:p w:rsidR="00F44D56" w:rsidRPr="0055632A" w:rsidRDefault="00F44D56" w:rsidP="00A60DC6">
            <w:pPr>
              <w:jc w:val="center"/>
              <w:rPr>
                <w:sz w:val="20"/>
                <w:szCs w:val="20"/>
                <w:lang w:val="en-NZ"/>
              </w:rPr>
            </w:pPr>
            <w:r>
              <w:rPr>
                <w:sz w:val="20"/>
                <w:szCs w:val="20"/>
                <w:lang w:val="en-NZ"/>
              </w:rPr>
              <w:t xml:space="preserve">20.25 – </w:t>
            </w:r>
            <w:r w:rsidRPr="0055632A">
              <w:rPr>
                <w:sz w:val="20"/>
                <w:szCs w:val="20"/>
                <w:lang w:val="en-NZ"/>
              </w:rPr>
              <w:t>21</w:t>
            </w:r>
            <w:r>
              <w:rPr>
                <w:sz w:val="20"/>
                <w:szCs w:val="20"/>
                <w:lang w:val="en-NZ"/>
              </w:rPr>
              <w:t>.25</w:t>
            </w:r>
          </w:p>
        </w:tc>
      </w:tr>
      <w:tr w:rsidR="00F44D56" w:rsidRPr="0055632A" w:rsidTr="00F44D56">
        <w:trPr>
          <w:trHeight w:val="397"/>
        </w:trPr>
        <w:tc>
          <w:tcPr>
            <w:tcW w:w="1716" w:type="dxa"/>
            <w:shd w:val="clear" w:color="auto" w:fill="auto"/>
            <w:tcMar>
              <w:top w:w="15" w:type="dxa"/>
              <w:left w:w="15" w:type="dxa"/>
              <w:bottom w:w="0" w:type="dxa"/>
              <w:right w:w="15" w:type="dxa"/>
            </w:tcMar>
            <w:vAlign w:val="center"/>
            <w:hideMark/>
          </w:tcPr>
          <w:p w:rsidR="00F44D56" w:rsidRPr="0055632A" w:rsidRDefault="00F44D56" w:rsidP="00A60DC6">
            <w:pPr>
              <w:jc w:val="center"/>
              <w:rPr>
                <w:sz w:val="20"/>
                <w:szCs w:val="20"/>
                <w:lang w:val="en-NZ"/>
              </w:rPr>
            </w:pPr>
            <w:r w:rsidRPr="0055632A">
              <w:rPr>
                <w:sz w:val="20"/>
                <w:szCs w:val="20"/>
                <w:lang w:val="en-NZ"/>
              </w:rPr>
              <w:t>1994</w:t>
            </w:r>
          </w:p>
        </w:tc>
        <w:tc>
          <w:tcPr>
            <w:tcW w:w="1843" w:type="dxa"/>
            <w:shd w:val="clear" w:color="auto" w:fill="auto"/>
            <w:tcMar>
              <w:top w:w="15" w:type="dxa"/>
              <w:left w:w="15" w:type="dxa"/>
              <w:bottom w:w="0" w:type="dxa"/>
              <w:right w:w="15" w:type="dxa"/>
            </w:tcMar>
            <w:vAlign w:val="center"/>
            <w:hideMark/>
          </w:tcPr>
          <w:p w:rsidR="00F44D56" w:rsidRPr="0055632A" w:rsidRDefault="00F44D56" w:rsidP="00A60DC6">
            <w:pPr>
              <w:jc w:val="center"/>
              <w:rPr>
                <w:sz w:val="20"/>
                <w:szCs w:val="20"/>
                <w:lang w:val="en-NZ"/>
              </w:rPr>
            </w:pPr>
            <w:r>
              <w:rPr>
                <w:sz w:val="20"/>
                <w:szCs w:val="20"/>
                <w:lang w:val="en-NZ"/>
              </w:rPr>
              <w:t xml:space="preserve">11 - </w:t>
            </w:r>
            <w:r w:rsidRPr="0055632A">
              <w:rPr>
                <w:sz w:val="20"/>
                <w:szCs w:val="20"/>
                <w:lang w:val="en-NZ"/>
              </w:rPr>
              <w:t>12</w:t>
            </w:r>
          </w:p>
        </w:tc>
        <w:tc>
          <w:tcPr>
            <w:tcW w:w="1701" w:type="dxa"/>
            <w:shd w:val="clear" w:color="auto" w:fill="auto"/>
            <w:tcMar>
              <w:top w:w="15" w:type="dxa"/>
              <w:left w:w="15" w:type="dxa"/>
              <w:bottom w:w="0" w:type="dxa"/>
              <w:right w:w="15" w:type="dxa"/>
            </w:tcMar>
            <w:vAlign w:val="center"/>
            <w:hideMark/>
          </w:tcPr>
          <w:p w:rsidR="00F44D56" w:rsidRPr="0055632A" w:rsidRDefault="00F44D56" w:rsidP="00A60DC6">
            <w:pPr>
              <w:jc w:val="center"/>
              <w:rPr>
                <w:sz w:val="20"/>
                <w:szCs w:val="20"/>
                <w:lang w:val="en-NZ"/>
              </w:rPr>
            </w:pPr>
            <w:r>
              <w:rPr>
                <w:sz w:val="20"/>
                <w:szCs w:val="20"/>
                <w:lang w:val="en-NZ"/>
              </w:rPr>
              <w:t xml:space="preserve">13 - </w:t>
            </w:r>
            <w:r w:rsidRPr="0055632A">
              <w:rPr>
                <w:sz w:val="20"/>
                <w:szCs w:val="20"/>
                <w:lang w:val="en-NZ"/>
              </w:rPr>
              <w:t>14</w:t>
            </w:r>
          </w:p>
        </w:tc>
        <w:tc>
          <w:tcPr>
            <w:tcW w:w="1843" w:type="dxa"/>
            <w:shd w:val="clear" w:color="auto" w:fill="auto"/>
            <w:tcMar>
              <w:top w:w="15" w:type="dxa"/>
              <w:left w:w="15" w:type="dxa"/>
              <w:bottom w:w="0" w:type="dxa"/>
              <w:right w:w="15" w:type="dxa"/>
            </w:tcMar>
            <w:vAlign w:val="center"/>
            <w:hideMark/>
          </w:tcPr>
          <w:p w:rsidR="00F44D56" w:rsidRPr="0055632A" w:rsidRDefault="00F44D56" w:rsidP="00A60DC6">
            <w:pPr>
              <w:jc w:val="center"/>
              <w:rPr>
                <w:sz w:val="20"/>
                <w:szCs w:val="20"/>
                <w:lang w:val="en-NZ"/>
              </w:rPr>
            </w:pPr>
            <w:r>
              <w:rPr>
                <w:sz w:val="20"/>
                <w:szCs w:val="20"/>
                <w:lang w:val="en-NZ"/>
              </w:rPr>
              <w:t xml:space="preserve">17.5 - </w:t>
            </w:r>
            <w:r w:rsidRPr="0055632A">
              <w:rPr>
                <w:sz w:val="20"/>
                <w:szCs w:val="20"/>
                <w:lang w:val="en-NZ"/>
              </w:rPr>
              <w:t>18</w:t>
            </w:r>
            <w:r>
              <w:rPr>
                <w:sz w:val="20"/>
                <w:szCs w:val="20"/>
                <w:lang w:val="en-NZ"/>
              </w:rPr>
              <w:t>.5</w:t>
            </w:r>
          </w:p>
        </w:tc>
        <w:tc>
          <w:tcPr>
            <w:tcW w:w="1843" w:type="dxa"/>
            <w:shd w:val="clear" w:color="auto" w:fill="auto"/>
            <w:tcMar>
              <w:top w:w="15" w:type="dxa"/>
              <w:left w:w="15" w:type="dxa"/>
              <w:bottom w:w="0" w:type="dxa"/>
              <w:right w:w="15" w:type="dxa"/>
            </w:tcMar>
            <w:vAlign w:val="center"/>
            <w:hideMark/>
          </w:tcPr>
          <w:p w:rsidR="00F44D56" w:rsidRPr="0055632A" w:rsidRDefault="00F44D56" w:rsidP="00A60DC6">
            <w:pPr>
              <w:jc w:val="center"/>
              <w:rPr>
                <w:sz w:val="20"/>
                <w:szCs w:val="20"/>
                <w:lang w:val="en-NZ"/>
              </w:rPr>
            </w:pPr>
            <w:r>
              <w:rPr>
                <w:sz w:val="20"/>
                <w:szCs w:val="20"/>
                <w:lang w:val="en-NZ"/>
              </w:rPr>
              <w:t xml:space="preserve">19.25 – </w:t>
            </w:r>
            <w:r w:rsidRPr="0055632A">
              <w:rPr>
                <w:sz w:val="20"/>
                <w:szCs w:val="20"/>
                <w:lang w:val="en-NZ"/>
              </w:rPr>
              <w:t>20</w:t>
            </w:r>
            <w:r>
              <w:rPr>
                <w:sz w:val="20"/>
                <w:szCs w:val="20"/>
                <w:lang w:val="en-NZ"/>
              </w:rPr>
              <w:t>.25</w:t>
            </w:r>
          </w:p>
        </w:tc>
      </w:tr>
    </w:tbl>
    <w:p w:rsidR="00F44D56" w:rsidRPr="00AF07FD" w:rsidRDefault="00F44D56" w:rsidP="00F44D56">
      <w:pPr>
        <w:rPr>
          <w:sz w:val="20"/>
          <w:szCs w:val="20"/>
          <w:lang w:val="en-SG"/>
        </w:rPr>
      </w:pPr>
    </w:p>
    <w:p w:rsidR="00673FB8" w:rsidRDefault="00673FB8" w:rsidP="00673FB8">
      <w:pPr>
        <w:pStyle w:val="Body"/>
        <w:jc w:val="both"/>
      </w:pPr>
      <w:r w:rsidRPr="009D0EAE">
        <w:t>Data for the 1991 cohort are censored at the start in that they only first enter the ENROL data at ages 14 and 15, and are aged 16 and 17 when ENROL data gains full coverage at the end of 2007. Data for some members of the 1994 cohort are censored because we do not observe them in the maternity data right up to their 19</w:t>
      </w:r>
      <w:r w:rsidRPr="009D0EAE">
        <w:rPr>
          <w:vertAlign w:val="superscript"/>
        </w:rPr>
        <w:t>th</w:t>
      </w:r>
      <w:r w:rsidRPr="009D0EAE">
        <w:t xml:space="preserve"> birthday. </w:t>
      </w:r>
      <w:r>
        <w:t>C</w:t>
      </w:r>
      <w:r w:rsidRPr="009D0EAE">
        <w:t xml:space="preserve">ontrols used in our regression analysis for cohort effects account for </w:t>
      </w:r>
      <w:r>
        <w:t>this censoring, and</w:t>
      </w:r>
      <w:r w:rsidRPr="009D0EAE">
        <w:t xml:space="preserve"> also serve the purpose of taking into account the</w:t>
      </w:r>
      <w:r>
        <w:t xml:space="preserve"> steep decline in teenage births that occurred over the study period (see Appendix Figure </w:t>
      </w:r>
      <w:r w:rsidR="003E4D42">
        <w:t>1</w:t>
      </w:r>
      <w:r>
        <w:t>), and the growth in the rates of retention in school and attainment of NCEA qualifications for recent cohorts. We test the robustness of our results to censoring through re-estimating our baseline models on restricted sub-samples for which the data were uncensored.</w:t>
      </w:r>
    </w:p>
    <w:p w:rsidR="00357AA2" w:rsidRDefault="00357AA2">
      <w:pPr>
        <w:pStyle w:val="Body"/>
        <w:jc w:val="both"/>
      </w:pPr>
      <w:r w:rsidRPr="00C366C1">
        <w:t>Data linkage</w:t>
      </w:r>
      <w:r w:rsidR="0091776F">
        <w:t>s</w:t>
      </w:r>
      <w:r w:rsidRPr="00C366C1">
        <w:t xml:space="preserve"> </w:t>
      </w:r>
      <w:r>
        <w:t>within administrative domains (e</w:t>
      </w:r>
      <w:r w:rsidR="0091776F">
        <w:t>.</w:t>
      </w:r>
      <w:r>
        <w:t>g.</w:t>
      </w:r>
      <w:r w:rsidR="0091776F">
        <w:t>,</w:t>
      </w:r>
      <w:r>
        <w:t xml:space="preserve"> </w:t>
      </w:r>
      <w:r w:rsidR="00184F08">
        <w:t xml:space="preserve">within </w:t>
      </w:r>
      <w:r>
        <w:t>health</w:t>
      </w:r>
      <w:r w:rsidR="00184F08">
        <w:t xml:space="preserve"> or</w:t>
      </w:r>
      <w:r>
        <w:t xml:space="preserve"> </w:t>
      </w:r>
      <w:r w:rsidR="005B61A6">
        <w:t xml:space="preserve">within </w:t>
      </w:r>
      <w:r>
        <w:t>education</w:t>
      </w:r>
      <w:r w:rsidR="0091776F">
        <w:t xml:space="preserve"> </w:t>
      </w:r>
      <w:r w:rsidR="006977CE">
        <w:t>systems</w:t>
      </w:r>
      <w:r>
        <w:t>) w</w:t>
      </w:r>
      <w:r w:rsidR="0091776F">
        <w:t>ere</w:t>
      </w:r>
      <w:r>
        <w:t xml:space="preserve"> generally based on anonymised administrative unique identifiers. Linkage of data across administrative domains </w:t>
      </w:r>
      <w:r w:rsidR="00184F08">
        <w:t>(e</w:t>
      </w:r>
      <w:r w:rsidR="0091776F">
        <w:t>.</w:t>
      </w:r>
      <w:r w:rsidR="00184F08">
        <w:t>g.</w:t>
      </w:r>
      <w:r w:rsidR="0091776F">
        <w:t>,</w:t>
      </w:r>
      <w:r w:rsidR="00184F08">
        <w:t xml:space="preserve"> between </w:t>
      </w:r>
      <w:r w:rsidR="0091776F">
        <w:t xml:space="preserve">the </w:t>
      </w:r>
      <w:r w:rsidR="00184F08">
        <w:t>health and education</w:t>
      </w:r>
      <w:r w:rsidR="0091776F">
        <w:t xml:space="preserve"> systems</w:t>
      </w:r>
      <w:r w:rsidR="00184F08">
        <w:t xml:space="preserve">) </w:t>
      </w:r>
      <w:r>
        <w:t>wa</w:t>
      </w:r>
      <w:r w:rsidRPr="00612CFD">
        <w:t>s probabilistic, using first name, last name, birth dates and other potentially identifying variables.</w:t>
      </w:r>
      <w:r w:rsidRPr="00612CFD">
        <w:rPr>
          <w:rStyle w:val="FootnoteReference"/>
        </w:rPr>
        <w:footnoteReference w:id="12"/>
      </w:r>
      <w:r>
        <w:t xml:space="preserve"> </w:t>
      </w:r>
      <w:r w:rsidRPr="00612CFD">
        <w:t>Data w</w:t>
      </w:r>
      <w:r w:rsidR="00184F08">
        <w:t>ere</w:t>
      </w:r>
      <w:r w:rsidRPr="00612CFD">
        <w:t xml:space="preserve"> de-identified prior to analysis, and accessed by the research team through the secure Statistics New Zealand Data Lab and a secure server at MSD. Ethics approval was granted by the Central Health and Disability Committee (Reference 14/CEN/95/AM01).</w:t>
      </w:r>
    </w:p>
    <w:p w:rsidR="0051468F" w:rsidRDefault="0051468F">
      <w:pPr>
        <w:rPr>
          <w:rFonts w:eastAsiaTheme="majorEastAsia"/>
          <w:bCs/>
          <w:sz w:val="36"/>
          <w:szCs w:val="28"/>
          <w:lang w:val="fr-FR"/>
        </w:rPr>
      </w:pPr>
      <w:r>
        <w:rPr>
          <w:lang w:val="fr-FR"/>
        </w:rPr>
        <w:br w:type="page"/>
      </w:r>
    </w:p>
    <w:p w:rsidR="0051468F" w:rsidRPr="009D0EAE" w:rsidRDefault="0051468F" w:rsidP="009D0EAE">
      <w:pPr>
        <w:pStyle w:val="Heading1"/>
        <w:ind w:left="709" w:hanging="709"/>
        <w:rPr>
          <w:rFonts w:ascii="Times New Roman" w:hAnsi="Times New Roman" w:cs="Times New Roman"/>
          <w:lang w:val="fr-FR"/>
        </w:rPr>
      </w:pPr>
      <w:bookmarkStart w:id="16" w:name="_Toc473803309"/>
      <w:r w:rsidRPr="009D0EAE">
        <w:rPr>
          <w:rFonts w:ascii="Times New Roman" w:hAnsi="Times New Roman" w:cs="Times New Roman"/>
          <w:lang w:val="fr-FR"/>
        </w:rPr>
        <w:t>Descri</w:t>
      </w:r>
      <w:r w:rsidR="00C449F4" w:rsidRPr="009D0EAE">
        <w:rPr>
          <w:rFonts w:ascii="Times New Roman" w:hAnsi="Times New Roman" w:cs="Times New Roman"/>
          <w:lang w:val="fr-FR"/>
        </w:rPr>
        <w:t>bing</w:t>
      </w:r>
      <w:r w:rsidRPr="009D0EAE">
        <w:rPr>
          <w:rFonts w:ascii="Times New Roman" w:hAnsi="Times New Roman" w:cs="Times New Roman"/>
          <w:lang w:val="fr-FR"/>
        </w:rPr>
        <w:t xml:space="preserve"> Enrolment Patterns of Young Mothers</w:t>
      </w:r>
      <w:bookmarkEnd w:id="16"/>
    </w:p>
    <w:p w:rsidR="00673FB8" w:rsidRDefault="0051468F" w:rsidP="009D0EAE">
      <w:pPr>
        <w:pStyle w:val="Body"/>
        <w:jc w:val="both"/>
        <w:rPr>
          <w:lang w:val="en-US"/>
        </w:rPr>
      </w:pPr>
      <w:r w:rsidRPr="00C43819">
        <w:rPr>
          <w:lang w:val="en-US"/>
        </w:rPr>
        <w:t xml:space="preserve">Before turning to our </w:t>
      </w:r>
      <w:r w:rsidR="00C43819">
        <w:rPr>
          <w:lang w:val="en-US"/>
        </w:rPr>
        <w:t>main analysis</w:t>
      </w:r>
      <w:r w:rsidRPr="00C43819">
        <w:rPr>
          <w:lang w:val="en-US"/>
        </w:rPr>
        <w:t xml:space="preserve">, it is useful to understand the enrolment patterns of young </w:t>
      </w:r>
      <w:r w:rsidRPr="00C43819">
        <w:t>women</w:t>
      </w:r>
      <w:r w:rsidRPr="00C43819">
        <w:rPr>
          <w:lang w:val="en-US"/>
        </w:rPr>
        <w:t xml:space="preserve"> who give birth. For this purpose,</w:t>
      </w:r>
      <w:r>
        <w:rPr>
          <w:lang w:val="en-US"/>
        </w:rPr>
        <w:t xml:space="preserve"> </w:t>
      </w:r>
      <w:r w:rsidR="00C449F4">
        <w:rPr>
          <w:lang w:val="en-US"/>
        </w:rPr>
        <w:t>w</w:t>
      </w:r>
      <w:r w:rsidR="00C449F4" w:rsidRPr="00B12C8E">
        <w:rPr>
          <w:lang w:val="en-US"/>
        </w:rPr>
        <w:t xml:space="preserve">e define a </w:t>
      </w:r>
      <w:r w:rsidR="00C449F4" w:rsidRPr="00B12C8E">
        <w:rPr>
          <w:i/>
          <w:iCs/>
          <w:lang w:val="fr-FR"/>
        </w:rPr>
        <w:t>conception date</w:t>
      </w:r>
      <w:r w:rsidR="00C449F4" w:rsidRPr="00B12C8E">
        <w:rPr>
          <w:lang w:val="en-US"/>
        </w:rPr>
        <w:t xml:space="preserve"> as the (approximate) date on which the young woman conceived. We utilise maternity data</w:t>
      </w:r>
      <w:r w:rsidR="00B912EA">
        <w:rPr>
          <w:lang w:val="en-US"/>
        </w:rPr>
        <w:t xml:space="preserve">, </w:t>
      </w:r>
      <w:r w:rsidR="00C449F4" w:rsidRPr="00B12C8E">
        <w:rPr>
          <w:lang w:val="en-US"/>
        </w:rPr>
        <w:t xml:space="preserve">which </w:t>
      </w:r>
      <w:r w:rsidR="00673FB8">
        <w:rPr>
          <w:lang w:val="en-US"/>
        </w:rPr>
        <w:t>record</w:t>
      </w:r>
      <w:r w:rsidR="00673FB8" w:rsidRPr="00B12C8E">
        <w:rPr>
          <w:lang w:val="en-US"/>
        </w:rPr>
        <w:t xml:space="preserve"> </w:t>
      </w:r>
      <w:r w:rsidR="00C449F4" w:rsidRPr="00B12C8E">
        <w:rPr>
          <w:lang w:val="en-US"/>
        </w:rPr>
        <w:t xml:space="preserve">the gestational age of the baby at birth. By subtracting the gestational </w:t>
      </w:r>
      <w:r w:rsidR="00C449F4" w:rsidRPr="009D0EAE">
        <w:rPr>
          <w:lang w:val="en-US"/>
        </w:rPr>
        <w:t>age from the baby</w:t>
      </w:r>
      <w:r w:rsidR="00C449F4" w:rsidRPr="009D0EAE">
        <w:rPr>
          <w:lang w:val="fr-FR"/>
        </w:rPr>
        <w:t>’</w:t>
      </w:r>
      <w:r w:rsidR="00C449F4" w:rsidRPr="009D0EAE">
        <w:rPr>
          <w:lang w:val="en-US"/>
        </w:rPr>
        <w:t>s date of birth, we are able to establish the approximate date of conception. W</w:t>
      </w:r>
      <w:r w:rsidRPr="009D0EAE">
        <w:rPr>
          <w:lang w:val="en-US"/>
        </w:rPr>
        <w:t>e define the young woman</w:t>
      </w:r>
      <w:r w:rsidRPr="009D0EAE">
        <w:rPr>
          <w:lang w:val="fr-FR"/>
        </w:rPr>
        <w:t>’</w:t>
      </w:r>
      <w:r w:rsidRPr="009D0EAE">
        <w:t xml:space="preserve">s enrolment status at conception as either: </w:t>
      </w:r>
      <w:r w:rsidRPr="009D0EAE">
        <w:rPr>
          <w:lang w:val="en-US"/>
        </w:rPr>
        <w:t xml:space="preserve">(i) </w:t>
      </w:r>
      <w:r w:rsidR="00335AF4">
        <w:rPr>
          <w:lang w:val="en-US"/>
        </w:rPr>
        <w:t>e</w:t>
      </w:r>
      <w:r w:rsidRPr="009D0EAE">
        <w:rPr>
          <w:lang w:val="en-US"/>
        </w:rPr>
        <w:t xml:space="preserve">nrolled in a TPU governing school; (ii) </w:t>
      </w:r>
      <w:r w:rsidR="00673FB8">
        <w:rPr>
          <w:lang w:val="en-US"/>
        </w:rPr>
        <w:t>e</w:t>
      </w:r>
      <w:r w:rsidRPr="009D0EAE">
        <w:rPr>
          <w:lang w:val="en-US"/>
        </w:rPr>
        <w:t xml:space="preserve">nrolled in a non-TPU school; or </w:t>
      </w:r>
      <w:r w:rsidRPr="009D0EAE">
        <w:rPr>
          <w:lang w:val="de-DE"/>
        </w:rPr>
        <w:t xml:space="preserve">(iii) </w:t>
      </w:r>
      <w:r w:rsidR="00673FB8">
        <w:rPr>
          <w:lang w:val="de-DE"/>
        </w:rPr>
        <w:t>u</w:t>
      </w:r>
      <w:r w:rsidRPr="009D0EAE">
        <w:rPr>
          <w:lang w:val="de-DE"/>
        </w:rPr>
        <w:t>nenrolled</w:t>
      </w:r>
      <w:r w:rsidR="00673FB8">
        <w:rPr>
          <w:lang w:val="de-DE"/>
        </w:rPr>
        <w:t>.</w:t>
      </w:r>
      <w:r w:rsidR="00673FB8">
        <w:rPr>
          <w:lang w:val="en-US"/>
        </w:rPr>
        <w:t xml:space="preserve"> </w:t>
      </w:r>
    </w:p>
    <w:p w:rsidR="0051468F" w:rsidRDefault="0051468F" w:rsidP="009D0EAE">
      <w:pPr>
        <w:pStyle w:val="Body"/>
        <w:jc w:val="both"/>
        <w:rPr>
          <w:lang w:val="en-US"/>
        </w:rPr>
      </w:pPr>
      <w:r w:rsidRPr="00B12C8E">
        <w:rPr>
          <w:lang w:val="en-US"/>
        </w:rPr>
        <w:t xml:space="preserve">We find that some of our sample end a spell of enrolment in December at the end of the school year, and then re-enrol in February after the summer break (although this is not the case for the majority of young women who </w:t>
      </w:r>
      <w:r>
        <w:rPr>
          <w:lang w:val="en-US"/>
        </w:rPr>
        <w:t xml:space="preserve">are officially recorded as being </w:t>
      </w:r>
      <w:r w:rsidRPr="00B12C8E">
        <w:rPr>
          <w:lang w:val="en-US"/>
        </w:rPr>
        <w:t xml:space="preserve">enrolled through the summer break). In the case of these summer unenrolled sample members, if the young woman conceived during this summer period, we cannot know if she was intending to return to school. </w:t>
      </w:r>
      <w:r>
        <w:rPr>
          <w:lang w:val="en-US"/>
        </w:rPr>
        <w:t>In the descriptive tables below, we</w:t>
      </w:r>
      <w:r w:rsidRPr="00B12C8E">
        <w:rPr>
          <w:lang w:val="en-US"/>
        </w:rPr>
        <w:t xml:space="preserve"> consider her </w:t>
      </w:r>
      <w:r>
        <w:rPr>
          <w:lang w:val="en-US"/>
        </w:rPr>
        <w:t>un</w:t>
      </w:r>
      <w:r w:rsidRPr="00B12C8E">
        <w:rPr>
          <w:lang w:val="en-US"/>
        </w:rPr>
        <w:t xml:space="preserve">enrolled if she was </w:t>
      </w:r>
      <w:r>
        <w:rPr>
          <w:lang w:val="en-US"/>
        </w:rPr>
        <w:t>un</w:t>
      </w:r>
      <w:r w:rsidRPr="00B12C8E">
        <w:rPr>
          <w:lang w:val="en-US"/>
        </w:rPr>
        <w:t xml:space="preserve">enrolled </w:t>
      </w:r>
      <w:r>
        <w:rPr>
          <w:lang w:val="en-US"/>
        </w:rPr>
        <w:t>at</w:t>
      </w:r>
      <w:r w:rsidRPr="00B12C8E">
        <w:rPr>
          <w:lang w:val="en-US"/>
        </w:rPr>
        <w:t xml:space="preserve"> the start of the summer in which she conceived</w:t>
      </w:r>
      <w:r>
        <w:rPr>
          <w:lang w:val="en-US"/>
        </w:rPr>
        <w:t xml:space="preserve"> (i.e. we assume she would not have re-enrolled after the summer)</w:t>
      </w:r>
      <w:r w:rsidRPr="00B12C8E">
        <w:rPr>
          <w:lang w:val="en-US"/>
        </w:rPr>
        <w:t>.</w:t>
      </w:r>
      <w:r>
        <w:rPr>
          <w:lang w:val="en-US"/>
        </w:rPr>
        <w:t xml:space="preserve"> We test sensitivity to excluding women who conceived in the summer break.</w:t>
      </w:r>
    </w:p>
    <w:p w:rsidR="0051468F" w:rsidRPr="00D732A8" w:rsidRDefault="0051468F" w:rsidP="009D0EAE">
      <w:pPr>
        <w:pStyle w:val="Body"/>
        <w:spacing w:after="0"/>
        <w:jc w:val="both"/>
      </w:pPr>
      <w:r w:rsidRPr="009D0EAE">
        <w:rPr>
          <w:lang w:val="it-IT"/>
        </w:rPr>
        <w:t xml:space="preserve">We define enrolment status </w:t>
      </w:r>
      <w:r w:rsidRPr="009D0EAE">
        <w:rPr>
          <w:iCs/>
          <w:lang w:val="en-US"/>
        </w:rPr>
        <w:t xml:space="preserve">post-birth </w:t>
      </w:r>
      <w:r w:rsidR="00C43819" w:rsidRPr="009D0EAE">
        <w:rPr>
          <w:lang w:val="en-US"/>
        </w:rPr>
        <w:t>based on</w:t>
      </w:r>
      <w:r w:rsidRPr="009D0EAE">
        <w:rPr>
          <w:lang w:val="en-US"/>
        </w:rPr>
        <w:t xml:space="preserve"> a young woman</w:t>
      </w:r>
      <w:r w:rsidRPr="009D0EAE">
        <w:rPr>
          <w:lang w:val="fr-FR"/>
        </w:rPr>
        <w:t>’</w:t>
      </w:r>
      <w:r w:rsidRPr="009D0EAE">
        <w:rPr>
          <w:lang w:val="en-US"/>
        </w:rPr>
        <w:t>s schooling engagement after the birth of her baby and before</w:t>
      </w:r>
      <w:r w:rsidRPr="00B12C8E">
        <w:rPr>
          <w:lang w:val="en-US"/>
        </w:rPr>
        <w:t xml:space="preserve"> the </w:t>
      </w:r>
      <w:r>
        <w:rPr>
          <w:lang w:val="en-US"/>
        </w:rPr>
        <w:t xml:space="preserve">last date where we are able to observe her in the ENROL </w:t>
      </w:r>
      <w:r w:rsidRPr="00B12C8E">
        <w:rPr>
          <w:lang w:val="en-US"/>
        </w:rPr>
        <w:t>data (</w:t>
      </w:r>
      <w:r>
        <w:rPr>
          <w:lang w:val="en-US"/>
        </w:rPr>
        <w:t xml:space="preserve">April </w:t>
      </w:r>
      <w:r w:rsidRPr="00B12C8E">
        <w:rPr>
          <w:lang w:val="en-US"/>
        </w:rPr>
        <w:t xml:space="preserve"> 2014)</w:t>
      </w:r>
      <w:r w:rsidRPr="00B12C8E">
        <w:rPr>
          <w:i/>
          <w:iCs/>
        </w:rPr>
        <w:t xml:space="preserve">. </w:t>
      </w:r>
      <w:r w:rsidRPr="00B12C8E">
        <w:rPr>
          <w:lang w:val="en-US"/>
        </w:rPr>
        <w:t xml:space="preserve">A young woman’s post-birth </w:t>
      </w:r>
      <w:r w:rsidR="00335AF4">
        <w:rPr>
          <w:lang w:val="en-US"/>
        </w:rPr>
        <w:t xml:space="preserve">enrolment </w:t>
      </w:r>
      <w:r w:rsidRPr="00B12C8E">
        <w:rPr>
          <w:lang w:val="en-US"/>
        </w:rPr>
        <w:t>status</w:t>
      </w:r>
      <w:r>
        <w:rPr>
          <w:lang w:val="en-US"/>
        </w:rPr>
        <w:t xml:space="preserve"> can be </w:t>
      </w:r>
      <w:r w:rsidRPr="00B12C8E">
        <w:rPr>
          <w:lang w:val="en-US"/>
        </w:rPr>
        <w:t>defined as</w:t>
      </w:r>
      <w:r>
        <w:rPr>
          <w:lang w:val="en-US"/>
        </w:rPr>
        <w:t xml:space="preserve"> either</w:t>
      </w:r>
      <w:r w:rsidRPr="00B12C8E">
        <w:rPr>
          <w:lang w:val="en-US"/>
        </w:rPr>
        <w:t xml:space="preserve">: </w:t>
      </w:r>
      <w:r>
        <w:rPr>
          <w:lang w:val="en-US"/>
        </w:rPr>
        <w:t xml:space="preserve">(i) </w:t>
      </w:r>
      <w:r w:rsidR="00673FB8">
        <w:rPr>
          <w:lang w:val="en-US"/>
        </w:rPr>
        <w:t>e</w:t>
      </w:r>
      <w:r w:rsidRPr="00B12C8E">
        <w:rPr>
          <w:lang w:val="en-US"/>
        </w:rPr>
        <w:t xml:space="preserve">nrolled in a TPU </w:t>
      </w:r>
      <w:r>
        <w:rPr>
          <w:lang w:val="en-US"/>
        </w:rPr>
        <w:t>governing</w:t>
      </w:r>
      <w:r w:rsidRPr="00B12C8E">
        <w:rPr>
          <w:lang w:val="en-US"/>
        </w:rPr>
        <w:t xml:space="preserve"> school</w:t>
      </w:r>
      <w:r>
        <w:rPr>
          <w:lang w:val="en-US"/>
        </w:rPr>
        <w:t>;</w:t>
      </w:r>
      <w:r>
        <w:rPr>
          <w:rStyle w:val="FootnoteReference"/>
          <w:lang w:val="en-US"/>
        </w:rPr>
        <w:footnoteReference w:id="13"/>
      </w:r>
      <w:r>
        <w:rPr>
          <w:lang w:val="en-US"/>
        </w:rPr>
        <w:t xml:space="preserve"> (ii) </w:t>
      </w:r>
      <w:r w:rsidR="00673FB8">
        <w:rPr>
          <w:lang w:val="en-US"/>
        </w:rPr>
        <w:t>e</w:t>
      </w:r>
      <w:r w:rsidRPr="006452C0">
        <w:rPr>
          <w:lang w:val="en-US"/>
        </w:rPr>
        <w:t>nrolled in a non-TPU school</w:t>
      </w:r>
      <w:r>
        <w:rPr>
          <w:lang w:val="en-US"/>
        </w:rPr>
        <w:t xml:space="preserve">; or (iii) </w:t>
      </w:r>
      <w:r w:rsidR="00673FB8">
        <w:rPr>
          <w:lang w:val="en-US"/>
        </w:rPr>
        <w:t>u</w:t>
      </w:r>
      <w:r w:rsidRPr="00B12C8E">
        <w:rPr>
          <w:lang w:val="en-US"/>
        </w:rPr>
        <w:t xml:space="preserve">nenrolled. We prioritise TPU </w:t>
      </w:r>
      <w:r>
        <w:rPr>
          <w:lang w:val="en-US"/>
        </w:rPr>
        <w:t xml:space="preserve">governing </w:t>
      </w:r>
      <w:r w:rsidRPr="00B12C8E">
        <w:rPr>
          <w:lang w:val="en-US"/>
        </w:rPr>
        <w:t xml:space="preserve">school enrolment so that a young woman who has at </w:t>
      </w:r>
      <w:r w:rsidR="00293389">
        <w:rPr>
          <w:lang w:val="en-US"/>
        </w:rPr>
        <w:t>any</w:t>
      </w:r>
      <w:r w:rsidRPr="00B12C8E">
        <w:rPr>
          <w:lang w:val="en-US"/>
        </w:rPr>
        <w:t xml:space="preserve"> point enrolled in a TPU </w:t>
      </w:r>
      <w:r>
        <w:rPr>
          <w:lang w:val="en-US"/>
        </w:rPr>
        <w:t>governing</w:t>
      </w:r>
      <w:r w:rsidRPr="00B12C8E">
        <w:rPr>
          <w:lang w:val="en-US"/>
        </w:rPr>
        <w:t xml:space="preserve"> school </w:t>
      </w:r>
      <w:r w:rsidR="00293389">
        <w:rPr>
          <w:lang w:val="en-US"/>
        </w:rPr>
        <w:t>post-</w:t>
      </w:r>
      <w:r w:rsidRPr="00B12C8E">
        <w:rPr>
          <w:lang w:val="en-US"/>
        </w:rPr>
        <w:t>birth is classified</w:t>
      </w:r>
      <w:r w:rsidR="00293389" w:rsidRPr="00293389">
        <w:rPr>
          <w:lang w:val="en-US"/>
        </w:rPr>
        <w:t xml:space="preserve"> </w:t>
      </w:r>
      <w:r w:rsidR="00293389">
        <w:rPr>
          <w:lang w:val="en-US"/>
        </w:rPr>
        <w:t>as e</w:t>
      </w:r>
      <w:r w:rsidR="00293389" w:rsidRPr="00B12C8E">
        <w:rPr>
          <w:lang w:val="en-US"/>
        </w:rPr>
        <w:t xml:space="preserve">nrolled in a TPU </w:t>
      </w:r>
      <w:r w:rsidR="00293389">
        <w:rPr>
          <w:lang w:val="en-US"/>
        </w:rPr>
        <w:t>governing</w:t>
      </w:r>
      <w:r w:rsidR="00293389" w:rsidRPr="00B12C8E">
        <w:rPr>
          <w:lang w:val="en-US"/>
        </w:rPr>
        <w:t xml:space="preserve"> school</w:t>
      </w:r>
      <w:r w:rsidRPr="00B12C8E">
        <w:rPr>
          <w:lang w:val="en-US"/>
        </w:rPr>
        <w:t xml:space="preserve">. If she enrols after birth but never enrolled in a TPU </w:t>
      </w:r>
      <w:r>
        <w:rPr>
          <w:lang w:val="en-US"/>
        </w:rPr>
        <w:t>governing</w:t>
      </w:r>
      <w:r w:rsidRPr="00B12C8E">
        <w:rPr>
          <w:lang w:val="en-US"/>
        </w:rPr>
        <w:t xml:space="preserve"> school, we classify her as enrolled in a non-TPU school. </w:t>
      </w:r>
      <w:r>
        <w:rPr>
          <w:rFonts w:cs="Times New Roman"/>
          <w:color w:val="auto"/>
          <w:szCs w:val="24"/>
          <w:lang w:val="en-US" w:eastAsia="en-US"/>
        </w:rPr>
        <w:fldChar w:fldCharType="begin"/>
      </w:r>
      <w:r>
        <w:instrText xml:space="preserve"> REF _Ref453222208 \h </w:instrText>
      </w:r>
      <w:r>
        <w:rPr>
          <w:rFonts w:cs="Times New Roman"/>
          <w:color w:val="auto"/>
          <w:szCs w:val="24"/>
          <w:lang w:val="en-US" w:eastAsia="en-US"/>
        </w:rPr>
      </w:r>
      <w:r>
        <w:rPr>
          <w:rFonts w:cs="Times New Roman"/>
          <w:color w:val="auto"/>
          <w:szCs w:val="24"/>
          <w:lang w:val="en-US" w:eastAsia="en-US"/>
        </w:rPr>
        <w:fldChar w:fldCharType="separate"/>
      </w:r>
    </w:p>
    <w:p w:rsidR="0051468F" w:rsidRDefault="0051468F" w:rsidP="00F44D56">
      <w:pPr>
        <w:pStyle w:val="Body"/>
        <w:jc w:val="both"/>
        <w:rPr>
          <w:lang w:val="en-US"/>
        </w:rPr>
      </w:pPr>
      <w:r>
        <w:t xml:space="preserve">Table </w:t>
      </w:r>
      <w:r>
        <w:rPr>
          <w:noProof/>
        </w:rPr>
        <w:t>4</w:t>
      </w:r>
      <w:r>
        <w:fldChar w:fldCharType="end"/>
      </w:r>
      <w:r>
        <w:rPr>
          <w:lang w:val="en-US"/>
        </w:rPr>
        <w:t xml:space="preserve"> </w:t>
      </w:r>
      <w:r w:rsidRPr="00B12C8E">
        <w:rPr>
          <w:lang w:val="en-US"/>
        </w:rPr>
        <w:t xml:space="preserve">describes the </w:t>
      </w:r>
      <w:r w:rsidR="00AB020A">
        <w:rPr>
          <w:lang w:val="en-US"/>
        </w:rPr>
        <w:t xml:space="preserve">enrolment </w:t>
      </w:r>
      <w:r>
        <w:rPr>
          <w:lang w:val="en-US"/>
        </w:rPr>
        <w:t xml:space="preserve">status of teen </w:t>
      </w:r>
      <w:r w:rsidRPr="00B12C8E">
        <w:rPr>
          <w:lang w:val="en-US"/>
        </w:rPr>
        <w:t>mothers</w:t>
      </w:r>
      <w:r>
        <w:rPr>
          <w:lang w:val="en-US"/>
        </w:rPr>
        <w:t xml:space="preserve"> </w:t>
      </w:r>
      <w:r w:rsidR="00AB020A">
        <w:rPr>
          <w:lang w:val="en-US"/>
        </w:rPr>
        <w:t xml:space="preserve">at conception </w:t>
      </w:r>
      <w:r>
        <w:rPr>
          <w:lang w:val="en-US"/>
        </w:rPr>
        <w:t xml:space="preserve">including and excluding those who conceived in the summer periods. We also calculate this statistic for young women who conceived in 2008 or later. This is to address the concerns about data censoring </w:t>
      </w:r>
      <w:r w:rsidRPr="00B12C8E">
        <w:t>–</w:t>
      </w:r>
      <w:r>
        <w:rPr>
          <w:lang w:val="en-US"/>
        </w:rPr>
        <w:t xml:space="preserve"> data on enrolment status </w:t>
      </w:r>
      <w:r w:rsidR="00AB020A">
        <w:rPr>
          <w:lang w:val="en-US"/>
        </w:rPr>
        <w:t xml:space="preserve">at conception </w:t>
      </w:r>
      <w:r>
        <w:rPr>
          <w:lang w:val="en-US"/>
        </w:rPr>
        <w:t>for those who conceived in 2006 and 2007 might be patchy due to ENROL data not being comprehensive until the end of 2007.</w:t>
      </w:r>
      <w:r w:rsidRPr="00B12C8E">
        <w:rPr>
          <w:lang w:val="en-US"/>
        </w:rPr>
        <w:t xml:space="preserve"> </w:t>
      </w:r>
      <w:r>
        <w:rPr>
          <w:lang w:val="en-US"/>
        </w:rPr>
        <w:t xml:space="preserve"> </w:t>
      </w:r>
    </w:p>
    <w:p w:rsidR="00F44D56" w:rsidRDefault="00F44D56" w:rsidP="00F44D56">
      <w:pPr>
        <w:pStyle w:val="Caption"/>
        <w:spacing w:before="0" w:after="120"/>
        <w:rPr>
          <w:rFonts w:eastAsia="Times New Roman"/>
          <w:sz w:val="22"/>
          <w:szCs w:val="22"/>
          <w:lang w:eastAsia="en-NZ"/>
        </w:rPr>
      </w:pPr>
      <w:bookmarkStart w:id="17" w:name="_Toc462736176"/>
      <w:bookmarkStart w:id="18" w:name="_Toc475430716"/>
      <w:r>
        <w:t xml:space="preserve">Table </w:t>
      </w:r>
      <w:r>
        <w:fldChar w:fldCharType="begin"/>
      </w:r>
      <w:r>
        <w:instrText xml:space="preserve"> SEQ Table \* ARABIC </w:instrText>
      </w:r>
      <w:r>
        <w:fldChar w:fldCharType="separate"/>
      </w:r>
      <w:r>
        <w:rPr>
          <w:noProof/>
        </w:rPr>
        <w:t>4</w:t>
      </w:r>
      <w:r>
        <w:fldChar w:fldCharType="end"/>
      </w:r>
      <w:r>
        <w:t>:</w:t>
      </w:r>
      <w:r w:rsidRPr="007E2F46">
        <w:rPr>
          <w:rFonts w:cs="Times New Roman"/>
          <w:b w:val="0"/>
          <w:bCs w:val="0"/>
          <w:color w:val="auto"/>
          <w:szCs w:val="24"/>
          <w:lang w:eastAsia="en-US"/>
        </w:rPr>
        <w:t xml:space="preserve"> </w:t>
      </w:r>
      <w:r w:rsidRPr="004F4C26">
        <w:rPr>
          <w:rFonts w:cs="Times New Roman"/>
          <w:bCs w:val="0"/>
          <w:color w:val="auto"/>
          <w:szCs w:val="24"/>
          <w:lang w:eastAsia="en-US"/>
        </w:rPr>
        <w:t xml:space="preserve">Proportion </w:t>
      </w:r>
      <w:r>
        <w:rPr>
          <w:rFonts w:cs="Times New Roman"/>
          <w:bCs w:val="0"/>
          <w:color w:val="auto"/>
          <w:szCs w:val="24"/>
          <w:lang w:eastAsia="en-US"/>
        </w:rPr>
        <w:t xml:space="preserve">of </w:t>
      </w:r>
      <w:r w:rsidRPr="007E2F46">
        <w:t>teen mothers</w:t>
      </w:r>
      <w:r w:rsidRPr="004F4C26">
        <w:rPr>
          <w:rFonts w:cs="Times New Roman"/>
          <w:bCs w:val="0"/>
          <w:color w:val="auto"/>
          <w:szCs w:val="24"/>
          <w:lang w:eastAsia="en-US"/>
        </w:rPr>
        <w:t xml:space="preserve"> enrolled </w:t>
      </w:r>
      <w:r>
        <w:rPr>
          <w:rFonts w:cs="Times New Roman"/>
          <w:bCs w:val="0"/>
          <w:color w:val="auto"/>
          <w:szCs w:val="24"/>
          <w:lang w:eastAsia="en-US"/>
        </w:rPr>
        <w:t xml:space="preserve">in school </w:t>
      </w:r>
      <w:r w:rsidRPr="004F4C26">
        <w:rPr>
          <w:rFonts w:cs="Times New Roman"/>
          <w:bCs w:val="0"/>
          <w:color w:val="auto"/>
          <w:szCs w:val="24"/>
          <w:lang w:eastAsia="en-US"/>
        </w:rPr>
        <w:t>at</w:t>
      </w:r>
      <w:r>
        <w:rPr>
          <w:rFonts w:cs="Times New Roman"/>
          <w:b w:val="0"/>
          <w:bCs w:val="0"/>
          <w:color w:val="auto"/>
          <w:szCs w:val="24"/>
          <w:lang w:eastAsia="en-US"/>
        </w:rPr>
        <w:t xml:space="preserve"> </w:t>
      </w:r>
      <w:r w:rsidRPr="007E2F46">
        <w:t>conception by age at first birth</w:t>
      </w:r>
      <w:bookmarkEnd w:id="17"/>
      <w:bookmarkEnd w:id="18"/>
    </w:p>
    <w:tbl>
      <w:tblPr>
        <w:tblW w:w="8495" w:type="dxa"/>
        <w:tblBorders>
          <w:top w:val="single" w:sz="4" w:space="0" w:color="000000"/>
          <w:bottom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348"/>
        <w:gridCol w:w="1226"/>
        <w:gridCol w:w="838"/>
        <w:gridCol w:w="976"/>
        <w:gridCol w:w="946"/>
        <w:gridCol w:w="1096"/>
        <w:gridCol w:w="1065"/>
      </w:tblGrid>
      <w:tr w:rsidR="00F44D56" w:rsidRPr="000076CD" w:rsidTr="00A60DC6">
        <w:trPr>
          <w:trHeight w:val="921"/>
        </w:trPr>
        <w:tc>
          <w:tcPr>
            <w:tcW w:w="2348" w:type="dxa"/>
            <w:vMerge w:val="restart"/>
            <w:shd w:val="clear" w:color="auto" w:fill="auto"/>
            <w:tcMar>
              <w:top w:w="15" w:type="dxa"/>
              <w:left w:w="108" w:type="dxa"/>
              <w:bottom w:w="0" w:type="dxa"/>
              <w:right w:w="108" w:type="dxa"/>
            </w:tcMar>
            <w:vAlign w:val="bottom"/>
            <w:hideMark/>
          </w:tcPr>
          <w:p w:rsidR="00F44D56" w:rsidRPr="000076CD" w:rsidRDefault="00F44D56" w:rsidP="00A60DC6">
            <w:pPr>
              <w:spacing w:before="120"/>
              <w:jc w:val="center"/>
              <w:rPr>
                <w:sz w:val="20"/>
                <w:szCs w:val="20"/>
                <w:lang w:val="en-NZ"/>
              </w:rPr>
            </w:pPr>
            <w:r w:rsidRPr="000076CD">
              <w:rPr>
                <w:sz w:val="20"/>
                <w:szCs w:val="20"/>
                <w:lang w:val="en-NZ"/>
              </w:rPr>
              <w:t>Mother’s age at first birth</w:t>
            </w:r>
          </w:p>
        </w:tc>
        <w:tc>
          <w:tcPr>
            <w:tcW w:w="2064" w:type="dxa"/>
            <w:gridSpan w:val="2"/>
            <w:shd w:val="clear" w:color="auto" w:fill="auto"/>
            <w:tcMar>
              <w:top w:w="15" w:type="dxa"/>
              <w:left w:w="28" w:type="dxa"/>
              <w:bottom w:w="57" w:type="dxa"/>
              <w:right w:w="28" w:type="dxa"/>
            </w:tcMar>
            <w:vAlign w:val="bottom"/>
            <w:hideMark/>
          </w:tcPr>
          <w:p w:rsidR="00F44D56" w:rsidRPr="000076CD" w:rsidRDefault="00F44D56" w:rsidP="00A60DC6">
            <w:pPr>
              <w:spacing w:before="120"/>
              <w:jc w:val="center"/>
              <w:rPr>
                <w:sz w:val="20"/>
                <w:szCs w:val="20"/>
                <w:lang w:val="en-NZ"/>
              </w:rPr>
            </w:pPr>
            <w:r>
              <w:rPr>
                <w:sz w:val="20"/>
                <w:szCs w:val="20"/>
                <w:lang w:val="en-NZ"/>
              </w:rPr>
              <w:t>All teen mothers</w:t>
            </w:r>
          </w:p>
        </w:tc>
        <w:tc>
          <w:tcPr>
            <w:tcW w:w="1922" w:type="dxa"/>
            <w:gridSpan w:val="2"/>
            <w:tcMar>
              <w:left w:w="28" w:type="dxa"/>
              <w:bottom w:w="57" w:type="dxa"/>
              <w:right w:w="28" w:type="dxa"/>
            </w:tcMar>
            <w:vAlign w:val="bottom"/>
          </w:tcPr>
          <w:p w:rsidR="00F44D56" w:rsidRPr="000076CD" w:rsidRDefault="00F44D56" w:rsidP="00673FB8">
            <w:pPr>
              <w:spacing w:before="120"/>
              <w:jc w:val="center"/>
              <w:rPr>
                <w:sz w:val="20"/>
                <w:szCs w:val="20"/>
                <w:lang w:val="en-NZ"/>
              </w:rPr>
            </w:pPr>
            <w:r>
              <w:rPr>
                <w:sz w:val="20"/>
                <w:szCs w:val="20"/>
                <w:lang w:val="en-NZ"/>
              </w:rPr>
              <w:t>Excluding mothers with summer conception date</w:t>
            </w:r>
          </w:p>
        </w:tc>
        <w:tc>
          <w:tcPr>
            <w:tcW w:w="2161" w:type="dxa"/>
            <w:gridSpan w:val="2"/>
            <w:tcMar>
              <w:left w:w="28" w:type="dxa"/>
              <w:bottom w:w="57" w:type="dxa"/>
              <w:right w:w="28" w:type="dxa"/>
            </w:tcMar>
            <w:vAlign w:val="bottom"/>
          </w:tcPr>
          <w:p w:rsidR="00F44D56" w:rsidRPr="000076CD" w:rsidRDefault="00F44D56" w:rsidP="00A60DC6">
            <w:pPr>
              <w:spacing w:before="120"/>
              <w:jc w:val="center"/>
              <w:rPr>
                <w:sz w:val="20"/>
                <w:szCs w:val="20"/>
                <w:lang w:val="en-NZ"/>
              </w:rPr>
            </w:pPr>
            <w:r>
              <w:rPr>
                <w:sz w:val="20"/>
                <w:szCs w:val="20"/>
                <w:lang w:val="en-NZ"/>
              </w:rPr>
              <w:t xml:space="preserve">Conceived </w:t>
            </w:r>
            <w:r w:rsidRPr="004F4C26">
              <w:rPr>
                <w:sz w:val="20"/>
                <w:szCs w:val="20"/>
                <w:lang w:val="en-NZ"/>
              </w:rPr>
              <w:t>in 2008 or later and excluding mothers with summer conception date</w:t>
            </w:r>
          </w:p>
        </w:tc>
      </w:tr>
      <w:tr w:rsidR="00F44D56" w:rsidRPr="000076CD" w:rsidTr="00A60DC6">
        <w:trPr>
          <w:trHeight w:val="439"/>
        </w:trPr>
        <w:tc>
          <w:tcPr>
            <w:tcW w:w="0" w:type="auto"/>
            <w:vMerge/>
            <w:hideMark/>
          </w:tcPr>
          <w:p w:rsidR="00F44D56" w:rsidRPr="000076CD" w:rsidRDefault="00F44D56" w:rsidP="00A60DC6">
            <w:pPr>
              <w:spacing w:before="120"/>
              <w:jc w:val="center"/>
              <w:rPr>
                <w:sz w:val="20"/>
                <w:szCs w:val="20"/>
                <w:lang w:val="en-NZ"/>
              </w:rPr>
            </w:pPr>
          </w:p>
        </w:tc>
        <w:tc>
          <w:tcPr>
            <w:tcW w:w="1226" w:type="dxa"/>
            <w:shd w:val="clear" w:color="auto" w:fill="auto"/>
            <w:tcMar>
              <w:top w:w="15" w:type="dxa"/>
              <w:left w:w="108" w:type="dxa"/>
              <w:bottom w:w="0" w:type="dxa"/>
              <w:right w:w="108" w:type="dxa"/>
            </w:tcMar>
            <w:hideMark/>
          </w:tcPr>
          <w:p w:rsidR="00F44D56" w:rsidRPr="000076CD" w:rsidRDefault="00F44D56" w:rsidP="00A60DC6">
            <w:pPr>
              <w:spacing w:before="120"/>
              <w:jc w:val="center"/>
              <w:rPr>
                <w:sz w:val="20"/>
                <w:szCs w:val="20"/>
                <w:lang w:val="en-NZ"/>
              </w:rPr>
            </w:pPr>
            <w:r>
              <w:rPr>
                <w:sz w:val="20"/>
                <w:szCs w:val="20"/>
                <w:lang w:val="en-NZ"/>
              </w:rPr>
              <w:t>% enrolled at conception</w:t>
            </w:r>
          </w:p>
        </w:tc>
        <w:tc>
          <w:tcPr>
            <w:tcW w:w="838" w:type="dxa"/>
            <w:shd w:val="clear" w:color="auto" w:fill="auto"/>
            <w:tcMar>
              <w:top w:w="15" w:type="dxa"/>
              <w:left w:w="108" w:type="dxa"/>
              <w:bottom w:w="0" w:type="dxa"/>
              <w:right w:w="108" w:type="dxa"/>
            </w:tcMar>
            <w:hideMark/>
          </w:tcPr>
          <w:p w:rsidR="00F44D56" w:rsidRPr="00EE2772" w:rsidRDefault="00F44D56" w:rsidP="00A60DC6">
            <w:pPr>
              <w:spacing w:before="120"/>
              <w:jc w:val="center"/>
              <w:rPr>
                <w:i/>
                <w:sz w:val="20"/>
                <w:szCs w:val="20"/>
                <w:lang w:val="en-NZ"/>
              </w:rPr>
            </w:pPr>
            <w:r w:rsidRPr="00EE2772">
              <w:rPr>
                <w:i/>
                <w:sz w:val="20"/>
                <w:szCs w:val="20"/>
                <w:lang w:val="en-NZ"/>
              </w:rPr>
              <w:t>n</w:t>
            </w:r>
          </w:p>
        </w:tc>
        <w:tc>
          <w:tcPr>
            <w:tcW w:w="976" w:type="dxa"/>
          </w:tcPr>
          <w:p w:rsidR="00F44D56" w:rsidRPr="000076CD" w:rsidRDefault="00F44D56" w:rsidP="00A60DC6">
            <w:pPr>
              <w:spacing w:before="120"/>
              <w:jc w:val="center"/>
              <w:rPr>
                <w:sz w:val="20"/>
                <w:szCs w:val="20"/>
                <w:lang w:val="en-NZ"/>
              </w:rPr>
            </w:pPr>
            <w:r>
              <w:rPr>
                <w:sz w:val="20"/>
                <w:szCs w:val="20"/>
                <w:lang w:val="en-NZ"/>
              </w:rPr>
              <w:t>% enrolled at conception</w:t>
            </w:r>
          </w:p>
        </w:tc>
        <w:tc>
          <w:tcPr>
            <w:tcW w:w="946" w:type="dxa"/>
          </w:tcPr>
          <w:p w:rsidR="00F44D56" w:rsidRPr="00EE2772" w:rsidRDefault="00F44D56" w:rsidP="00A60DC6">
            <w:pPr>
              <w:spacing w:before="120"/>
              <w:jc w:val="center"/>
              <w:rPr>
                <w:i/>
                <w:sz w:val="20"/>
                <w:szCs w:val="20"/>
                <w:lang w:val="en-NZ"/>
              </w:rPr>
            </w:pPr>
            <w:r w:rsidRPr="00EE2772">
              <w:rPr>
                <w:i/>
                <w:sz w:val="20"/>
                <w:szCs w:val="20"/>
                <w:lang w:val="en-NZ"/>
              </w:rPr>
              <w:t>n</w:t>
            </w:r>
          </w:p>
        </w:tc>
        <w:tc>
          <w:tcPr>
            <w:tcW w:w="1096" w:type="dxa"/>
          </w:tcPr>
          <w:p w:rsidR="00F44D56" w:rsidRPr="000076CD" w:rsidRDefault="00F44D56" w:rsidP="00A60DC6">
            <w:pPr>
              <w:spacing w:before="120"/>
              <w:jc w:val="center"/>
              <w:rPr>
                <w:sz w:val="20"/>
                <w:szCs w:val="20"/>
                <w:lang w:val="en-NZ"/>
              </w:rPr>
            </w:pPr>
            <w:r>
              <w:rPr>
                <w:sz w:val="20"/>
                <w:szCs w:val="20"/>
                <w:lang w:val="en-NZ"/>
              </w:rPr>
              <w:t>% enrolled  at  conception</w:t>
            </w:r>
          </w:p>
        </w:tc>
        <w:tc>
          <w:tcPr>
            <w:tcW w:w="1065" w:type="dxa"/>
          </w:tcPr>
          <w:p w:rsidR="00F44D56" w:rsidRPr="00EE2772" w:rsidRDefault="00F44D56" w:rsidP="00A60DC6">
            <w:pPr>
              <w:spacing w:before="120"/>
              <w:jc w:val="center"/>
              <w:rPr>
                <w:i/>
                <w:sz w:val="20"/>
                <w:szCs w:val="20"/>
                <w:lang w:val="en-NZ"/>
              </w:rPr>
            </w:pPr>
            <w:r w:rsidRPr="00EE2772">
              <w:rPr>
                <w:i/>
                <w:sz w:val="20"/>
                <w:szCs w:val="20"/>
                <w:lang w:val="en-NZ"/>
              </w:rPr>
              <w:t>n</w:t>
            </w:r>
          </w:p>
        </w:tc>
      </w:tr>
      <w:tr w:rsidR="00F44D56" w:rsidRPr="000076CD" w:rsidTr="00A60DC6">
        <w:trPr>
          <w:trHeight w:val="380"/>
        </w:trPr>
        <w:tc>
          <w:tcPr>
            <w:tcW w:w="2348" w:type="dxa"/>
            <w:shd w:val="clear" w:color="auto" w:fill="auto"/>
            <w:tcMar>
              <w:top w:w="15" w:type="dxa"/>
              <w:left w:w="108" w:type="dxa"/>
              <w:bottom w:w="0" w:type="dxa"/>
              <w:right w:w="108" w:type="dxa"/>
            </w:tcMar>
            <w:hideMark/>
          </w:tcPr>
          <w:p w:rsidR="00F44D56" w:rsidRPr="000076CD" w:rsidRDefault="00F44D56" w:rsidP="00A60DC6">
            <w:pPr>
              <w:spacing w:before="120"/>
              <w:jc w:val="center"/>
              <w:rPr>
                <w:sz w:val="20"/>
                <w:szCs w:val="20"/>
                <w:lang w:val="en-NZ"/>
              </w:rPr>
            </w:pPr>
            <w:r w:rsidRPr="000076CD">
              <w:rPr>
                <w:sz w:val="20"/>
                <w:szCs w:val="20"/>
                <w:lang w:val="en-NZ"/>
              </w:rPr>
              <w:t>13</w:t>
            </w:r>
          </w:p>
        </w:tc>
        <w:tc>
          <w:tcPr>
            <w:tcW w:w="2064" w:type="dxa"/>
            <w:gridSpan w:val="2"/>
            <w:shd w:val="clear" w:color="auto" w:fill="auto"/>
            <w:tcMar>
              <w:top w:w="15" w:type="dxa"/>
              <w:left w:w="108" w:type="dxa"/>
              <w:bottom w:w="0" w:type="dxa"/>
              <w:right w:w="108" w:type="dxa"/>
            </w:tcMar>
            <w:hideMark/>
          </w:tcPr>
          <w:p w:rsidR="00F44D56" w:rsidRPr="000076CD" w:rsidRDefault="00F44D56" w:rsidP="00A60DC6">
            <w:pPr>
              <w:spacing w:before="120"/>
              <w:jc w:val="center"/>
              <w:rPr>
                <w:sz w:val="20"/>
                <w:szCs w:val="20"/>
                <w:lang w:val="en-NZ"/>
              </w:rPr>
            </w:pPr>
            <w:r w:rsidRPr="000076CD">
              <w:rPr>
                <w:sz w:val="20"/>
                <w:szCs w:val="20"/>
                <w:lang w:val="en-NZ"/>
              </w:rPr>
              <w:t>Too few for display</w:t>
            </w:r>
          </w:p>
        </w:tc>
        <w:tc>
          <w:tcPr>
            <w:tcW w:w="1922" w:type="dxa"/>
            <w:gridSpan w:val="2"/>
          </w:tcPr>
          <w:p w:rsidR="00F44D56" w:rsidRPr="000076CD" w:rsidRDefault="00F44D56" w:rsidP="00A60DC6">
            <w:pPr>
              <w:spacing w:before="120"/>
              <w:jc w:val="center"/>
              <w:rPr>
                <w:sz w:val="20"/>
                <w:szCs w:val="20"/>
                <w:lang w:val="en-NZ"/>
              </w:rPr>
            </w:pPr>
            <w:r w:rsidRPr="000076CD">
              <w:rPr>
                <w:sz w:val="20"/>
                <w:szCs w:val="20"/>
                <w:lang w:val="en-NZ"/>
              </w:rPr>
              <w:t>Too few for display</w:t>
            </w:r>
          </w:p>
        </w:tc>
        <w:tc>
          <w:tcPr>
            <w:tcW w:w="2161" w:type="dxa"/>
            <w:gridSpan w:val="2"/>
          </w:tcPr>
          <w:p w:rsidR="00F44D56" w:rsidRPr="000076CD" w:rsidRDefault="00F44D56" w:rsidP="00A60DC6">
            <w:pPr>
              <w:spacing w:before="120"/>
              <w:jc w:val="center"/>
              <w:rPr>
                <w:sz w:val="20"/>
                <w:szCs w:val="20"/>
                <w:lang w:val="en-NZ"/>
              </w:rPr>
            </w:pPr>
            <w:r w:rsidRPr="000076CD">
              <w:rPr>
                <w:sz w:val="20"/>
                <w:szCs w:val="20"/>
                <w:lang w:val="en-NZ"/>
              </w:rPr>
              <w:t>Too few for display</w:t>
            </w:r>
          </w:p>
        </w:tc>
      </w:tr>
      <w:tr w:rsidR="00F44D56" w:rsidRPr="000076CD" w:rsidTr="00A60DC6">
        <w:trPr>
          <w:trHeight w:val="381"/>
        </w:trPr>
        <w:tc>
          <w:tcPr>
            <w:tcW w:w="2348" w:type="dxa"/>
            <w:shd w:val="clear" w:color="auto" w:fill="auto"/>
            <w:tcMar>
              <w:top w:w="15" w:type="dxa"/>
              <w:left w:w="108" w:type="dxa"/>
              <w:bottom w:w="0" w:type="dxa"/>
              <w:right w:w="108" w:type="dxa"/>
            </w:tcMar>
            <w:hideMark/>
          </w:tcPr>
          <w:p w:rsidR="00F44D56" w:rsidRPr="00BC57D4" w:rsidRDefault="00F44D56" w:rsidP="00A60DC6">
            <w:pPr>
              <w:spacing w:before="120"/>
              <w:jc w:val="center"/>
              <w:rPr>
                <w:sz w:val="20"/>
                <w:szCs w:val="20"/>
                <w:lang w:val="en-NZ"/>
              </w:rPr>
            </w:pPr>
            <w:r w:rsidRPr="00BC57D4">
              <w:rPr>
                <w:sz w:val="20"/>
                <w:szCs w:val="20"/>
                <w:lang w:val="en-NZ"/>
              </w:rPr>
              <w:t>14</w:t>
            </w:r>
          </w:p>
        </w:tc>
        <w:tc>
          <w:tcPr>
            <w:tcW w:w="1226" w:type="dxa"/>
            <w:shd w:val="clear" w:color="auto" w:fill="auto"/>
            <w:tcMar>
              <w:top w:w="15" w:type="dxa"/>
              <w:left w:w="108" w:type="dxa"/>
              <w:bottom w:w="0" w:type="dxa"/>
              <w:right w:w="108" w:type="dxa"/>
            </w:tcMar>
            <w:hideMark/>
          </w:tcPr>
          <w:p w:rsidR="00F44D56" w:rsidRPr="008D7FC1" w:rsidRDefault="00F44D56" w:rsidP="00A60DC6">
            <w:pPr>
              <w:spacing w:before="120"/>
              <w:jc w:val="center"/>
              <w:rPr>
                <w:sz w:val="20"/>
                <w:szCs w:val="20"/>
                <w:lang w:val="en-NZ"/>
              </w:rPr>
            </w:pPr>
            <w:r w:rsidRPr="008D7FC1">
              <w:rPr>
                <w:sz w:val="20"/>
                <w:szCs w:val="20"/>
                <w:lang w:val="en-NZ"/>
              </w:rPr>
              <w:t>59</w:t>
            </w:r>
            <w:r>
              <w:rPr>
                <w:sz w:val="20"/>
                <w:szCs w:val="20"/>
                <w:lang w:val="en-NZ"/>
              </w:rPr>
              <w:t>%</w:t>
            </w:r>
          </w:p>
        </w:tc>
        <w:tc>
          <w:tcPr>
            <w:tcW w:w="838" w:type="dxa"/>
            <w:shd w:val="clear" w:color="auto" w:fill="auto"/>
            <w:tcMar>
              <w:top w:w="15" w:type="dxa"/>
              <w:left w:w="108" w:type="dxa"/>
              <w:bottom w:w="0" w:type="dxa"/>
              <w:right w:w="108" w:type="dxa"/>
            </w:tcMar>
            <w:hideMark/>
          </w:tcPr>
          <w:p w:rsidR="00F44D56" w:rsidRPr="00B12A6A" w:rsidRDefault="00F44D56" w:rsidP="00A60DC6">
            <w:pPr>
              <w:spacing w:before="120"/>
              <w:jc w:val="center"/>
              <w:rPr>
                <w:sz w:val="20"/>
                <w:szCs w:val="20"/>
                <w:lang w:val="en-NZ"/>
              </w:rPr>
            </w:pPr>
            <w:r w:rsidRPr="00B12A6A">
              <w:rPr>
                <w:sz w:val="20"/>
                <w:szCs w:val="20"/>
                <w:lang w:val="en-NZ"/>
              </w:rPr>
              <w:t>111</w:t>
            </w:r>
          </w:p>
        </w:tc>
        <w:tc>
          <w:tcPr>
            <w:tcW w:w="976" w:type="dxa"/>
          </w:tcPr>
          <w:p w:rsidR="00F44D56" w:rsidRPr="00BC57D4" w:rsidRDefault="00F44D56" w:rsidP="00A60DC6">
            <w:pPr>
              <w:spacing w:before="120"/>
              <w:jc w:val="center"/>
              <w:rPr>
                <w:sz w:val="20"/>
                <w:szCs w:val="20"/>
                <w:lang w:val="en-NZ"/>
              </w:rPr>
            </w:pPr>
            <w:r w:rsidRPr="00BC57D4">
              <w:rPr>
                <w:sz w:val="20"/>
                <w:szCs w:val="20"/>
                <w:lang w:val="en-NZ"/>
              </w:rPr>
              <w:t>68</w:t>
            </w:r>
            <w:r>
              <w:rPr>
                <w:sz w:val="20"/>
                <w:szCs w:val="20"/>
                <w:lang w:val="en-NZ"/>
              </w:rPr>
              <w:t>%</w:t>
            </w:r>
          </w:p>
        </w:tc>
        <w:tc>
          <w:tcPr>
            <w:tcW w:w="946" w:type="dxa"/>
          </w:tcPr>
          <w:p w:rsidR="00F44D56" w:rsidRPr="00BC57D4" w:rsidRDefault="00F44D56" w:rsidP="00A60DC6">
            <w:pPr>
              <w:spacing w:before="120"/>
              <w:jc w:val="center"/>
              <w:rPr>
                <w:sz w:val="20"/>
                <w:szCs w:val="20"/>
                <w:lang w:val="en-NZ"/>
              </w:rPr>
            </w:pPr>
            <w:r w:rsidRPr="00BC57D4">
              <w:rPr>
                <w:sz w:val="20"/>
                <w:szCs w:val="20"/>
                <w:lang w:val="en-NZ"/>
              </w:rPr>
              <w:t>99</w:t>
            </w:r>
          </w:p>
        </w:tc>
        <w:tc>
          <w:tcPr>
            <w:tcW w:w="2161" w:type="dxa"/>
            <w:gridSpan w:val="2"/>
          </w:tcPr>
          <w:p w:rsidR="00F44D56" w:rsidRPr="00BC57D4" w:rsidRDefault="00F44D56" w:rsidP="00A60DC6">
            <w:pPr>
              <w:spacing w:before="120"/>
              <w:jc w:val="center"/>
              <w:rPr>
                <w:sz w:val="20"/>
                <w:szCs w:val="20"/>
                <w:lang w:val="en-NZ"/>
              </w:rPr>
            </w:pPr>
            <w:r w:rsidRPr="00BC57D4">
              <w:rPr>
                <w:sz w:val="20"/>
                <w:szCs w:val="20"/>
                <w:lang w:val="en-NZ"/>
              </w:rPr>
              <w:t>Too few for display</w:t>
            </w:r>
          </w:p>
        </w:tc>
      </w:tr>
      <w:tr w:rsidR="00F44D56" w:rsidRPr="000076CD" w:rsidTr="00A60DC6">
        <w:trPr>
          <w:trHeight w:val="381"/>
        </w:trPr>
        <w:tc>
          <w:tcPr>
            <w:tcW w:w="2348" w:type="dxa"/>
            <w:shd w:val="clear" w:color="auto" w:fill="auto"/>
            <w:tcMar>
              <w:top w:w="15" w:type="dxa"/>
              <w:left w:w="108" w:type="dxa"/>
              <w:bottom w:w="0" w:type="dxa"/>
              <w:right w:w="108" w:type="dxa"/>
            </w:tcMar>
            <w:hideMark/>
          </w:tcPr>
          <w:p w:rsidR="00F44D56" w:rsidRPr="00BC57D4" w:rsidRDefault="00F44D56" w:rsidP="00A60DC6">
            <w:pPr>
              <w:spacing w:before="120"/>
              <w:jc w:val="center"/>
              <w:rPr>
                <w:sz w:val="20"/>
                <w:szCs w:val="20"/>
                <w:lang w:val="en-NZ"/>
              </w:rPr>
            </w:pPr>
            <w:r w:rsidRPr="00BC57D4">
              <w:rPr>
                <w:sz w:val="20"/>
                <w:szCs w:val="20"/>
                <w:lang w:val="en-NZ"/>
              </w:rPr>
              <w:t>15</w:t>
            </w:r>
          </w:p>
        </w:tc>
        <w:tc>
          <w:tcPr>
            <w:tcW w:w="1226" w:type="dxa"/>
            <w:shd w:val="clear" w:color="auto" w:fill="auto"/>
            <w:tcMar>
              <w:top w:w="15" w:type="dxa"/>
              <w:left w:w="108" w:type="dxa"/>
              <w:bottom w:w="0" w:type="dxa"/>
              <w:right w:w="108" w:type="dxa"/>
            </w:tcMar>
            <w:hideMark/>
          </w:tcPr>
          <w:p w:rsidR="00F44D56" w:rsidRPr="008D7FC1" w:rsidRDefault="00F44D56" w:rsidP="00A60DC6">
            <w:pPr>
              <w:spacing w:before="120"/>
              <w:jc w:val="center"/>
              <w:rPr>
                <w:sz w:val="20"/>
                <w:szCs w:val="20"/>
                <w:lang w:val="en-NZ"/>
              </w:rPr>
            </w:pPr>
            <w:r w:rsidRPr="008D7FC1">
              <w:rPr>
                <w:sz w:val="20"/>
                <w:szCs w:val="20"/>
                <w:lang w:val="en-NZ"/>
              </w:rPr>
              <w:t>75</w:t>
            </w:r>
            <w:r>
              <w:rPr>
                <w:sz w:val="20"/>
                <w:szCs w:val="20"/>
                <w:lang w:val="en-NZ"/>
              </w:rPr>
              <w:t>%</w:t>
            </w:r>
          </w:p>
        </w:tc>
        <w:tc>
          <w:tcPr>
            <w:tcW w:w="838" w:type="dxa"/>
            <w:shd w:val="clear" w:color="auto" w:fill="auto"/>
            <w:tcMar>
              <w:top w:w="15" w:type="dxa"/>
              <w:left w:w="108" w:type="dxa"/>
              <w:bottom w:w="0" w:type="dxa"/>
              <w:right w:w="108" w:type="dxa"/>
            </w:tcMar>
            <w:hideMark/>
          </w:tcPr>
          <w:p w:rsidR="00F44D56" w:rsidRPr="00B12A6A" w:rsidRDefault="00F44D56" w:rsidP="00A60DC6">
            <w:pPr>
              <w:spacing w:before="120"/>
              <w:jc w:val="center"/>
              <w:rPr>
                <w:sz w:val="20"/>
                <w:szCs w:val="20"/>
                <w:lang w:val="en-NZ"/>
              </w:rPr>
            </w:pPr>
            <w:r w:rsidRPr="00B12A6A">
              <w:rPr>
                <w:sz w:val="20"/>
                <w:szCs w:val="20"/>
                <w:lang w:val="en-NZ"/>
              </w:rPr>
              <w:t>465</w:t>
            </w:r>
          </w:p>
        </w:tc>
        <w:tc>
          <w:tcPr>
            <w:tcW w:w="976" w:type="dxa"/>
          </w:tcPr>
          <w:p w:rsidR="00F44D56" w:rsidRPr="00BC57D4" w:rsidRDefault="00F44D56" w:rsidP="00A60DC6">
            <w:pPr>
              <w:spacing w:before="120"/>
              <w:jc w:val="center"/>
              <w:rPr>
                <w:sz w:val="20"/>
                <w:szCs w:val="20"/>
                <w:lang w:val="en-NZ"/>
              </w:rPr>
            </w:pPr>
            <w:r w:rsidRPr="00BC57D4">
              <w:rPr>
                <w:sz w:val="20"/>
                <w:szCs w:val="20"/>
                <w:lang w:val="en-NZ"/>
              </w:rPr>
              <w:t>79</w:t>
            </w:r>
            <w:r>
              <w:rPr>
                <w:sz w:val="20"/>
                <w:szCs w:val="20"/>
                <w:lang w:val="en-NZ"/>
              </w:rPr>
              <w:t>%</w:t>
            </w:r>
          </w:p>
        </w:tc>
        <w:tc>
          <w:tcPr>
            <w:tcW w:w="946" w:type="dxa"/>
          </w:tcPr>
          <w:p w:rsidR="00F44D56" w:rsidRPr="00BC57D4" w:rsidRDefault="00F44D56" w:rsidP="00A60DC6">
            <w:pPr>
              <w:spacing w:before="120"/>
              <w:jc w:val="center"/>
              <w:rPr>
                <w:sz w:val="20"/>
                <w:szCs w:val="20"/>
                <w:lang w:val="en-NZ"/>
              </w:rPr>
            </w:pPr>
            <w:r w:rsidRPr="00BC57D4">
              <w:rPr>
                <w:sz w:val="20"/>
                <w:szCs w:val="20"/>
                <w:lang w:val="en-NZ"/>
              </w:rPr>
              <w:t>438</w:t>
            </w:r>
          </w:p>
        </w:tc>
        <w:tc>
          <w:tcPr>
            <w:tcW w:w="1096" w:type="dxa"/>
            <w:vAlign w:val="bottom"/>
          </w:tcPr>
          <w:p w:rsidR="00F44D56" w:rsidRPr="00BC57D4" w:rsidRDefault="00F44D56" w:rsidP="00A60DC6">
            <w:pPr>
              <w:spacing w:before="120"/>
              <w:jc w:val="center"/>
              <w:rPr>
                <w:sz w:val="20"/>
                <w:szCs w:val="20"/>
                <w:lang w:val="en-NZ"/>
              </w:rPr>
            </w:pPr>
            <w:r w:rsidRPr="004F4C26">
              <w:rPr>
                <w:color w:val="000000"/>
                <w:sz w:val="20"/>
                <w:szCs w:val="20"/>
              </w:rPr>
              <w:t>82</w:t>
            </w:r>
            <w:r>
              <w:rPr>
                <w:sz w:val="20"/>
                <w:szCs w:val="20"/>
                <w:lang w:val="en-NZ"/>
              </w:rPr>
              <w:t>%</w:t>
            </w:r>
          </w:p>
        </w:tc>
        <w:tc>
          <w:tcPr>
            <w:tcW w:w="1065" w:type="dxa"/>
          </w:tcPr>
          <w:p w:rsidR="00F44D56" w:rsidRPr="00BC57D4" w:rsidRDefault="00F44D56" w:rsidP="00A60DC6">
            <w:pPr>
              <w:spacing w:before="120"/>
              <w:jc w:val="center"/>
              <w:rPr>
                <w:sz w:val="20"/>
                <w:szCs w:val="20"/>
                <w:lang w:val="en-NZ"/>
              </w:rPr>
            </w:pPr>
            <w:r w:rsidRPr="004F4C26">
              <w:rPr>
                <w:sz w:val="20"/>
                <w:szCs w:val="20"/>
              </w:rPr>
              <w:t>183</w:t>
            </w:r>
          </w:p>
        </w:tc>
      </w:tr>
      <w:tr w:rsidR="00F44D56" w:rsidRPr="000076CD" w:rsidTr="00A60DC6">
        <w:trPr>
          <w:trHeight w:val="381"/>
        </w:trPr>
        <w:tc>
          <w:tcPr>
            <w:tcW w:w="2348" w:type="dxa"/>
            <w:shd w:val="clear" w:color="auto" w:fill="auto"/>
            <w:tcMar>
              <w:top w:w="15" w:type="dxa"/>
              <w:left w:w="108" w:type="dxa"/>
              <w:bottom w:w="0" w:type="dxa"/>
              <w:right w:w="108" w:type="dxa"/>
            </w:tcMar>
            <w:hideMark/>
          </w:tcPr>
          <w:p w:rsidR="00F44D56" w:rsidRPr="00BC57D4" w:rsidRDefault="00F44D56" w:rsidP="00A60DC6">
            <w:pPr>
              <w:spacing w:before="120"/>
              <w:jc w:val="center"/>
              <w:rPr>
                <w:sz w:val="20"/>
                <w:szCs w:val="20"/>
                <w:lang w:val="en-NZ"/>
              </w:rPr>
            </w:pPr>
            <w:r w:rsidRPr="00BC57D4">
              <w:rPr>
                <w:sz w:val="20"/>
                <w:szCs w:val="20"/>
                <w:lang w:val="en-NZ"/>
              </w:rPr>
              <w:t>16</w:t>
            </w:r>
          </w:p>
        </w:tc>
        <w:tc>
          <w:tcPr>
            <w:tcW w:w="1226" w:type="dxa"/>
            <w:shd w:val="clear" w:color="auto" w:fill="auto"/>
            <w:tcMar>
              <w:top w:w="15" w:type="dxa"/>
              <w:left w:w="108" w:type="dxa"/>
              <w:bottom w:w="0" w:type="dxa"/>
              <w:right w:w="108" w:type="dxa"/>
            </w:tcMar>
            <w:hideMark/>
          </w:tcPr>
          <w:p w:rsidR="00F44D56" w:rsidRPr="008D7FC1" w:rsidRDefault="00F44D56" w:rsidP="00A60DC6">
            <w:pPr>
              <w:spacing w:before="120"/>
              <w:jc w:val="center"/>
              <w:rPr>
                <w:sz w:val="20"/>
                <w:szCs w:val="20"/>
                <w:lang w:val="en-NZ"/>
              </w:rPr>
            </w:pPr>
            <w:r w:rsidRPr="008D7FC1">
              <w:rPr>
                <w:sz w:val="20"/>
                <w:szCs w:val="20"/>
                <w:lang w:val="en-NZ"/>
              </w:rPr>
              <w:t>60</w:t>
            </w:r>
            <w:r>
              <w:rPr>
                <w:sz w:val="20"/>
                <w:szCs w:val="20"/>
                <w:lang w:val="en-NZ"/>
              </w:rPr>
              <w:t>%</w:t>
            </w:r>
          </w:p>
        </w:tc>
        <w:tc>
          <w:tcPr>
            <w:tcW w:w="838" w:type="dxa"/>
            <w:shd w:val="clear" w:color="auto" w:fill="auto"/>
            <w:tcMar>
              <w:top w:w="15" w:type="dxa"/>
              <w:left w:w="108" w:type="dxa"/>
              <w:bottom w:w="0" w:type="dxa"/>
              <w:right w:w="108" w:type="dxa"/>
            </w:tcMar>
            <w:hideMark/>
          </w:tcPr>
          <w:p w:rsidR="00F44D56" w:rsidRPr="00B12A6A" w:rsidRDefault="00F44D56" w:rsidP="00A60DC6">
            <w:pPr>
              <w:spacing w:before="120"/>
              <w:jc w:val="center"/>
              <w:rPr>
                <w:sz w:val="20"/>
                <w:szCs w:val="20"/>
                <w:lang w:val="en-NZ"/>
              </w:rPr>
            </w:pPr>
            <w:r w:rsidRPr="00B12A6A">
              <w:rPr>
                <w:sz w:val="20"/>
                <w:szCs w:val="20"/>
                <w:lang w:val="en-NZ"/>
              </w:rPr>
              <w:t>1,254</w:t>
            </w:r>
          </w:p>
        </w:tc>
        <w:tc>
          <w:tcPr>
            <w:tcW w:w="976" w:type="dxa"/>
          </w:tcPr>
          <w:p w:rsidR="00F44D56" w:rsidRPr="00BC57D4" w:rsidRDefault="00F44D56" w:rsidP="00A60DC6">
            <w:pPr>
              <w:spacing w:before="120"/>
              <w:jc w:val="center"/>
              <w:rPr>
                <w:sz w:val="20"/>
                <w:szCs w:val="20"/>
                <w:lang w:val="en-NZ"/>
              </w:rPr>
            </w:pPr>
            <w:r w:rsidRPr="00BC57D4">
              <w:rPr>
                <w:sz w:val="20"/>
                <w:szCs w:val="20"/>
                <w:lang w:val="en-NZ"/>
              </w:rPr>
              <w:t>64</w:t>
            </w:r>
            <w:r>
              <w:rPr>
                <w:sz w:val="20"/>
                <w:szCs w:val="20"/>
                <w:lang w:val="en-NZ"/>
              </w:rPr>
              <w:t>%</w:t>
            </w:r>
          </w:p>
        </w:tc>
        <w:tc>
          <w:tcPr>
            <w:tcW w:w="946" w:type="dxa"/>
          </w:tcPr>
          <w:p w:rsidR="00F44D56" w:rsidRPr="00BC57D4" w:rsidRDefault="00F44D56" w:rsidP="00A60DC6">
            <w:pPr>
              <w:spacing w:before="120"/>
              <w:jc w:val="center"/>
              <w:rPr>
                <w:sz w:val="20"/>
                <w:szCs w:val="20"/>
                <w:lang w:val="en-NZ"/>
              </w:rPr>
            </w:pPr>
            <w:r w:rsidRPr="00BC57D4">
              <w:rPr>
                <w:sz w:val="20"/>
                <w:szCs w:val="20"/>
                <w:lang w:val="en-NZ"/>
              </w:rPr>
              <w:t>1,170</w:t>
            </w:r>
          </w:p>
        </w:tc>
        <w:tc>
          <w:tcPr>
            <w:tcW w:w="1096" w:type="dxa"/>
            <w:vAlign w:val="bottom"/>
          </w:tcPr>
          <w:p w:rsidR="00F44D56" w:rsidRPr="00BC57D4" w:rsidRDefault="00F44D56" w:rsidP="00A60DC6">
            <w:pPr>
              <w:spacing w:before="120"/>
              <w:jc w:val="center"/>
              <w:rPr>
                <w:sz w:val="20"/>
                <w:szCs w:val="20"/>
                <w:lang w:val="en-NZ"/>
              </w:rPr>
            </w:pPr>
            <w:r w:rsidRPr="004F4C26">
              <w:rPr>
                <w:color w:val="000000"/>
                <w:sz w:val="20"/>
                <w:szCs w:val="20"/>
              </w:rPr>
              <w:t>65</w:t>
            </w:r>
            <w:r>
              <w:rPr>
                <w:sz w:val="20"/>
                <w:szCs w:val="20"/>
                <w:lang w:val="en-NZ"/>
              </w:rPr>
              <w:t>%</w:t>
            </w:r>
          </w:p>
        </w:tc>
        <w:tc>
          <w:tcPr>
            <w:tcW w:w="1065" w:type="dxa"/>
          </w:tcPr>
          <w:p w:rsidR="00F44D56" w:rsidRPr="00BC57D4" w:rsidRDefault="00F44D56" w:rsidP="00A60DC6">
            <w:pPr>
              <w:spacing w:before="120"/>
              <w:jc w:val="center"/>
              <w:rPr>
                <w:sz w:val="20"/>
                <w:szCs w:val="20"/>
                <w:lang w:val="en-NZ"/>
              </w:rPr>
            </w:pPr>
            <w:r w:rsidRPr="004F4C26">
              <w:rPr>
                <w:sz w:val="20"/>
                <w:szCs w:val="20"/>
              </w:rPr>
              <w:t>801</w:t>
            </w:r>
          </w:p>
        </w:tc>
      </w:tr>
      <w:tr w:rsidR="00F44D56" w:rsidRPr="000076CD" w:rsidTr="00A60DC6">
        <w:trPr>
          <w:trHeight w:val="381"/>
        </w:trPr>
        <w:tc>
          <w:tcPr>
            <w:tcW w:w="2348" w:type="dxa"/>
            <w:shd w:val="clear" w:color="auto" w:fill="auto"/>
            <w:tcMar>
              <w:top w:w="15" w:type="dxa"/>
              <w:left w:w="108" w:type="dxa"/>
              <w:bottom w:w="0" w:type="dxa"/>
              <w:right w:w="108" w:type="dxa"/>
            </w:tcMar>
            <w:hideMark/>
          </w:tcPr>
          <w:p w:rsidR="00F44D56" w:rsidRPr="00BC57D4" w:rsidRDefault="00F44D56" w:rsidP="00A60DC6">
            <w:pPr>
              <w:spacing w:before="120"/>
              <w:jc w:val="center"/>
              <w:rPr>
                <w:sz w:val="20"/>
                <w:szCs w:val="20"/>
                <w:lang w:val="en-NZ"/>
              </w:rPr>
            </w:pPr>
            <w:r w:rsidRPr="00BC57D4">
              <w:rPr>
                <w:sz w:val="20"/>
                <w:szCs w:val="20"/>
                <w:lang w:val="en-NZ"/>
              </w:rPr>
              <w:t>17</w:t>
            </w:r>
          </w:p>
        </w:tc>
        <w:tc>
          <w:tcPr>
            <w:tcW w:w="1226" w:type="dxa"/>
            <w:shd w:val="clear" w:color="auto" w:fill="auto"/>
            <w:tcMar>
              <w:top w:w="15" w:type="dxa"/>
              <w:left w:w="108" w:type="dxa"/>
              <w:bottom w:w="0" w:type="dxa"/>
              <w:right w:w="108" w:type="dxa"/>
            </w:tcMar>
            <w:hideMark/>
          </w:tcPr>
          <w:p w:rsidR="00F44D56" w:rsidRPr="008D7FC1" w:rsidRDefault="00F44D56" w:rsidP="00A60DC6">
            <w:pPr>
              <w:spacing w:before="120"/>
              <w:jc w:val="center"/>
              <w:rPr>
                <w:sz w:val="20"/>
                <w:szCs w:val="20"/>
                <w:lang w:val="en-NZ"/>
              </w:rPr>
            </w:pPr>
            <w:r w:rsidRPr="008D7FC1">
              <w:rPr>
                <w:sz w:val="20"/>
                <w:szCs w:val="20"/>
                <w:lang w:val="en-NZ"/>
              </w:rPr>
              <w:t>32</w:t>
            </w:r>
            <w:r>
              <w:rPr>
                <w:sz w:val="20"/>
                <w:szCs w:val="20"/>
                <w:lang w:val="en-NZ"/>
              </w:rPr>
              <w:t>%</w:t>
            </w:r>
          </w:p>
        </w:tc>
        <w:tc>
          <w:tcPr>
            <w:tcW w:w="838" w:type="dxa"/>
            <w:shd w:val="clear" w:color="auto" w:fill="auto"/>
            <w:tcMar>
              <w:top w:w="15" w:type="dxa"/>
              <w:left w:w="108" w:type="dxa"/>
              <w:bottom w:w="0" w:type="dxa"/>
              <w:right w:w="108" w:type="dxa"/>
            </w:tcMar>
            <w:hideMark/>
          </w:tcPr>
          <w:p w:rsidR="00F44D56" w:rsidRPr="00B12A6A" w:rsidRDefault="00F44D56" w:rsidP="00A60DC6">
            <w:pPr>
              <w:spacing w:before="120"/>
              <w:jc w:val="center"/>
              <w:rPr>
                <w:sz w:val="20"/>
                <w:szCs w:val="20"/>
                <w:lang w:val="en-NZ"/>
              </w:rPr>
            </w:pPr>
            <w:r w:rsidRPr="00B12A6A">
              <w:rPr>
                <w:sz w:val="20"/>
                <w:szCs w:val="20"/>
                <w:lang w:val="en-NZ"/>
              </w:rPr>
              <w:t>2,355</w:t>
            </w:r>
          </w:p>
        </w:tc>
        <w:tc>
          <w:tcPr>
            <w:tcW w:w="976" w:type="dxa"/>
          </w:tcPr>
          <w:p w:rsidR="00F44D56" w:rsidRPr="00BC57D4" w:rsidRDefault="00F44D56" w:rsidP="00A60DC6">
            <w:pPr>
              <w:spacing w:before="120"/>
              <w:jc w:val="center"/>
              <w:rPr>
                <w:sz w:val="20"/>
                <w:szCs w:val="20"/>
                <w:lang w:val="en-NZ"/>
              </w:rPr>
            </w:pPr>
            <w:r w:rsidRPr="00BC57D4">
              <w:rPr>
                <w:sz w:val="20"/>
                <w:szCs w:val="20"/>
                <w:lang w:val="en-NZ"/>
              </w:rPr>
              <w:t>37</w:t>
            </w:r>
            <w:r>
              <w:rPr>
                <w:sz w:val="20"/>
                <w:szCs w:val="20"/>
                <w:lang w:val="en-NZ"/>
              </w:rPr>
              <w:t>%</w:t>
            </w:r>
          </w:p>
        </w:tc>
        <w:tc>
          <w:tcPr>
            <w:tcW w:w="946" w:type="dxa"/>
          </w:tcPr>
          <w:p w:rsidR="00F44D56" w:rsidRPr="00BC57D4" w:rsidRDefault="00F44D56" w:rsidP="00A60DC6">
            <w:pPr>
              <w:spacing w:before="120"/>
              <w:jc w:val="center"/>
              <w:rPr>
                <w:sz w:val="20"/>
                <w:szCs w:val="20"/>
                <w:lang w:val="en-NZ"/>
              </w:rPr>
            </w:pPr>
            <w:r w:rsidRPr="00BC57D4">
              <w:rPr>
                <w:sz w:val="20"/>
                <w:szCs w:val="20"/>
                <w:lang w:val="en-NZ"/>
              </w:rPr>
              <w:t>2,055</w:t>
            </w:r>
          </w:p>
        </w:tc>
        <w:tc>
          <w:tcPr>
            <w:tcW w:w="1096" w:type="dxa"/>
            <w:vAlign w:val="bottom"/>
          </w:tcPr>
          <w:p w:rsidR="00F44D56" w:rsidRPr="00BC57D4" w:rsidRDefault="00F44D56" w:rsidP="00A60DC6">
            <w:pPr>
              <w:spacing w:before="120"/>
              <w:jc w:val="center"/>
              <w:rPr>
                <w:sz w:val="20"/>
                <w:szCs w:val="20"/>
                <w:lang w:val="en-NZ"/>
              </w:rPr>
            </w:pPr>
            <w:r w:rsidRPr="004F4C26">
              <w:rPr>
                <w:color w:val="000000"/>
                <w:sz w:val="20"/>
                <w:szCs w:val="20"/>
              </w:rPr>
              <w:t>36</w:t>
            </w:r>
            <w:r>
              <w:rPr>
                <w:sz w:val="20"/>
                <w:szCs w:val="20"/>
                <w:lang w:val="en-NZ"/>
              </w:rPr>
              <w:t>%</w:t>
            </w:r>
          </w:p>
        </w:tc>
        <w:tc>
          <w:tcPr>
            <w:tcW w:w="1065" w:type="dxa"/>
          </w:tcPr>
          <w:p w:rsidR="00F44D56" w:rsidRPr="00BC57D4" w:rsidRDefault="00F44D56" w:rsidP="00A60DC6">
            <w:pPr>
              <w:spacing w:before="120"/>
              <w:jc w:val="center"/>
              <w:rPr>
                <w:sz w:val="20"/>
                <w:szCs w:val="20"/>
                <w:lang w:val="en-NZ"/>
              </w:rPr>
            </w:pPr>
            <w:r w:rsidRPr="004F4C26">
              <w:rPr>
                <w:sz w:val="20"/>
                <w:szCs w:val="20"/>
              </w:rPr>
              <w:t>1,920</w:t>
            </w:r>
          </w:p>
        </w:tc>
      </w:tr>
      <w:tr w:rsidR="00F44D56" w:rsidRPr="000076CD" w:rsidTr="00A60DC6">
        <w:trPr>
          <w:trHeight w:val="381"/>
        </w:trPr>
        <w:tc>
          <w:tcPr>
            <w:tcW w:w="2348" w:type="dxa"/>
            <w:shd w:val="clear" w:color="auto" w:fill="auto"/>
            <w:tcMar>
              <w:top w:w="15" w:type="dxa"/>
              <w:left w:w="108" w:type="dxa"/>
              <w:bottom w:w="0" w:type="dxa"/>
              <w:right w:w="108" w:type="dxa"/>
            </w:tcMar>
            <w:hideMark/>
          </w:tcPr>
          <w:p w:rsidR="00F44D56" w:rsidRPr="00BC57D4" w:rsidRDefault="00F44D56" w:rsidP="00A60DC6">
            <w:pPr>
              <w:spacing w:before="120"/>
              <w:jc w:val="center"/>
              <w:rPr>
                <w:sz w:val="20"/>
                <w:szCs w:val="20"/>
                <w:lang w:val="en-NZ"/>
              </w:rPr>
            </w:pPr>
            <w:r w:rsidRPr="00BC57D4">
              <w:rPr>
                <w:sz w:val="20"/>
                <w:szCs w:val="20"/>
                <w:lang w:val="en-NZ"/>
              </w:rPr>
              <w:t>18</w:t>
            </w:r>
          </w:p>
        </w:tc>
        <w:tc>
          <w:tcPr>
            <w:tcW w:w="1226" w:type="dxa"/>
            <w:shd w:val="clear" w:color="auto" w:fill="auto"/>
            <w:tcMar>
              <w:top w:w="15" w:type="dxa"/>
              <w:left w:w="108" w:type="dxa"/>
              <w:bottom w:w="0" w:type="dxa"/>
              <w:right w:w="108" w:type="dxa"/>
            </w:tcMar>
            <w:hideMark/>
          </w:tcPr>
          <w:p w:rsidR="00F44D56" w:rsidRPr="008D7FC1" w:rsidRDefault="00F44D56" w:rsidP="00A60DC6">
            <w:pPr>
              <w:spacing w:before="120"/>
              <w:jc w:val="center"/>
              <w:rPr>
                <w:sz w:val="20"/>
                <w:szCs w:val="20"/>
                <w:lang w:val="en-NZ"/>
              </w:rPr>
            </w:pPr>
            <w:r w:rsidRPr="008D7FC1">
              <w:rPr>
                <w:sz w:val="20"/>
                <w:szCs w:val="20"/>
                <w:lang w:val="en-NZ"/>
              </w:rPr>
              <w:t>19</w:t>
            </w:r>
            <w:r>
              <w:rPr>
                <w:sz w:val="20"/>
                <w:szCs w:val="20"/>
                <w:lang w:val="en-NZ"/>
              </w:rPr>
              <w:t>%</w:t>
            </w:r>
          </w:p>
        </w:tc>
        <w:tc>
          <w:tcPr>
            <w:tcW w:w="838" w:type="dxa"/>
            <w:shd w:val="clear" w:color="auto" w:fill="auto"/>
            <w:tcMar>
              <w:top w:w="15" w:type="dxa"/>
              <w:left w:w="108" w:type="dxa"/>
              <w:bottom w:w="0" w:type="dxa"/>
              <w:right w:w="108" w:type="dxa"/>
            </w:tcMar>
            <w:hideMark/>
          </w:tcPr>
          <w:p w:rsidR="00F44D56" w:rsidRPr="00B12A6A" w:rsidRDefault="00F44D56" w:rsidP="00A60DC6">
            <w:pPr>
              <w:spacing w:before="120"/>
              <w:jc w:val="center"/>
              <w:rPr>
                <w:sz w:val="20"/>
                <w:szCs w:val="20"/>
                <w:lang w:val="en-NZ"/>
              </w:rPr>
            </w:pPr>
            <w:r w:rsidRPr="00B12A6A">
              <w:rPr>
                <w:sz w:val="20"/>
                <w:szCs w:val="20"/>
                <w:lang w:val="en-NZ"/>
              </w:rPr>
              <w:t>2,514</w:t>
            </w:r>
          </w:p>
        </w:tc>
        <w:tc>
          <w:tcPr>
            <w:tcW w:w="976" w:type="dxa"/>
          </w:tcPr>
          <w:p w:rsidR="00F44D56" w:rsidRPr="00BC57D4" w:rsidRDefault="00F44D56" w:rsidP="00A60DC6">
            <w:pPr>
              <w:spacing w:before="120"/>
              <w:jc w:val="center"/>
              <w:rPr>
                <w:sz w:val="20"/>
                <w:szCs w:val="20"/>
                <w:lang w:val="en-NZ"/>
              </w:rPr>
            </w:pPr>
            <w:r w:rsidRPr="00BC57D4">
              <w:rPr>
                <w:sz w:val="20"/>
                <w:szCs w:val="20"/>
                <w:lang w:val="en-NZ"/>
              </w:rPr>
              <w:t>21</w:t>
            </w:r>
            <w:r>
              <w:rPr>
                <w:sz w:val="20"/>
                <w:szCs w:val="20"/>
                <w:lang w:val="en-NZ"/>
              </w:rPr>
              <w:t>%</w:t>
            </w:r>
          </w:p>
        </w:tc>
        <w:tc>
          <w:tcPr>
            <w:tcW w:w="946" w:type="dxa"/>
          </w:tcPr>
          <w:p w:rsidR="00F44D56" w:rsidRPr="00BC57D4" w:rsidRDefault="00F44D56" w:rsidP="00A60DC6">
            <w:pPr>
              <w:spacing w:before="120"/>
              <w:jc w:val="center"/>
              <w:rPr>
                <w:sz w:val="20"/>
                <w:szCs w:val="20"/>
                <w:lang w:val="en-NZ"/>
              </w:rPr>
            </w:pPr>
            <w:r w:rsidRPr="00BC57D4">
              <w:rPr>
                <w:sz w:val="20"/>
                <w:szCs w:val="20"/>
                <w:lang w:val="en-NZ"/>
              </w:rPr>
              <w:t>2,187</w:t>
            </w:r>
          </w:p>
        </w:tc>
        <w:tc>
          <w:tcPr>
            <w:tcW w:w="1096" w:type="dxa"/>
            <w:vAlign w:val="bottom"/>
          </w:tcPr>
          <w:p w:rsidR="00F44D56" w:rsidRPr="00BC57D4" w:rsidRDefault="00F44D56" w:rsidP="00A60DC6">
            <w:pPr>
              <w:spacing w:before="120"/>
              <w:jc w:val="center"/>
              <w:rPr>
                <w:sz w:val="20"/>
                <w:szCs w:val="20"/>
                <w:lang w:val="en-NZ"/>
              </w:rPr>
            </w:pPr>
            <w:r w:rsidRPr="004F4C26">
              <w:rPr>
                <w:color w:val="000000"/>
                <w:sz w:val="20"/>
                <w:szCs w:val="20"/>
              </w:rPr>
              <w:t>21</w:t>
            </w:r>
            <w:r>
              <w:rPr>
                <w:sz w:val="20"/>
                <w:szCs w:val="20"/>
                <w:lang w:val="en-NZ"/>
              </w:rPr>
              <w:t>%</w:t>
            </w:r>
          </w:p>
        </w:tc>
        <w:tc>
          <w:tcPr>
            <w:tcW w:w="1065" w:type="dxa"/>
          </w:tcPr>
          <w:p w:rsidR="00F44D56" w:rsidRPr="00BC57D4" w:rsidRDefault="00F44D56" w:rsidP="00A60DC6">
            <w:pPr>
              <w:spacing w:before="120"/>
              <w:jc w:val="center"/>
              <w:rPr>
                <w:sz w:val="20"/>
                <w:szCs w:val="20"/>
                <w:lang w:val="en-NZ"/>
              </w:rPr>
            </w:pPr>
            <w:r w:rsidRPr="004F4C26">
              <w:rPr>
                <w:sz w:val="20"/>
                <w:szCs w:val="20"/>
              </w:rPr>
              <w:t>2,187</w:t>
            </w:r>
          </w:p>
        </w:tc>
      </w:tr>
      <w:tr w:rsidR="00F44D56" w:rsidRPr="000076CD" w:rsidTr="00A60DC6">
        <w:trPr>
          <w:trHeight w:val="381"/>
        </w:trPr>
        <w:tc>
          <w:tcPr>
            <w:tcW w:w="2348" w:type="dxa"/>
            <w:shd w:val="clear" w:color="auto" w:fill="auto"/>
            <w:tcMar>
              <w:top w:w="15" w:type="dxa"/>
              <w:left w:w="108" w:type="dxa"/>
              <w:bottom w:w="0" w:type="dxa"/>
              <w:right w:w="108" w:type="dxa"/>
            </w:tcMar>
            <w:hideMark/>
          </w:tcPr>
          <w:p w:rsidR="00F44D56" w:rsidRPr="00BC57D4" w:rsidRDefault="00F44D56" w:rsidP="00A60DC6">
            <w:pPr>
              <w:spacing w:before="120"/>
              <w:jc w:val="center"/>
              <w:rPr>
                <w:sz w:val="20"/>
                <w:szCs w:val="20"/>
                <w:lang w:val="en-NZ"/>
              </w:rPr>
            </w:pPr>
            <w:r w:rsidRPr="00BC57D4">
              <w:rPr>
                <w:sz w:val="20"/>
                <w:szCs w:val="20"/>
                <w:lang w:val="en-NZ"/>
              </w:rPr>
              <w:t>All</w:t>
            </w:r>
          </w:p>
        </w:tc>
        <w:tc>
          <w:tcPr>
            <w:tcW w:w="1226" w:type="dxa"/>
            <w:shd w:val="clear" w:color="auto" w:fill="auto"/>
            <w:tcMar>
              <w:top w:w="15" w:type="dxa"/>
              <w:left w:w="108" w:type="dxa"/>
              <w:bottom w:w="0" w:type="dxa"/>
              <w:right w:w="108" w:type="dxa"/>
            </w:tcMar>
            <w:hideMark/>
          </w:tcPr>
          <w:p w:rsidR="00F44D56" w:rsidRPr="008D7FC1" w:rsidRDefault="00F44D56" w:rsidP="00A60DC6">
            <w:pPr>
              <w:spacing w:before="120"/>
              <w:jc w:val="center"/>
              <w:rPr>
                <w:sz w:val="20"/>
                <w:szCs w:val="20"/>
                <w:lang w:val="en-NZ"/>
              </w:rPr>
            </w:pPr>
            <w:r w:rsidRPr="008D7FC1">
              <w:rPr>
                <w:sz w:val="20"/>
                <w:szCs w:val="20"/>
                <w:lang w:val="en-NZ"/>
              </w:rPr>
              <w:t>35</w:t>
            </w:r>
            <w:r>
              <w:rPr>
                <w:sz w:val="20"/>
                <w:szCs w:val="20"/>
                <w:lang w:val="en-NZ"/>
              </w:rPr>
              <w:t>%</w:t>
            </w:r>
          </w:p>
        </w:tc>
        <w:tc>
          <w:tcPr>
            <w:tcW w:w="838" w:type="dxa"/>
            <w:shd w:val="clear" w:color="auto" w:fill="auto"/>
            <w:tcMar>
              <w:top w:w="15" w:type="dxa"/>
              <w:left w:w="108" w:type="dxa"/>
              <w:bottom w:w="0" w:type="dxa"/>
              <w:right w:w="108" w:type="dxa"/>
            </w:tcMar>
            <w:hideMark/>
          </w:tcPr>
          <w:p w:rsidR="00F44D56" w:rsidRPr="00B12A6A" w:rsidRDefault="00F44D56" w:rsidP="00A60DC6">
            <w:pPr>
              <w:spacing w:before="120"/>
              <w:jc w:val="center"/>
              <w:rPr>
                <w:sz w:val="20"/>
                <w:szCs w:val="20"/>
                <w:lang w:val="en-NZ"/>
              </w:rPr>
            </w:pPr>
            <w:r w:rsidRPr="00B12A6A">
              <w:rPr>
                <w:sz w:val="20"/>
                <w:szCs w:val="20"/>
                <w:lang w:val="en-NZ"/>
              </w:rPr>
              <w:t>6,711</w:t>
            </w:r>
          </w:p>
        </w:tc>
        <w:tc>
          <w:tcPr>
            <w:tcW w:w="976" w:type="dxa"/>
          </w:tcPr>
          <w:p w:rsidR="00F44D56" w:rsidRPr="00BC57D4" w:rsidRDefault="00F44D56" w:rsidP="00A60DC6">
            <w:pPr>
              <w:spacing w:before="120"/>
              <w:jc w:val="center"/>
              <w:rPr>
                <w:sz w:val="20"/>
                <w:szCs w:val="20"/>
                <w:lang w:val="en-NZ"/>
              </w:rPr>
            </w:pPr>
            <w:r w:rsidRPr="00BC57D4">
              <w:rPr>
                <w:sz w:val="20"/>
                <w:szCs w:val="20"/>
                <w:lang w:val="en-NZ"/>
              </w:rPr>
              <w:t>40</w:t>
            </w:r>
            <w:r>
              <w:rPr>
                <w:sz w:val="20"/>
                <w:szCs w:val="20"/>
                <w:lang w:val="en-NZ"/>
              </w:rPr>
              <w:t>%</w:t>
            </w:r>
          </w:p>
        </w:tc>
        <w:tc>
          <w:tcPr>
            <w:tcW w:w="946" w:type="dxa"/>
          </w:tcPr>
          <w:p w:rsidR="00F44D56" w:rsidRPr="00BC57D4" w:rsidRDefault="00F44D56" w:rsidP="00A60DC6">
            <w:pPr>
              <w:spacing w:before="120"/>
              <w:jc w:val="center"/>
              <w:rPr>
                <w:sz w:val="20"/>
                <w:szCs w:val="20"/>
                <w:lang w:val="en-NZ"/>
              </w:rPr>
            </w:pPr>
            <w:r w:rsidRPr="00BC57D4">
              <w:rPr>
                <w:sz w:val="20"/>
                <w:szCs w:val="20"/>
                <w:lang w:val="en-NZ"/>
              </w:rPr>
              <w:t>5,958</w:t>
            </w:r>
          </w:p>
        </w:tc>
        <w:tc>
          <w:tcPr>
            <w:tcW w:w="1096" w:type="dxa"/>
            <w:vAlign w:val="bottom"/>
          </w:tcPr>
          <w:p w:rsidR="00F44D56" w:rsidRPr="00BC57D4" w:rsidRDefault="00F44D56" w:rsidP="00A60DC6">
            <w:pPr>
              <w:spacing w:before="120"/>
              <w:jc w:val="center"/>
              <w:rPr>
                <w:sz w:val="20"/>
                <w:szCs w:val="20"/>
                <w:lang w:val="en-NZ"/>
              </w:rPr>
            </w:pPr>
            <w:r w:rsidRPr="004F4C26">
              <w:rPr>
                <w:color w:val="000000"/>
                <w:sz w:val="20"/>
                <w:szCs w:val="20"/>
              </w:rPr>
              <w:t>36</w:t>
            </w:r>
            <w:r>
              <w:rPr>
                <w:sz w:val="20"/>
                <w:szCs w:val="20"/>
                <w:lang w:val="en-NZ"/>
              </w:rPr>
              <w:t>%</w:t>
            </w:r>
          </w:p>
        </w:tc>
        <w:tc>
          <w:tcPr>
            <w:tcW w:w="1065" w:type="dxa"/>
          </w:tcPr>
          <w:p w:rsidR="00F44D56" w:rsidRPr="00BC57D4" w:rsidRDefault="00F44D56" w:rsidP="00A60DC6">
            <w:pPr>
              <w:spacing w:before="120"/>
              <w:jc w:val="center"/>
              <w:rPr>
                <w:sz w:val="20"/>
                <w:szCs w:val="20"/>
                <w:lang w:val="en-NZ"/>
              </w:rPr>
            </w:pPr>
            <w:r w:rsidRPr="004F4C26">
              <w:rPr>
                <w:sz w:val="20"/>
                <w:szCs w:val="20"/>
              </w:rPr>
              <w:t>5,112</w:t>
            </w:r>
          </w:p>
        </w:tc>
      </w:tr>
    </w:tbl>
    <w:p w:rsidR="00F44D56" w:rsidRDefault="00F44D56" w:rsidP="00F44D56">
      <w:pPr>
        <w:pStyle w:val="Body"/>
        <w:spacing w:before="0" w:after="0" w:line="240" w:lineRule="auto"/>
        <w:jc w:val="both"/>
        <w:rPr>
          <w:lang w:val="en-US"/>
        </w:rPr>
      </w:pPr>
      <w:r>
        <w:rPr>
          <w:i/>
          <w:sz w:val="20"/>
          <w:szCs w:val="20"/>
        </w:rPr>
        <w:t>N</w:t>
      </w:r>
      <w:r w:rsidRPr="00891CC2">
        <w:rPr>
          <w:i/>
          <w:sz w:val="20"/>
          <w:szCs w:val="20"/>
        </w:rPr>
        <w:t>otes:</w:t>
      </w:r>
      <w:r w:rsidRPr="005E520A">
        <w:rPr>
          <w:sz w:val="20"/>
          <w:szCs w:val="20"/>
        </w:rPr>
        <w:t xml:space="preserve"> </w:t>
      </w:r>
      <w:r>
        <w:rPr>
          <w:sz w:val="20"/>
          <w:szCs w:val="20"/>
        </w:rPr>
        <w:t>Study sample of young wome</w:t>
      </w:r>
      <w:r w:rsidRPr="00971CC5">
        <w:rPr>
          <w:sz w:val="20"/>
          <w:szCs w:val="20"/>
        </w:rPr>
        <w:t xml:space="preserve">n </w:t>
      </w:r>
      <w:r>
        <w:rPr>
          <w:sz w:val="20"/>
          <w:szCs w:val="20"/>
        </w:rPr>
        <w:t xml:space="preserve">in cohorts born </w:t>
      </w:r>
      <w:r w:rsidRPr="00971CC5">
        <w:rPr>
          <w:sz w:val="20"/>
          <w:szCs w:val="20"/>
        </w:rPr>
        <w:t>between 1 Jan 1991 and 31 December 1994 and enrolled in a New Zealand school for at least one day between the start of ENROL in 2006 and 1 January 2008</w:t>
      </w:r>
      <w:r>
        <w:rPr>
          <w:sz w:val="20"/>
          <w:szCs w:val="20"/>
        </w:rPr>
        <w:t xml:space="preserve"> and who recorded a live birth between 13</w:t>
      </w:r>
      <w:r w:rsidRPr="00043454">
        <w:rPr>
          <w:sz w:val="20"/>
          <w:szCs w:val="20"/>
          <w:vertAlign w:val="superscript"/>
        </w:rPr>
        <w:t>th</w:t>
      </w:r>
      <w:r>
        <w:rPr>
          <w:sz w:val="20"/>
          <w:szCs w:val="20"/>
        </w:rPr>
        <w:t xml:space="preserve"> and 19</w:t>
      </w:r>
      <w:r w:rsidRPr="00043454">
        <w:rPr>
          <w:sz w:val="20"/>
          <w:szCs w:val="20"/>
          <w:vertAlign w:val="superscript"/>
        </w:rPr>
        <w:t>th</w:t>
      </w:r>
      <w:r>
        <w:rPr>
          <w:sz w:val="20"/>
          <w:szCs w:val="20"/>
        </w:rPr>
        <w:t xml:space="preserve"> birthday in the MoH maternity data. Summer conception is defined as the baby being conceived </w:t>
      </w:r>
      <w:r w:rsidRPr="0037215B">
        <w:rPr>
          <w:i/>
          <w:sz w:val="20"/>
          <w:szCs w:val="20"/>
        </w:rPr>
        <w:t>inter alia</w:t>
      </w:r>
      <w:r>
        <w:rPr>
          <w:sz w:val="20"/>
          <w:szCs w:val="20"/>
        </w:rPr>
        <w:t xml:space="preserve"> between December and February. Conception date is calculated as birth date minus weeks of gestation as recorded in MoH maternity data.</w:t>
      </w:r>
    </w:p>
    <w:p w:rsidR="00673FB8" w:rsidRDefault="00F44D56" w:rsidP="00F44D56">
      <w:pPr>
        <w:pStyle w:val="Body"/>
        <w:spacing w:after="0"/>
        <w:jc w:val="both"/>
        <w:rPr>
          <w:lang w:val="en-US"/>
        </w:rPr>
      </w:pPr>
      <w:r w:rsidRPr="00B12C8E">
        <w:rPr>
          <w:lang w:val="en-US"/>
        </w:rPr>
        <w:t xml:space="preserve">Overall, </w:t>
      </w:r>
      <w:r>
        <w:rPr>
          <w:lang w:val="en-US"/>
        </w:rPr>
        <w:t>for the sample as a whole,</w:t>
      </w:r>
      <w:r w:rsidRPr="00B12C8E">
        <w:rPr>
          <w:lang w:val="en-US"/>
        </w:rPr>
        <w:t xml:space="preserve"> </w:t>
      </w:r>
      <w:r w:rsidRPr="004F4C26">
        <w:rPr>
          <w:lang w:val="en-US"/>
        </w:rPr>
        <w:t>between 35 and 40</w:t>
      </w:r>
      <w:r>
        <w:rPr>
          <w:lang w:val="en-US"/>
        </w:rPr>
        <w:t xml:space="preserve"> percent of</w:t>
      </w:r>
      <w:r w:rsidRPr="00B12C8E">
        <w:rPr>
          <w:lang w:val="en-US"/>
        </w:rPr>
        <w:t xml:space="preserve"> young women were enrolled when they conceived</w:t>
      </w:r>
      <w:r>
        <w:rPr>
          <w:lang w:val="en-US"/>
        </w:rPr>
        <w:t xml:space="preserve"> (depending on the definition of the sample). The lower proportion is for the sample as a whole where we</w:t>
      </w:r>
      <w:r w:rsidRPr="00B12C8E">
        <w:rPr>
          <w:lang w:val="en-US"/>
        </w:rPr>
        <w:t xml:space="preserve"> consider </w:t>
      </w:r>
      <w:r>
        <w:rPr>
          <w:lang w:val="en-US"/>
        </w:rPr>
        <w:t>young women</w:t>
      </w:r>
      <w:r w:rsidRPr="00B12C8E">
        <w:rPr>
          <w:lang w:val="en-US"/>
        </w:rPr>
        <w:t xml:space="preserve"> </w:t>
      </w:r>
      <w:r>
        <w:rPr>
          <w:lang w:val="en-US"/>
        </w:rPr>
        <w:t>un</w:t>
      </w:r>
      <w:r w:rsidRPr="00B12C8E">
        <w:rPr>
          <w:lang w:val="en-US"/>
        </w:rPr>
        <w:t xml:space="preserve">enrolled if </w:t>
      </w:r>
      <w:r>
        <w:rPr>
          <w:lang w:val="en-US"/>
        </w:rPr>
        <w:t>they were</w:t>
      </w:r>
      <w:r w:rsidRPr="00B12C8E">
        <w:rPr>
          <w:lang w:val="en-US"/>
        </w:rPr>
        <w:t xml:space="preserve"> </w:t>
      </w:r>
      <w:r>
        <w:rPr>
          <w:lang w:val="en-US"/>
        </w:rPr>
        <w:t>un</w:t>
      </w:r>
      <w:r w:rsidRPr="00B12C8E">
        <w:rPr>
          <w:lang w:val="en-US"/>
        </w:rPr>
        <w:t xml:space="preserve">enrolled </w:t>
      </w:r>
      <w:r>
        <w:rPr>
          <w:lang w:val="en-US"/>
        </w:rPr>
        <w:t>at</w:t>
      </w:r>
      <w:r w:rsidRPr="00B12C8E">
        <w:rPr>
          <w:lang w:val="en-US"/>
        </w:rPr>
        <w:t xml:space="preserve"> the start of the summer in which </w:t>
      </w:r>
      <w:r>
        <w:rPr>
          <w:lang w:val="en-US"/>
        </w:rPr>
        <w:t>they</w:t>
      </w:r>
      <w:r w:rsidRPr="00B12C8E">
        <w:rPr>
          <w:lang w:val="en-US"/>
        </w:rPr>
        <w:t xml:space="preserve"> conceived</w:t>
      </w:r>
      <w:r>
        <w:rPr>
          <w:lang w:val="en-US"/>
        </w:rPr>
        <w:t xml:space="preserve">. Ignoring those who conceived during the summer months increases the proportion who were enrolled at conception to 40 percent. </w:t>
      </w:r>
      <w:r w:rsidRPr="00B12C8E">
        <w:rPr>
          <w:lang w:val="en-US"/>
        </w:rPr>
        <w:t xml:space="preserve">Unsurprisingly, the proportion of young women enrolled at conception falls with rising age at birth. </w:t>
      </w:r>
    </w:p>
    <w:p w:rsidR="00F44D56" w:rsidRDefault="00F44D56" w:rsidP="00F44D56">
      <w:pPr>
        <w:pStyle w:val="Body"/>
        <w:spacing w:after="0"/>
        <w:jc w:val="both"/>
        <w:rPr>
          <w:lang w:val="en-US"/>
        </w:rPr>
      </w:pPr>
      <w:r>
        <w:rPr>
          <w:lang w:val="en-US"/>
        </w:rPr>
        <w:t xml:space="preserve">Because they avoid the period for which data capture is incomplete, rates for those who conceived in 2008 or later provide the best estimates of non-enrolment at ages when school enrolment would be expected to be high.  </w:t>
      </w:r>
      <w:r w:rsidR="00673FB8">
        <w:rPr>
          <w:lang w:val="en-US"/>
        </w:rPr>
        <w:t xml:space="preserve">These rates suggest that </w:t>
      </w:r>
      <w:r>
        <w:rPr>
          <w:lang w:val="en-US"/>
        </w:rPr>
        <w:t xml:space="preserve">of mothers with their first birth at age 15, </w:t>
      </w:r>
      <w:r w:rsidRPr="004F4C26">
        <w:t>1</w:t>
      </w:r>
      <w:r>
        <w:t>8</w:t>
      </w:r>
      <w:r w:rsidRPr="004F4C26">
        <w:t xml:space="preserve"> percent</w:t>
      </w:r>
      <w:r>
        <w:rPr>
          <w:lang w:val="en-US"/>
        </w:rPr>
        <w:t xml:space="preserve"> were not enrolled in school at </w:t>
      </w:r>
      <w:r w:rsidRPr="004F4C26">
        <w:t>conception</w:t>
      </w:r>
      <w:r>
        <w:rPr>
          <w:lang w:val="en-US"/>
        </w:rPr>
        <w:t xml:space="preserve">. </w:t>
      </w:r>
      <w:r w:rsidR="00673FB8">
        <w:rPr>
          <w:lang w:val="en-US"/>
        </w:rPr>
        <w:t xml:space="preserve">Of </w:t>
      </w:r>
      <w:r>
        <w:rPr>
          <w:lang w:val="en-US"/>
        </w:rPr>
        <w:t xml:space="preserve">mothers with their first birth at age 16, 35 percent </w:t>
      </w:r>
      <w:r>
        <w:t xml:space="preserve">were not enrolled in school at conception </w:t>
      </w:r>
      <w:r>
        <w:rPr>
          <w:lang w:val="en-US"/>
        </w:rPr>
        <w:t xml:space="preserve">(most would have been of compulsory school age at conception). Consistent with findings for </w:t>
      </w:r>
      <w:r w:rsidRPr="00A96886">
        <w:rPr>
          <w:szCs w:val="24"/>
          <w:lang w:val="en-US"/>
        </w:rPr>
        <w:t>the Christchurch birth cohort (</w:t>
      </w:r>
      <w:r w:rsidRPr="004F4C26">
        <w:rPr>
          <w:noProof/>
          <w:szCs w:val="24"/>
        </w:rPr>
        <w:t>Fergusson and Woodward, 2000),</w:t>
      </w:r>
      <w:r w:rsidRPr="00A96886">
        <w:rPr>
          <w:szCs w:val="24"/>
          <w:lang w:val="en-US"/>
        </w:rPr>
        <w:t xml:space="preserve"> </w:t>
      </w:r>
      <w:r w:rsidR="00673FB8">
        <w:rPr>
          <w:szCs w:val="24"/>
          <w:lang w:val="en-US"/>
        </w:rPr>
        <w:t>these data</w:t>
      </w:r>
      <w:r>
        <w:rPr>
          <w:lang w:val="en-US"/>
        </w:rPr>
        <w:t xml:space="preserve"> </w:t>
      </w:r>
      <w:r w:rsidRPr="00B12C8E">
        <w:rPr>
          <w:lang w:val="en-US"/>
        </w:rPr>
        <w:t xml:space="preserve">show that even prior to giving birth, young </w:t>
      </w:r>
      <w:r w:rsidR="00673FB8">
        <w:rPr>
          <w:lang w:val="en-US"/>
        </w:rPr>
        <w:t>mothers</w:t>
      </w:r>
      <w:r w:rsidR="00673FB8" w:rsidRPr="00B12C8E">
        <w:rPr>
          <w:lang w:val="en-US"/>
        </w:rPr>
        <w:t xml:space="preserve"> </w:t>
      </w:r>
      <w:r w:rsidRPr="00B12C8E">
        <w:rPr>
          <w:lang w:val="en-US"/>
        </w:rPr>
        <w:t xml:space="preserve">had </w:t>
      </w:r>
      <w:r w:rsidR="00673FB8">
        <w:rPr>
          <w:lang w:val="en-US"/>
        </w:rPr>
        <w:t xml:space="preserve">a </w:t>
      </w:r>
      <w:r w:rsidRPr="00B12C8E">
        <w:rPr>
          <w:lang w:val="en-US"/>
        </w:rPr>
        <w:t xml:space="preserve">low </w:t>
      </w:r>
      <w:r w:rsidR="00673FB8">
        <w:rPr>
          <w:lang w:val="en-US"/>
        </w:rPr>
        <w:t xml:space="preserve">rate of </w:t>
      </w:r>
      <w:r w:rsidRPr="00B12C8E">
        <w:rPr>
          <w:lang w:val="en-US"/>
        </w:rPr>
        <w:t xml:space="preserve">engagement with schooling.  </w:t>
      </w:r>
    </w:p>
    <w:p w:rsidR="0051468F" w:rsidRPr="00B12C8E" w:rsidRDefault="0051468F" w:rsidP="0051468F">
      <w:pPr>
        <w:pStyle w:val="Body"/>
        <w:spacing w:after="0"/>
        <w:jc w:val="both"/>
      </w:pPr>
      <w:r>
        <w:rPr>
          <w:lang w:val="en-US"/>
        </w:rPr>
        <w:t xml:space="preserve">Table 5 tabulates the </w:t>
      </w:r>
      <w:r>
        <w:t xml:space="preserve">enrolment </w:t>
      </w:r>
      <w:r w:rsidRPr="00B12C8E">
        <w:t xml:space="preserve">status of the </w:t>
      </w:r>
      <w:r>
        <w:t xml:space="preserve">teen </w:t>
      </w:r>
      <w:r w:rsidRPr="00B12C8E">
        <w:t xml:space="preserve">mothers post-birth. </w:t>
      </w:r>
      <w:r w:rsidR="00581F79">
        <w:t>O</w:t>
      </w:r>
      <w:r>
        <w:t>nly a small group have any enrolment after giving birth (</w:t>
      </w:r>
      <w:r w:rsidRPr="004F4C26">
        <w:t>35</w:t>
      </w:r>
      <w:r>
        <w:t xml:space="preserve"> percent). </w:t>
      </w:r>
      <w:r>
        <w:rPr>
          <w:lang w:val="en-US"/>
        </w:rPr>
        <w:t>Table 6 provides the cross-tabulation between status at conception and post</w:t>
      </w:r>
      <w:r w:rsidR="00673FB8">
        <w:rPr>
          <w:lang w:val="en-US"/>
        </w:rPr>
        <w:t xml:space="preserve"> </w:t>
      </w:r>
      <w:r>
        <w:rPr>
          <w:lang w:val="en-US"/>
        </w:rPr>
        <w:t xml:space="preserve">birth. </w:t>
      </w:r>
      <w:r w:rsidRPr="00B12C8E">
        <w:rPr>
          <w:lang w:val="en-US"/>
        </w:rPr>
        <w:t xml:space="preserve">As expected, young women who were enrolled at conception were considerably more likely to be enrolled after birth </w:t>
      </w:r>
      <w:r w:rsidR="00673FB8">
        <w:rPr>
          <w:lang w:val="en-US"/>
        </w:rPr>
        <w:t>than</w:t>
      </w:r>
      <w:r>
        <w:rPr>
          <w:lang w:val="en-US"/>
        </w:rPr>
        <w:t xml:space="preserve"> </w:t>
      </w:r>
      <w:r w:rsidRPr="00B12C8E">
        <w:rPr>
          <w:lang w:val="en-US"/>
        </w:rPr>
        <w:t>young women who were not enrolled</w:t>
      </w:r>
      <w:r>
        <w:rPr>
          <w:lang w:val="en-US"/>
        </w:rPr>
        <w:t xml:space="preserve"> </w:t>
      </w:r>
      <w:r w:rsidR="0024398F">
        <w:rPr>
          <w:lang w:val="en-US"/>
        </w:rPr>
        <w:t>at conception</w:t>
      </w:r>
      <w:r w:rsidR="00F75120">
        <w:rPr>
          <w:lang w:val="en-US"/>
        </w:rPr>
        <w:t xml:space="preserve">. The proportion enrolled post-birth was 59 percent for those enrolled at conception overall, compared to </w:t>
      </w:r>
      <w:r>
        <w:rPr>
          <w:lang w:val="en-US"/>
        </w:rPr>
        <w:t>22 percent</w:t>
      </w:r>
      <w:r w:rsidR="00F75120">
        <w:rPr>
          <w:lang w:val="en-US"/>
        </w:rPr>
        <w:t xml:space="preserve"> for those not enrolled at conception</w:t>
      </w:r>
      <w:r w:rsidRPr="00B12C8E">
        <w:rPr>
          <w:lang w:val="en-US"/>
        </w:rPr>
        <w:t xml:space="preserve">. </w:t>
      </w:r>
      <w:r w:rsidR="00F75120">
        <w:rPr>
          <w:lang w:val="en-US"/>
        </w:rPr>
        <w:t>M</w:t>
      </w:r>
      <w:r w:rsidRPr="00B12C8E">
        <w:rPr>
          <w:lang w:val="en-US"/>
        </w:rPr>
        <w:t>ore young mothers were enrolled in a non-TPU school</w:t>
      </w:r>
      <w:r w:rsidR="00673FB8">
        <w:rPr>
          <w:lang w:val="en-US"/>
        </w:rPr>
        <w:t xml:space="preserve"> </w:t>
      </w:r>
      <w:r w:rsidRPr="00B12C8E">
        <w:rPr>
          <w:lang w:val="en-US"/>
        </w:rPr>
        <w:t xml:space="preserve">than in a TPU </w:t>
      </w:r>
      <w:r>
        <w:rPr>
          <w:lang w:val="en-US"/>
        </w:rPr>
        <w:t>governing</w:t>
      </w:r>
      <w:r w:rsidRPr="00B12C8E">
        <w:rPr>
          <w:lang w:val="en-US"/>
        </w:rPr>
        <w:t xml:space="preserve"> school</w:t>
      </w:r>
      <w:r w:rsidR="00673FB8">
        <w:rPr>
          <w:lang w:val="en-US"/>
        </w:rPr>
        <w:t xml:space="preserve"> post-birth</w:t>
      </w:r>
      <w:r w:rsidRPr="00B12C8E">
        <w:rPr>
          <w:lang w:val="en-US"/>
        </w:rPr>
        <w:t xml:space="preserve">. This is not surprising given that there are relatively few TPUs in the country. </w:t>
      </w:r>
    </w:p>
    <w:p w:rsidR="007C5E42" w:rsidRDefault="007C5E42" w:rsidP="007C5E42">
      <w:pPr>
        <w:spacing w:before="120"/>
        <w:jc w:val="both"/>
        <w:rPr>
          <w:sz w:val="20"/>
          <w:szCs w:val="20"/>
        </w:rPr>
      </w:pPr>
    </w:p>
    <w:p w:rsidR="007C5E42" w:rsidRDefault="007C5E42" w:rsidP="007C5E42">
      <w:pPr>
        <w:pStyle w:val="Caption"/>
        <w:spacing w:before="0" w:after="120"/>
        <w:jc w:val="center"/>
        <w:rPr>
          <w:rFonts w:eastAsia="Times New Roman"/>
          <w:sz w:val="22"/>
          <w:szCs w:val="22"/>
          <w:lang w:eastAsia="en-NZ"/>
        </w:rPr>
      </w:pPr>
      <w:bookmarkStart w:id="19" w:name="_Ref453236613"/>
      <w:bookmarkStart w:id="20" w:name="_Toc462736177"/>
      <w:bookmarkStart w:id="21" w:name="_Toc475430717"/>
      <w:r>
        <w:t xml:space="preserve">Table </w:t>
      </w:r>
      <w:r>
        <w:fldChar w:fldCharType="begin"/>
      </w:r>
      <w:r>
        <w:instrText xml:space="preserve"> SEQ Table \* ARABIC </w:instrText>
      </w:r>
      <w:r>
        <w:fldChar w:fldCharType="separate"/>
      </w:r>
      <w:r>
        <w:rPr>
          <w:noProof/>
        </w:rPr>
        <w:t>5</w:t>
      </w:r>
      <w:r>
        <w:fldChar w:fldCharType="end"/>
      </w:r>
      <w:bookmarkEnd w:id="19"/>
      <w:r>
        <w:t>:</w:t>
      </w:r>
      <w:r w:rsidRPr="007E2F46">
        <w:rPr>
          <w:rFonts w:cs="Times New Roman"/>
          <w:b w:val="0"/>
          <w:bCs w:val="0"/>
          <w:color w:val="auto"/>
          <w:szCs w:val="24"/>
          <w:lang w:eastAsia="en-US"/>
        </w:rPr>
        <w:t xml:space="preserve"> </w:t>
      </w:r>
      <w:r w:rsidRPr="00ED379E">
        <w:rPr>
          <w:rFonts w:cs="Times New Roman"/>
          <w:bCs w:val="0"/>
          <w:color w:val="auto"/>
          <w:szCs w:val="24"/>
          <w:lang w:eastAsia="en-US"/>
        </w:rPr>
        <w:t xml:space="preserve">Proportion </w:t>
      </w:r>
      <w:r>
        <w:rPr>
          <w:rFonts w:cs="Times New Roman"/>
          <w:bCs w:val="0"/>
          <w:color w:val="auto"/>
          <w:szCs w:val="24"/>
          <w:lang w:eastAsia="en-US"/>
        </w:rPr>
        <w:t xml:space="preserve">of teen mothers </w:t>
      </w:r>
      <w:r w:rsidRPr="00ED379E">
        <w:rPr>
          <w:rFonts w:cs="Times New Roman"/>
          <w:bCs w:val="0"/>
          <w:color w:val="auto"/>
          <w:szCs w:val="24"/>
          <w:lang w:eastAsia="en-US"/>
        </w:rPr>
        <w:t xml:space="preserve">enrolled </w:t>
      </w:r>
      <w:r w:rsidRPr="007E2F46">
        <w:t>post-birth by age at first birth</w:t>
      </w:r>
      <w:bookmarkEnd w:id="20"/>
      <w:bookmarkEnd w:id="21"/>
    </w:p>
    <w:tbl>
      <w:tblPr>
        <w:tblW w:w="5235" w:type="dxa"/>
        <w:jc w:val="center"/>
        <w:tblBorders>
          <w:top w:val="single" w:sz="4" w:space="0" w:color="000000"/>
          <w:bottom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550"/>
        <w:gridCol w:w="1842"/>
        <w:gridCol w:w="1843"/>
      </w:tblGrid>
      <w:tr w:rsidR="007C5E42" w:rsidRPr="000076CD" w:rsidTr="00A60DC6">
        <w:trPr>
          <w:trHeight w:val="624"/>
          <w:jc w:val="center"/>
        </w:trPr>
        <w:tc>
          <w:tcPr>
            <w:tcW w:w="1550" w:type="dxa"/>
            <w:shd w:val="clear" w:color="auto" w:fill="auto"/>
            <w:tcMar>
              <w:top w:w="15" w:type="dxa"/>
              <w:left w:w="108" w:type="dxa"/>
              <w:bottom w:w="0" w:type="dxa"/>
              <w:right w:w="108" w:type="dxa"/>
            </w:tcMar>
            <w:vAlign w:val="bottom"/>
            <w:hideMark/>
          </w:tcPr>
          <w:p w:rsidR="007C5E42" w:rsidRPr="000076CD" w:rsidRDefault="007C5E42" w:rsidP="00A60DC6">
            <w:pPr>
              <w:spacing w:before="120"/>
              <w:jc w:val="center"/>
              <w:rPr>
                <w:sz w:val="20"/>
                <w:szCs w:val="20"/>
                <w:lang w:val="en-NZ"/>
              </w:rPr>
            </w:pPr>
            <w:r w:rsidRPr="000076CD">
              <w:rPr>
                <w:sz w:val="20"/>
                <w:szCs w:val="20"/>
                <w:lang w:val="en-NZ"/>
              </w:rPr>
              <w:t>Mother’s age at first birth</w:t>
            </w:r>
          </w:p>
        </w:tc>
        <w:tc>
          <w:tcPr>
            <w:tcW w:w="1842" w:type="dxa"/>
            <w:shd w:val="clear" w:color="auto" w:fill="auto"/>
            <w:tcMar>
              <w:top w:w="15" w:type="dxa"/>
              <w:left w:w="108" w:type="dxa"/>
              <w:bottom w:w="0" w:type="dxa"/>
              <w:right w:w="108" w:type="dxa"/>
            </w:tcMar>
            <w:vAlign w:val="bottom"/>
            <w:hideMark/>
          </w:tcPr>
          <w:p w:rsidR="007C5E42" w:rsidRPr="000076CD" w:rsidRDefault="007C5E42" w:rsidP="00A60DC6">
            <w:pPr>
              <w:spacing w:before="120"/>
              <w:jc w:val="center"/>
              <w:rPr>
                <w:sz w:val="20"/>
                <w:szCs w:val="20"/>
                <w:lang w:val="en-NZ"/>
              </w:rPr>
            </w:pPr>
            <w:r>
              <w:rPr>
                <w:sz w:val="20"/>
                <w:szCs w:val="20"/>
                <w:lang w:val="en-NZ"/>
              </w:rPr>
              <w:t>% e</w:t>
            </w:r>
            <w:r w:rsidRPr="000076CD">
              <w:rPr>
                <w:sz w:val="20"/>
                <w:szCs w:val="20"/>
                <w:lang w:val="en-NZ"/>
              </w:rPr>
              <w:t>nrolled at some point after birth</w:t>
            </w:r>
          </w:p>
        </w:tc>
        <w:tc>
          <w:tcPr>
            <w:tcW w:w="1843" w:type="dxa"/>
            <w:shd w:val="clear" w:color="auto" w:fill="auto"/>
            <w:tcMar>
              <w:top w:w="15" w:type="dxa"/>
              <w:left w:w="108" w:type="dxa"/>
              <w:bottom w:w="0" w:type="dxa"/>
              <w:right w:w="108" w:type="dxa"/>
            </w:tcMar>
            <w:vAlign w:val="bottom"/>
            <w:hideMark/>
          </w:tcPr>
          <w:p w:rsidR="007C5E42" w:rsidRPr="00EE2772" w:rsidRDefault="007C5E42" w:rsidP="00A60DC6">
            <w:pPr>
              <w:spacing w:before="120"/>
              <w:jc w:val="center"/>
              <w:rPr>
                <w:i/>
                <w:sz w:val="20"/>
                <w:szCs w:val="20"/>
                <w:lang w:val="en-NZ"/>
              </w:rPr>
            </w:pPr>
            <w:r w:rsidRPr="00EE2772">
              <w:rPr>
                <w:i/>
                <w:sz w:val="20"/>
                <w:szCs w:val="20"/>
                <w:lang w:val="en-NZ"/>
              </w:rPr>
              <w:t>n</w:t>
            </w:r>
          </w:p>
        </w:tc>
      </w:tr>
      <w:tr w:rsidR="007C5E42" w:rsidRPr="000076CD" w:rsidTr="00A60DC6">
        <w:trPr>
          <w:trHeight w:val="380"/>
          <w:jc w:val="center"/>
        </w:trPr>
        <w:tc>
          <w:tcPr>
            <w:tcW w:w="1550" w:type="dxa"/>
            <w:shd w:val="clear" w:color="auto" w:fill="auto"/>
            <w:tcMar>
              <w:top w:w="15" w:type="dxa"/>
              <w:left w:w="108" w:type="dxa"/>
              <w:bottom w:w="0" w:type="dxa"/>
              <w:right w:w="108" w:type="dxa"/>
            </w:tcMar>
            <w:vAlign w:val="center"/>
            <w:hideMark/>
          </w:tcPr>
          <w:p w:rsidR="007C5E42" w:rsidRPr="000076CD" w:rsidRDefault="007C5E42" w:rsidP="00A60DC6">
            <w:pPr>
              <w:spacing w:before="120"/>
              <w:jc w:val="center"/>
              <w:rPr>
                <w:sz w:val="20"/>
                <w:szCs w:val="20"/>
                <w:lang w:val="en-NZ"/>
              </w:rPr>
            </w:pPr>
            <w:r w:rsidRPr="000076CD">
              <w:rPr>
                <w:sz w:val="20"/>
                <w:szCs w:val="20"/>
                <w:lang w:val="en-NZ"/>
              </w:rPr>
              <w:t>13</w:t>
            </w:r>
          </w:p>
        </w:tc>
        <w:tc>
          <w:tcPr>
            <w:tcW w:w="3685" w:type="dxa"/>
            <w:gridSpan w:val="2"/>
            <w:shd w:val="clear" w:color="auto" w:fill="auto"/>
            <w:tcMar>
              <w:top w:w="15" w:type="dxa"/>
              <w:left w:w="108" w:type="dxa"/>
              <w:bottom w:w="0" w:type="dxa"/>
              <w:right w:w="108" w:type="dxa"/>
            </w:tcMar>
            <w:vAlign w:val="center"/>
            <w:hideMark/>
          </w:tcPr>
          <w:p w:rsidR="007C5E42" w:rsidRPr="000076CD" w:rsidRDefault="007C5E42" w:rsidP="00A60DC6">
            <w:pPr>
              <w:spacing w:before="120"/>
              <w:jc w:val="center"/>
              <w:rPr>
                <w:sz w:val="20"/>
                <w:szCs w:val="20"/>
                <w:lang w:val="en-NZ"/>
              </w:rPr>
            </w:pPr>
            <w:r w:rsidRPr="000076CD">
              <w:rPr>
                <w:sz w:val="20"/>
                <w:szCs w:val="20"/>
                <w:lang w:val="en-NZ"/>
              </w:rPr>
              <w:t>Too few for display</w:t>
            </w:r>
          </w:p>
        </w:tc>
      </w:tr>
      <w:tr w:rsidR="007C5E42" w:rsidRPr="000076CD" w:rsidTr="00A60DC6">
        <w:trPr>
          <w:trHeight w:val="381"/>
          <w:jc w:val="center"/>
        </w:trPr>
        <w:tc>
          <w:tcPr>
            <w:tcW w:w="1550" w:type="dxa"/>
            <w:shd w:val="clear" w:color="auto" w:fill="auto"/>
            <w:tcMar>
              <w:top w:w="15" w:type="dxa"/>
              <w:left w:w="108" w:type="dxa"/>
              <w:bottom w:w="0" w:type="dxa"/>
              <w:right w:w="108" w:type="dxa"/>
            </w:tcMar>
            <w:vAlign w:val="center"/>
            <w:hideMark/>
          </w:tcPr>
          <w:p w:rsidR="007C5E42" w:rsidRPr="000076CD" w:rsidRDefault="007C5E42" w:rsidP="00A60DC6">
            <w:pPr>
              <w:spacing w:before="120"/>
              <w:jc w:val="center"/>
              <w:rPr>
                <w:sz w:val="20"/>
                <w:szCs w:val="20"/>
                <w:lang w:val="en-NZ"/>
              </w:rPr>
            </w:pPr>
            <w:r w:rsidRPr="000076CD">
              <w:rPr>
                <w:sz w:val="20"/>
                <w:szCs w:val="20"/>
                <w:lang w:val="en-NZ"/>
              </w:rPr>
              <w:t>14</w:t>
            </w:r>
          </w:p>
        </w:tc>
        <w:tc>
          <w:tcPr>
            <w:tcW w:w="1842" w:type="dxa"/>
            <w:shd w:val="clear" w:color="auto" w:fill="auto"/>
            <w:tcMar>
              <w:top w:w="15" w:type="dxa"/>
              <w:left w:w="108" w:type="dxa"/>
              <w:bottom w:w="0" w:type="dxa"/>
              <w:right w:w="108" w:type="dxa"/>
            </w:tcMar>
            <w:vAlign w:val="center"/>
            <w:hideMark/>
          </w:tcPr>
          <w:p w:rsidR="007C5E42" w:rsidRPr="000076CD" w:rsidRDefault="007C5E42" w:rsidP="00A60DC6">
            <w:pPr>
              <w:spacing w:before="120"/>
              <w:jc w:val="center"/>
              <w:rPr>
                <w:sz w:val="20"/>
                <w:szCs w:val="20"/>
                <w:lang w:val="en-NZ"/>
              </w:rPr>
            </w:pPr>
            <w:r w:rsidRPr="000076CD">
              <w:rPr>
                <w:sz w:val="20"/>
                <w:szCs w:val="20"/>
                <w:lang w:val="en-NZ"/>
              </w:rPr>
              <w:t>97</w:t>
            </w:r>
            <w:r>
              <w:rPr>
                <w:sz w:val="20"/>
                <w:szCs w:val="20"/>
                <w:lang w:val="en-NZ"/>
              </w:rPr>
              <w:t>%</w:t>
            </w:r>
          </w:p>
        </w:tc>
        <w:tc>
          <w:tcPr>
            <w:tcW w:w="1843" w:type="dxa"/>
            <w:shd w:val="clear" w:color="auto" w:fill="auto"/>
            <w:tcMar>
              <w:top w:w="15" w:type="dxa"/>
              <w:left w:w="108" w:type="dxa"/>
              <w:bottom w:w="0" w:type="dxa"/>
              <w:right w:w="108" w:type="dxa"/>
            </w:tcMar>
            <w:vAlign w:val="center"/>
            <w:hideMark/>
          </w:tcPr>
          <w:p w:rsidR="007C5E42" w:rsidRPr="000076CD" w:rsidRDefault="007C5E42" w:rsidP="00A60DC6">
            <w:pPr>
              <w:spacing w:before="120"/>
              <w:jc w:val="center"/>
              <w:rPr>
                <w:sz w:val="20"/>
                <w:szCs w:val="20"/>
                <w:lang w:val="en-NZ"/>
              </w:rPr>
            </w:pPr>
            <w:r w:rsidRPr="000076CD">
              <w:rPr>
                <w:sz w:val="20"/>
                <w:szCs w:val="20"/>
                <w:lang w:val="en-NZ"/>
              </w:rPr>
              <w:t>111</w:t>
            </w:r>
          </w:p>
        </w:tc>
      </w:tr>
      <w:tr w:rsidR="007C5E42" w:rsidRPr="000076CD" w:rsidTr="00A60DC6">
        <w:trPr>
          <w:trHeight w:val="381"/>
          <w:jc w:val="center"/>
        </w:trPr>
        <w:tc>
          <w:tcPr>
            <w:tcW w:w="1550" w:type="dxa"/>
            <w:shd w:val="clear" w:color="auto" w:fill="auto"/>
            <w:tcMar>
              <w:top w:w="15" w:type="dxa"/>
              <w:left w:w="108" w:type="dxa"/>
              <w:bottom w:w="0" w:type="dxa"/>
              <w:right w:w="108" w:type="dxa"/>
            </w:tcMar>
            <w:vAlign w:val="center"/>
            <w:hideMark/>
          </w:tcPr>
          <w:p w:rsidR="007C5E42" w:rsidRPr="000076CD" w:rsidRDefault="007C5E42" w:rsidP="00A60DC6">
            <w:pPr>
              <w:spacing w:before="120"/>
              <w:jc w:val="center"/>
              <w:rPr>
                <w:sz w:val="20"/>
                <w:szCs w:val="20"/>
                <w:lang w:val="en-NZ"/>
              </w:rPr>
            </w:pPr>
            <w:r w:rsidRPr="000076CD">
              <w:rPr>
                <w:sz w:val="20"/>
                <w:szCs w:val="20"/>
                <w:lang w:val="en-NZ"/>
              </w:rPr>
              <w:t>15</w:t>
            </w:r>
          </w:p>
        </w:tc>
        <w:tc>
          <w:tcPr>
            <w:tcW w:w="1842" w:type="dxa"/>
            <w:shd w:val="clear" w:color="auto" w:fill="auto"/>
            <w:tcMar>
              <w:top w:w="15" w:type="dxa"/>
              <w:left w:w="108" w:type="dxa"/>
              <w:bottom w:w="0" w:type="dxa"/>
              <w:right w:w="108" w:type="dxa"/>
            </w:tcMar>
            <w:vAlign w:val="center"/>
            <w:hideMark/>
          </w:tcPr>
          <w:p w:rsidR="007C5E42" w:rsidRPr="000076CD" w:rsidRDefault="00DE223D" w:rsidP="00A60DC6">
            <w:pPr>
              <w:spacing w:before="120"/>
              <w:jc w:val="center"/>
              <w:rPr>
                <w:sz w:val="20"/>
                <w:szCs w:val="20"/>
                <w:lang w:val="en-NZ"/>
              </w:rPr>
            </w:pPr>
            <w:r>
              <w:rPr>
                <w:sz w:val="20"/>
                <w:szCs w:val="20"/>
                <w:lang w:val="en-NZ"/>
              </w:rPr>
              <w:t>85</w:t>
            </w:r>
            <w:r w:rsidR="007C5E42">
              <w:rPr>
                <w:sz w:val="20"/>
                <w:szCs w:val="20"/>
                <w:lang w:val="en-NZ"/>
              </w:rPr>
              <w:t>%</w:t>
            </w:r>
          </w:p>
        </w:tc>
        <w:tc>
          <w:tcPr>
            <w:tcW w:w="1843" w:type="dxa"/>
            <w:shd w:val="clear" w:color="auto" w:fill="auto"/>
            <w:tcMar>
              <w:top w:w="15" w:type="dxa"/>
              <w:left w:w="108" w:type="dxa"/>
              <w:bottom w:w="0" w:type="dxa"/>
              <w:right w:w="108" w:type="dxa"/>
            </w:tcMar>
            <w:vAlign w:val="center"/>
            <w:hideMark/>
          </w:tcPr>
          <w:p w:rsidR="007C5E42" w:rsidRPr="000076CD" w:rsidRDefault="007C5E42" w:rsidP="00A60DC6">
            <w:pPr>
              <w:spacing w:before="120"/>
              <w:jc w:val="center"/>
              <w:rPr>
                <w:sz w:val="20"/>
                <w:szCs w:val="20"/>
                <w:lang w:val="en-NZ"/>
              </w:rPr>
            </w:pPr>
            <w:r w:rsidRPr="000076CD">
              <w:rPr>
                <w:sz w:val="20"/>
                <w:szCs w:val="20"/>
                <w:lang w:val="en-NZ"/>
              </w:rPr>
              <w:t>465</w:t>
            </w:r>
          </w:p>
        </w:tc>
      </w:tr>
      <w:tr w:rsidR="007C5E42" w:rsidRPr="000076CD" w:rsidTr="00A60DC6">
        <w:trPr>
          <w:trHeight w:val="381"/>
          <w:jc w:val="center"/>
        </w:trPr>
        <w:tc>
          <w:tcPr>
            <w:tcW w:w="1550" w:type="dxa"/>
            <w:shd w:val="clear" w:color="auto" w:fill="auto"/>
            <w:tcMar>
              <w:top w:w="15" w:type="dxa"/>
              <w:left w:w="108" w:type="dxa"/>
              <w:bottom w:w="0" w:type="dxa"/>
              <w:right w:w="108" w:type="dxa"/>
            </w:tcMar>
            <w:vAlign w:val="center"/>
            <w:hideMark/>
          </w:tcPr>
          <w:p w:rsidR="007C5E42" w:rsidRPr="000076CD" w:rsidRDefault="007C5E42" w:rsidP="00A60DC6">
            <w:pPr>
              <w:spacing w:before="120"/>
              <w:jc w:val="center"/>
              <w:rPr>
                <w:sz w:val="20"/>
                <w:szCs w:val="20"/>
                <w:lang w:val="en-NZ"/>
              </w:rPr>
            </w:pPr>
            <w:r w:rsidRPr="000076CD">
              <w:rPr>
                <w:sz w:val="20"/>
                <w:szCs w:val="20"/>
                <w:lang w:val="en-NZ"/>
              </w:rPr>
              <w:t>16</w:t>
            </w:r>
          </w:p>
        </w:tc>
        <w:tc>
          <w:tcPr>
            <w:tcW w:w="1842" w:type="dxa"/>
            <w:shd w:val="clear" w:color="auto" w:fill="auto"/>
            <w:tcMar>
              <w:top w:w="15" w:type="dxa"/>
              <w:left w:w="108" w:type="dxa"/>
              <w:bottom w:w="0" w:type="dxa"/>
              <w:right w:w="108" w:type="dxa"/>
            </w:tcMar>
            <w:vAlign w:val="center"/>
            <w:hideMark/>
          </w:tcPr>
          <w:p w:rsidR="007C5E42" w:rsidRPr="000076CD" w:rsidRDefault="00DE223D" w:rsidP="00A60DC6">
            <w:pPr>
              <w:spacing w:before="120"/>
              <w:jc w:val="center"/>
              <w:rPr>
                <w:sz w:val="20"/>
                <w:szCs w:val="20"/>
                <w:lang w:val="en-NZ"/>
              </w:rPr>
            </w:pPr>
            <w:r>
              <w:rPr>
                <w:sz w:val="20"/>
                <w:szCs w:val="20"/>
                <w:lang w:val="en-NZ"/>
              </w:rPr>
              <w:t>54</w:t>
            </w:r>
            <w:r w:rsidR="007C5E42">
              <w:rPr>
                <w:sz w:val="20"/>
                <w:szCs w:val="20"/>
                <w:lang w:val="en-NZ"/>
              </w:rPr>
              <w:t>%</w:t>
            </w:r>
          </w:p>
        </w:tc>
        <w:tc>
          <w:tcPr>
            <w:tcW w:w="1843" w:type="dxa"/>
            <w:shd w:val="clear" w:color="auto" w:fill="auto"/>
            <w:tcMar>
              <w:top w:w="15" w:type="dxa"/>
              <w:left w:w="108" w:type="dxa"/>
              <w:bottom w:w="0" w:type="dxa"/>
              <w:right w:w="108" w:type="dxa"/>
            </w:tcMar>
            <w:vAlign w:val="center"/>
            <w:hideMark/>
          </w:tcPr>
          <w:p w:rsidR="007C5E42" w:rsidRPr="000076CD" w:rsidRDefault="007C5E42" w:rsidP="00A60DC6">
            <w:pPr>
              <w:spacing w:before="120"/>
              <w:jc w:val="center"/>
              <w:rPr>
                <w:sz w:val="20"/>
                <w:szCs w:val="20"/>
                <w:lang w:val="en-NZ"/>
              </w:rPr>
            </w:pPr>
            <w:r w:rsidRPr="000076CD">
              <w:rPr>
                <w:sz w:val="20"/>
                <w:szCs w:val="20"/>
                <w:lang w:val="en-NZ"/>
              </w:rPr>
              <w:t>1,254</w:t>
            </w:r>
          </w:p>
        </w:tc>
      </w:tr>
      <w:tr w:rsidR="007C5E42" w:rsidRPr="000076CD" w:rsidTr="00A60DC6">
        <w:trPr>
          <w:trHeight w:val="381"/>
          <w:jc w:val="center"/>
        </w:trPr>
        <w:tc>
          <w:tcPr>
            <w:tcW w:w="1550" w:type="dxa"/>
            <w:shd w:val="clear" w:color="auto" w:fill="auto"/>
            <w:tcMar>
              <w:top w:w="15" w:type="dxa"/>
              <w:left w:w="108" w:type="dxa"/>
              <w:bottom w:w="0" w:type="dxa"/>
              <w:right w:w="108" w:type="dxa"/>
            </w:tcMar>
            <w:vAlign w:val="center"/>
            <w:hideMark/>
          </w:tcPr>
          <w:p w:rsidR="007C5E42" w:rsidRPr="000076CD" w:rsidRDefault="007C5E42" w:rsidP="00A60DC6">
            <w:pPr>
              <w:spacing w:before="120"/>
              <w:jc w:val="center"/>
              <w:rPr>
                <w:sz w:val="20"/>
                <w:szCs w:val="20"/>
                <w:lang w:val="en-NZ"/>
              </w:rPr>
            </w:pPr>
            <w:r w:rsidRPr="000076CD">
              <w:rPr>
                <w:sz w:val="20"/>
                <w:szCs w:val="20"/>
                <w:lang w:val="en-NZ"/>
              </w:rPr>
              <w:t>17</w:t>
            </w:r>
          </w:p>
        </w:tc>
        <w:tc>
          <w:tcPr>
            <w:tcW w:w="1842" w:type="dxa"/>
            <w:shd w:val="clear" w:color="auto" w:fill="auto"/>
            <w:tcMar>
              <w:top w:w="15" w:type="dxa"/>
              <w:left w:w="108" w:type="dxa"/>
              <w:bottom w:w="0" w:type="dxa"/>
              <w:right w:w="108" w:type="dxa"/>
            </w:tcMar>
            <w:vAlign w:val="center"/>
            <w:hideMark/>
          </w:tcPr>
          <w:p w:rsidR="007C5E42" w:rsidRPr="000076CD" w:rsidRDefault="00DE223D" w:rsidP="00A60DC6">
            <w:pPr>
              <w:spacing w:before="120"/>
              <w:jc w:val="center"/>
              <w:rPr>
                <w:sz w:val="20"/>
                <w:szCs w:val="20"/>
                <w:lang w:val="en-NZ"/>
              </w:rPr>
            </w:pPr>
            <w:r>
              <w:rPr>
                <w:sz w:val="20"/>
                <w:szCs w:val="20"/>
                <w:lang w:val="en-NZ"/>
              </w:rPr>
              <w:t>35</w:t>
            </w:r>
            <w:r w:rsidR="007C5E42">
              <w:rPr>
                <w:sz w:val="20"/>
                <w:szCs w:val="20"/>
                <w:lang w:val="en-NZ"/>
              </w:rPr>
              <w:t>%</w:t>
            </w:r>
          </w:p>
        </w:tc>
        <w:tc>
          <w:tcPr>
            <w:tcW w:w="1843" w:type="dxa"/>
            <w:shd w:val="clear" w:color="auto" w:fill="auto"/>
            <w:tcMar>
              <w:top w:w="15" w:type="dxa"/>
              <w:left w:w="108" w:type="dxa"/>
              <w:bottom w:w="0" w:type="dxa"/>
              <w:right w:w="108" w:type="dxa"/>
            </w:tcMar>
            <w:vAlign w:val="center"/>
            <w:hideMark/>
          </w:tcPr>
          <w:p w:rsidR="007C5E42" w:rsidRPr="000076CD" w:rsidRDefault="007C5E42" w:rsidP="00A60DC6">
            <w:pPr>
              <w:spacing w:before="120"/>
              <w:jc w:val="center"/>
              <w:rPr>
                <w:sz w:val="20"/>
                <w:szCs w:val="20"/>
                <w:lang w:val="en-NZ"/>
              </w:rPr>
            </w:pPr>
            <w:r w:rsidRPr="000076CD">
              <w:rPr>
                <w:sz w:val="20"/>
                <w:szCs w:val="20"/>
                <w:lang w:val="en-NZ"/>
              </w:rPr>
              <w:t>2,355</w:t>
            </w:r>
          </w:p>
        </w:tc>
      </w:tr>
      <w:tr w:rsidR="007C5E42" w:rsidRPr="000076CD" w:rsidTr="00A60DC6">
        <w:trPr>
          <w:trHeight w:val="381"/>
          <w:jc w:val="center"/>
        </w:trPr>
        <w:tc>
          <w:tcPr>
            <w:tcW w:w="1550" w:type="dxa"/>
            <w:shd w:val="clear" w:color="auto" w:fill="auto"/>
            <w:tcMar>
              <w:top w:w="15" w:type="dxa"/>
              <w:left w:w="108" w:type="dxa"/>
              <w:bottom w:w="0" w:type="dxa"/>
              <w:right w:w="108" w:type="dxa"/>
            </w:tcMar>
            <w:vAlign w:val="center"/>
            <w:hideMark/>
          </w:tcPr>
          <w:p w:rsidR="007C5E42" w:rsidRPr="000076CD" w:rsidRDefault="007C5E42" w:rsidP="00A60DC6">
            <w:pPr>
              <w:spacing w:before="120"/>
              <w:jc w:val="center"/>
              <w:rPr>
                <w:sz w:val="20"/>
                <w:szCs w:val="20"/>
                <w:lang w:val="en-NZ"/>
              </w:rPr>
            </w:pPr>
            <w:r w:rsidRPr="000076CD">
              <w:rPr>
                <w:sz w:val="20"/>
                <w:szCs w:val="20"/>
                <w:lang w:val="en-NZ"/>
              </w:rPr>
              <w:t>18</w:t>
            </w:r>
          </w:p>
        </w:tc>
        <w:tc>
          <w:tcPr>
            <w:tcW w:w="1842" w:type="dxa"/>
            <w:shd w:val="clear" w:color="auto" w:fill="auto"/>
            <w:tcMar>
              <w:top w:w="15" w:type="dxa"/>
              <w:left w:w="108" w:type="dxa"/>
              <w:bottom w:w="0" w:type="dxa"/>
              <w:right w:w="108" w:type="dxa"/>
            </w:tcMar>
            <w:vAlign w:val="center"/>
            <w:hideMark/>
          </w:tcPr>
          <w:p w:rsidR="007C5E42" w:rsidRPr="000076CD" w:rsidRDefault="007C5E42" w:rsidP="00A60DC6">
            <w:pPr>
              <w:spacing w:before="120"/>
              <w:jc w:val="center"/>
              <w:rPr>
                <w:sz w:val="20"/>
                <w:szCs w:val="20"/>
                <w:lang w:val="en-NZ"/>
              </w:rPr>
            </w:pPr>
            <w:r w:rsidRPr="000076CD">
              <w:rPr>
                <w:sz w:val="20"/>
                <w:szCs w:val="20"/>
                <w:lang w:val="en-NZ"/>
              </w:rPr>
              <w:t>14</w:t>
            </w:r>
            <w:r>
              <w:rPr>
                <w:sz w:val="20"/>
                <w:szCs w:val="20"/>
                <w:lang w:val="en-NZ"/>
              </w:rPr>
              <w:t>%</w:t>
            </w:r>
          </w:p>
        </w:tc>
        <w:tc>
          <w:tcPr>
            <w:tcW w:w="1843" w:type="dxa"/>
            <w:shd w:val="clear" w:color="auto" w:fill="auto"/>
            <w:tcMar>
              <w:top w:w="15" w:type="dxa"/>
              <w:left w:w="108" w:type="dxa"/>
              <w:bottom w:w="0" w:type="dxa"/>
              <w:right w:w="108" w:type="dxa"/>
            </w:tcMar>
            <w:vAlign w:val="center"/>
            <w:hideMark/>
          </w:tcPr>
          <w:p w:rsidR="007C5E42" w:rsidRPr="000076CD" w:rsidRDefault="007C5E42" w:rsidP="00A60DC6">
            <w:pPr>
              <w:spacing w:before="120"/>
              <w:jc w:val="center"/>
              <w:rPr>
                <w:sz w:val="20"/>
                <w:szCs w:val="20"/>
                <w:lang w:val="en-NZ"/>
              </w:rPr>
            </w:pPr>
            <w:r w:rsidRPr="000076CD">
              <w:rPr>
                <w:sz w:val="20"/>
                <w:szCs w:val="20"/>
                <w:lang w:val="en-NZ"/>
              </w:rPr>
              <w:t>2,514</w:t>
            </w:r>
          </w:p>
        </w:tc>
      </w:tr>
      <w:tr w:rsidR="007C5E42" w:rsidRPr="000076CD" w:rsidTr="00A60DC6">
        <w:trPr>
          <w:trHeight w:val="381"/>
          <w:jc w:val="center"/>
        </w:trPr>
        <w:tc>
          <w:tcPr>
            <w:tcW w:w="1550" w:type="dxa"/>
            <w:shd w:val="clear" w:color="auto" w:fill="auto"/>
            <w:tcMar>
              <w:top w:w="15" w:type="dxa"/>
              <w:left w:w="108" w:type="dxa"/>
              <w:bottom w:w="0" w:type="dxa"/>
              <w:right w:w="108" w:type="dxa"/>
            </w:tcMar>
            <w:vAlign w:val="center"/>
            <w:hideMark/>
          </w:tcPr>
          <w:p w:rsidR="007C5E42" w:rsidRPr="000076CD" w:rsidRDefault="007C5E42" w:rsidP="00A60DC6">
            <w:pPr>
              <w:spacing w:before="120"/>
              <w:jc w:val="center"/>
              <w:rPr>
                <w:sz w:val="20"/>
                <w:szCs w:val="20"/>
                <w:lang w:val="en-NZ"/>
              </w:rPr>
            </w:pPr>
            <w:r w:rsidRPr="000076CD">
              <w:rPr>
                <w:sz w:val="20"/>
                <w:szCs w:val="20"/>
                <w:lang w:val="en-NZ"/>
              </w:rPr>
              <w:t>All</w:t>
            </w:r>
          </w:p>
        </w:tc>
        <w:tc>
          <w:tcPr>
            <w:tcW w:w="1842" w:type="dxa"/>
            <w:shd w:val="clear" w:color="auto" w:fill="auto"/>
            <w:tcMar>
              <w:top w:w="15" w:type="dxa"/>
              <w:left w:w="108" w:type="dxa"/>
              <w:bottom w:w="0" w:type="dxa"/>
              <w:right w:w="108" w:type="dxa"/>
            </w:tcMar>
            <w:vAlign w:val="center"/>
            <w:hideMark/>
          </w:tcPr>
          <w:p w:rsidR="007C5E42" w:rsidRPr="000076CD" w:rsidRDefault="007C5E42" w:rsidP="00A60DC6">
            <w:pPr>
              <w:spacing w:before="120"/>
              <w:jc w:val="center"/>
              <w:rPr>
                <w:sz w:val="20"/>
                <w:szCs w:val="20"/>
                <w:lang w:val="en-NZ"/>
              </w:rPr>
            </w:pPr>
            <w:r w:rsidRPr="000076CD">
              <w:rPr>
                <w:sz w:val="20"/>
                <w:szCs w:val="20"/>
                <w:lang w:val="en-NZ"/>
              </w:rPr>
              <w:t>35</w:t>
            </w:r>
            <w:r>
              <w:rPr>
                <w:sz w:val="20"/>
                <w:szCs w:val="20"/>
                <w:lang w:val="en-NZ"/>
              </w:rPr>
              <w:t>%</w:t>
            </w:r>
          </w:p>
        </w:tc>
        <w:tc>
          <w:tcPr>
            <w:tcW w:w="1843" w:type="dxa"/>
            <w:shd w:val="clear" w:color="auto" w:fill="auto"/>
            <w:tcMar>
              <w:top w:w="15" w:type="dxa"/>
              <w:left w:w="108" w:type="dxa"/>
              <w:bottom w:w="0" w:type="dxa"/>
              <w:right w:w="108" w:type="dxa"/>
            </w:tcMar>
            <w:vAlign w:val="center"/>
            <w:hideMark/>
          </w:tcPr>
          <w:p w:rsidR="007C5E42" w:rsidRPr="000076CD" w:rsidRDefault="007C5E42" w:rsidP="00A60DC6">
            <w:pPr>
              <w:spacing w:before="120"/>
              <w:jc w:val="center"/>
              <w:rPr>
                <w:sz w:val="20"/>
                <w:szCs w:val="20"/>
                <w:lang w:val="en-NZ"/>
              </w:rPr>
            </w:pPr>
            <w:r w:rsidRPr="000076CD">
              <w:rPr>
                <w:sz w:val="20"/>
                <w:szCs w:val="20"/>
                <w:lang w:val="en-NZ"/>
              </w:rPr>
              <w:t>6,711</w:t>
            </w:r>
          </w:p>
        </w:tc>
      </w:tr>
    </w:tbl>
    <w:p w:rsidR="007C5E42" w:rsidRDefault="007C5E42" w:rsidP="007C5E42">
      <w:pPr>
        <w:spacing w:before="120"/>
        <w:jc w:val="both"/>
        <w:rPr>
          <w:sz w:val="20"/>
          <w:szCs w:val="20"/>
        </w:rPr>
      </w:pPr>
      <w:r>
        <w:rPr>
          <w:i/>
          <w:sz w:val="20"/>
          <w:szCs w:val="20"/>
        </w:rPr>
        <w:t>N</w:t>
      </w:r>
      <w:r w:rsidRPr="00891CC2">
        <w:rPr>
          <w:i/>
          <w:sz w:val="20"/>
          <w:szCs w:val="20"/>
        </w:rPr>
        <w:t>otes:</w:t>
      </w:r>
      <w:r w:rsidRPr="005E520A">
        <w:rPr>
          <w:sz w:val="20"/>
          <w:szCs w:val="20"/>
        </w:rPr>
        <w:t xml:space="preserve"> </w:t>
      </w:r>
      <w:r>
        <w:rPr>
          <w:sz w:val="20"/>
          <w:szCs w:val="20"/>
        </w:rPr>
        <w:t xml:space="preserve">Study sample of </w:t>
      </w:r>
      <w:r w:rsidRPr="00971CC5">
        <w:rPr>
          <w:sz w:val="20"/>
          <w:szCs w:val="20"/>
        </w:rPr>
        <w:t>young wom</w:t>
      </w:r>
      <w:r>
        <w:rPr>
          <w:sz w:val="20"/>
          <w:szCs w:val="20"/>
        </w:rPr>
        <w:t>e</w:t>
      </w:r>
      <w:r w:rsidRPr="00971CC5">
        <w:rPr>
          <w:sz w:val="20"/>
          <w:szCs w:val="20"/>
        </w:rPr>
        <w:t xml:space="preserve">n </w:t>
      </w:r>
      <w:r>
        <w:rPr>
          <w:sz w:val="20"/>
          <w:szCs w:val="20"/>
        </w:rPr>
        <w:t xml:space="preserve">in cohorts born </w:t>
      </w:r>
      <w:r w:rsidRPr="00971CC5">
        <w:rPr>
          <w:sz w:val="20"/>
          <w:szCs w:val="20"/>
        </w:rPr>
        <w:t>between 1 Jan 1991 and 31 December 1994 and enrolled in a New Zealand school for at least one day between the start of ENROL in 2006 and 1 January 2008</w:t>
      </w:r>
      <w:r>
        <w:rPr>
          <w:sz w:val="20"/>
          <w:szCs w:val="20"/>
        </w:rPr>
        <w:t xml:space="preserve"> and who recorded a live birth between 13</w:t>
      </w:r>
      <w:r w:rsidRPr="00043454">
        <w:rPr>
          <w:sz w:val="20"/>
          <w:szCs w:val="20"/>
          <w:vertAlign w:val="superscript"/>
        </w:rPr>
        <w:t>th</w:t>
      </w:r>
      <w:r>
        <w:rPr>
          <w:sz w:val="20"/>
          <w:szCs w:val="20"/>
        </w:rPr>
        <w:t xml:space="preserve"> and 19</w:t>
      </w:r>
      <w:r w:rsidRPr="00043454">
        <w:rPr>
          <w:sz w:val="20"/>
          <w:szCs w:val="20"/>
          <w:vertAlign w:val="superscript"/>
        </w:rPr>
        <w:t>th</w:t>
      </w:r>
      <w:r>
        <w:rPr>
          <w:sz w:val="20"/>
          <w:szCs w:val="20"/>
        </w:rPr>
        <w:t xml:space="preserve"> birthday in the MoH maternity data. Enrolment after birth is defined as having at least one day’s enrolment in a school after the birth of the baby and before April 2014 (when the ENROL data ends). </w:t>
      </w:r>
    </w:p>
    <w:p w:rsidR="007C5E42" w:rsidRDefault="007C5E42" w:rsidP="007C5E42">
      <w:pPr>
        <w:pStyle w:val="Caption"/>
      </w:pPr>
      <w:bookmarkStart w:id="22" w:name="_Ref453077554"/>
    </w:p>
    <w:p w:rsidR="007C5E42" w:rsidRDefault="007C5E42">
      <w:pPr>
        <w:rPr>
          <w:rFonts w:cs="Arial Unicode MS"/>
          <w:b/>
          <w:bCs/>
          <w:color w:val="000000"/>
          <w:szCs w:val="18"/>
          <w:u w:color="000000"/>
          <w:lang w:eastAsia="en-SG"/>
        </w:rPr>
      </w:pPr>
      <w:bookmarkStart w:id="23" w:name="_Toc462736178"/>
      <w:r>
        <w:br w:type="page"/>
      </w:r>
    </w:p>
    <w:p w:rsidR="007C5E42" w:rsidRDefault="007C5E42" w:rsidP="007C5E42">
      <w:pPr>
        <w:pStyle w:val="Caption"/>
        <w:spacing w:before="0" w:after="120"/>
        <w:jc w:val="center"/>
        <w:rPr>
          <w:sz w:val="20"/>
          <w:szCs w:val="20"/>
        </w:rPr>
      </w:pPr>
      <w:bookmarkStart w:id="24" w:name="_Toc475430718"/>
      <w:r>
        <w:t xml:space="preserve">Table </w:t>
      </w:r>
      <w:r>
        <w:fldChar w:fldCharType="begin"/>
      </w:r>
      <w:r>
        <w:instrText xml:space="preserve"> SEQ Table \* ARABIC </w:instrText>
      </w:r>
      <w:r>
        <w:fldChar w:fldCharType="separate"/>
      </w:r>
      <w:r>
        <w:rPr>
          <w:noProof/>
        </w:rPr>
        <w:t>6</w:t>
      </w:r>
      <w:r>
        <w:fldChar w:fldCharType="end"/>
      </w:r>
      <w:bookmarkEnd w:id="22"/>
      <w:r>
        <w:t>:</w:t>
      </w:r>
      <w:r w:rsidRPr="00E857FC">
        <w:rPr>
          <w:rFonts w:cs="Times New Roman"/>
          <w:b w:val="0"/>
          <w:bCs w:val="0"/>
          <w:color w:val="auto"/>
          <w:szCs w:val="24"/>
          <w:lang w:eastAsia="en-US"/>
        </w:rPr>
        <w:t xml:space="preserve"> </w:t>
      </w:r>
      <w:r w:rsidRPr="00E857FC">
        <w:t xml:space="preserve">Enrolment status </w:t>
      </w:r>
      <w:r>
        <w:t xml:space="preserve">of teen mothers </w:t>
      </w:r>
      <w:r w:rsidRPr="00E857FC">
        <w:t>at conception and post-birth</w:t>
      </w:r>
      <w:bookmarkEnd w:id="23"/>
      <w:bookmarkEnd w:id="24"/>
    </w:p>
    <w:tbl>
      <w:tblPr>
        <w:tblW w:w="9062" w:type="dxa"/>
        <w:jc w:val="center"/>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43"/>
        <w:gridCol w:w="1483"/>
        <w:gridCol w:w="1568"/>
        <w:gridCol w:w="1693"/>
        <w:gridCol w:w="1275"/>
      </w:tblGrid>
      <w:tr w:rsidR="007C5E42" w:rsidRPr="00851818" w:rsidTr="00A60DC6">
        <w:trPr>
          <w:trHeight w:val="420"/>
          <w:jc w:val="center"/>
        </w:trPr>
        <w:tc>
          <w:tcPr>
            <w:tcW w:w="3043" w:type="dxa"/>
            <w:shd w:val="clear" w:color="auto" w:fill="auto"/>
            <w:tcMar>
              <w:top w:w="15" w:type="dxa"/>
              <w:left w:w="108" w:type="dxa"/>
              <w:bottom w:w="0" w:type="dxa"/>
              <w:right w:w="108" w:type="dxa"/>
            </w:tcMar>
            <w:vAlign w:val="center"/>
            <w:hideMark/>
          </w:tcPr>
          <w:p w:rsidR="007C5E42" w:rsidRPr="00851818" w:rsidRDefault="007C5E42" w:rsidP="00A60DC6">
            <w:pPr>
              <w:spacing w:before="120"/>
              <w:jc w:val="both"/>
              <w:rPr>
                <w:rFonts w:cs="Arial Unicode MS"/>
                <w:color w:val="000000"/>
                <w:sz w:val="20"/>
                <w:szCs w:val="20"/>
                <w:u w:color="000000"/>
                <w:lang w:val="en-NZ" w:eastAsia="en-SG"/>
              </w:rPr>
            </w:pPr>
            <w:r w:rsidRPr="00851818">
              <w:rPr>
                <w:rFonts w:cs="Arial Unicode MS"/>
                <w:color w:val="000000"/>
                <w:sz w:val="20"/>
                <w:szCs w:val="20"/>
                <w:u w:color="000000"/>
                <w:lang w:eastAsia="en-SG"/>
              </w:rPr>
              <w:t> </w:t>
            </w:r>
          </w:p>
        </w:tc>
        <w:tc>
          <w:tcPr>
            <w:tcW w:w="6019" w:type="dxa"/>
            <w:gridSpan w:val="4"/>
            <w:shd w:val="clear" w:color="auto" w:fill="auto"/>
            <w:tcMar>
              <w:top w:w="15" w:type="dxa"/>
              <w:left w:w="108" w:type="dxa"/>
              <w:bottom w:w="0" w:type="dxa"/>
              <w:right w:w="108" w:type="dxa"/>
            </w:tcMar>
            <w:vAlign w:val="bottom"/>
            <w:hideMark/>
          </w:tcPr>
          <w:p w:rsidR="007C5E42" w:rsidRPr="00BC57D4" w:rsidRDefault="007C5E42" w:rsidP="00A60DC6">
            <w:pPr>
              <w:spacing w:before="120"/>
              <w:jc w:val="center"/>
              <w:rPr>
                <w:rFonts w:cs="Arial Unicode MS"/>
                <w:color w:val="000000"/>
                <w:sz w:val="20"/>
                <w:szCs w:val="20"/>
                <w:u w:color="000000"/>
                <w:lang w:val="en-NZ" w:eastAsia="en-SG"/>
              </w:rPr>
            </w:pPr>
            <w:r w:rsidRPr="004F4C26">
              <w:rPr>
                <w:rFonts w:cs="Arial Unicode MS"/>
                <w:bCs/>
                <w:color w:val="000000"/>
                <w:sz w:val="20"/>
                <w:szCs w:val="20"/>
                <w:u w:color="000000"/>
                <w:lang w:eastAsia="en-SG"/>
              </w:rPr>
              <w:t>Status post-birth</w:t>
            </w:r>
          </w:p>
        </w:tc>
      </w:tr>
      <w:tr w:rsidR="007C5E42" w:rsidRPr="00851818" w:rsidTr="00A60DC6">
        <w:trPr>
          <w:trHeight w:val="756"/>
          <w:jc w:val="center"/>
        </w:trPr>
        <w:tc>
          <w:tcPr>
            <w:tcW w:w="3043" w:type="dxa"/>
            <w:shd w:val="clear" w:color="auto" w:fill="auto"/>
            <w:tcMar>
              <w:top w:w="15" w:type="dxa"/>
              <w:left w:w="108" w:type="dxa"/>
              <w:bottom w:w="0" w:type="dxa"/>
              <w:right w:w="108" w:type="dxa"/>
            </w:tcMar>
            <w:vAlign w:val="bottom"/>
            <w:hideMark/>
          </w:tcPr>
          <w:p w:rsidR="007C5E42" w:rsidRPr="00BC57D4" w:rsidRDefault="007C5E42" w:rsidP="00A60DC6">
            <w:pPr>
              <w:spacing w:before="120"/>
              <w:jc w:val="center"/>
              <w:rPr>
                <w:rFonts w:cs="Arial Unicode MS"/>
                <w:color w:val="000000"/>
                <w:sz w:val="20"/>
                <w:szCs w:val="20"/>
                <w:u w:color="000000"/>
                <w:lang w:val="en-NZ" w:eastAsia="en-SG"/>
              </w:rPr>
            </w:pPr>
            <w:r w:rsidRPr="004F4C26">
              <w:rPr>
                <w:rFonts w:cs="Arial Unicode MS"/>
                <w:bCs/>
                <w:color w:val="000000"/>
                <w:sz w:val="20"/>
                <w:szCs w:val="20"/>
                <w:u w:color="000000"/>
                <w:lang w:eastAsia="en-SG"/>
              </w:rPr>
              <w:t>Status at conception</w:t>
            </w:r>
          </w:p>
        </w:tc>
        <w:tc>
          <w:tcPr>
            <w:tcW w:w="1483" w:type="dxa"/>
            <w:shd w:val="clear" w:color="auto" w:fill="auto"/>
            <w:tcMar>
              <w:top w:w="15" w:type="dxa"/>
              <w:left w:w="108" w:type="dxa"/>
              <w:bottom w:w="0" w:type="dxa"/>
              <w:right w:w="108" w:type="dxa"/>
            </w:tcMar>
            <w:vAlign w:val="bottom"/>
            <w:hideMark/>
          </w:tcPr>
          <w:p w:rsidR="007C5E42" w:rsidRPr="00851818" w:rsidRDefault="007C5E42" w:rsidP="00A60DC6">
            <w:pPr>
              <w:spacing w:before="120"/>
              <w:jc w:val="center"/>
              <w:rPr>
                <w:rFonts w:cs="Arial Unicode MS"/>
                <w:color w:val="000000"/>
                <w:sz w:val="20"/>
                <w:szCs w:val="20"/>
                <w:u w:color="000000"/>
                <w:lang w:val="en-NZ" w:eastAsia="en-SG"/>
              </w:rPr>
            </w:pPr>
            <w:r w:rsidRPr="00077B2F">
              <w:rPr>
                <w:rFonts w:cs="Arial Unicode MS"/>
                <w:color w:val="000000"/>
                <w:sz w:val="20"/>
                <w:szCs w:val="20"/>
                <w:u w:color="000000"/>
                <w:lang w:eastAsia="en-SG"/>
              </w:rPr>
              <w:t xml:space="preserve">Unenrolled </w:t>
            </w:r>
          </w:p>
        </w:tc>
        <w:tc>
          <w:tcPr>
            <w:tcW w:w="1568" w:type="dxa"/>
            <w:shd w:val="clear" w:color="auto" w:fill="auto"/>
            <w:tcMar>
              <w:top w:w="15" w:type="dxa"/>
              <w:left w:w="108" w:type="dxa"/>
              <w:bottom w:w="0" w:type="dxa"/>
              <w:right w:w="108" w:type="dxa"/>
            </w:tcMar>
            <w:vAlign w:val="bottom"/>
            <w:hideMark/>
          </w:tcPr>
          <w:p w:rsidR="007C5E42" w:rsidRPr="00851818" w:rsidRDefault="007C5E42" w:rsidP="00A60DC6">
            <w:pPr>
              <w:spacing w:before="120"/>
              <w:jc w:val="center"/>
              <w:rPr>
                <w:rFonts w:cs="Arial Unicode MS"/>
                <w:color w:val="000000"/>
                <w:sz w:val="20"/>
                <w:szCs w:val="20"/>
                <w:u w:color="000000"/>
                <w:lang w:val="en-NZ" w:eastAsia="en-SG"/>
              </w:rPr>
            </w:pPr>
            <w:r w:rsidRPr="00851818">
              <w:rPr>
                <w:rFonts w:cs="Arial Unicode MS"/>
                <w:color w:val="000000"/>
                <w:sz w:val="20"/>
                <w:szCs w:val="20"/>
                <w:u w:color="000000"/>
                <w:lang w:eastAsia="en-SG"/>
              </w:rPr>
              <w:t>TPU governing school enrolled</w:t>
            </w:r>
          </w:p>
        </w:tc>
        <w:tc>
          <w:tcPr>
            <w:tcW w:w="1693" w:type="dxa"/>
            <w:shd w:val="clear" w:color="auto" w:fill="auto"/>
            <w:tcMar>
              <w:top w:w="15" w:type="dxa"/>
              <w:left w:w="108" w:type="dxa"/>
              <w:bottom w:w="0" w:type="dxa"/>
              <w:right w:w="108" w:type="dxa"/>
            </w:tcMar>
            <w:vAlign w:val="bottom"/>
            <w:hideMark/>
          </w:tcPr>
          <w:p w:rsidR="007C5E42" w:rsidRPr="00851818" w:rsidRDefault="007C5E42" w:rsidP="00A60DC6">
            <w:pPr>
              <w:spacing w:before="120"/>
              <w:jc w:val="center"/>
              <w:rPr>
                <w:rFonts w:cs="Arial Unicode MS"/>
                <w:color w:val="000000"/>
                <w:sz w:val="20"/>
                <w:szCs w:val="20"/>
                <w:u w:color="000000"/>
                <w:lang w:val="en-NZ" w:eastAsia="en-SG"/>
              </w:rPr>
            </w:pPr>
            <w:r w:rsidRPr="00851818">
              <w:rPr>
                <w:rFonts w:cs="Arial Unicode MS"/>
                <w:color w:val="000000"/>
                <w:sz w:val="20"/>
                <w:szCs w:val="20"/>
                <w:u w:color="000000"/>
                <w:lang w:eastAsia="en-SG"/>
              </w:rPr>
              <w:t>Non-TPU school enrolled</w:t>
            </w:r>
          </w:p>
        </w:tc>
        <w:tc>
          <w:tcPr>
            <w:tcW w:w="1275" w:type="dxa"/>
            <w:shd w:val="clear" w:color="auto" w:fill="auto"/>
            <w:tcMar>
              <w:top w:w="15" w:type="dxa"/>
              <w:left w:w="108" w:type="dxa"/>
              <w:bottom w:w="0" w:type="dxa"/>
              <w:right w:w="108" w:type="dxa"/>
            </w:tcMar>
            <w:vAlign w:val="bottom"/>
            <w:hideMark/>
          </w:tcPr>
          <w:p w:rsidR="007C5E42" w:rsidRPr="00EE2772" w:rsidRDefault="007C5E42" w:rsidP="00A60DC6">
            <w:pPr>
              <w:spacing w:before="120"/>
              <w:jc w:val="center"/>
              <w:rPr>
                <w:rFonts w:cs="Arial Unicode MS"/>
                <w:i/>
                <w:color w:val="000000"/>
                <w:sz w:val="20"/>
                <w:szCs w:val="20"/>
                <w:u w:color="000000"/>
                <w:lang w:val="en-NZ" w:eastAsia="en-SG"/>
              </w:rPr>
            </w:pPr>
            <w:r w:rsidRPr="00EE2772">
              <w:rPr>
                <w:rFonts w:cs="Arial Unicode MS"/>
                <w:bCs/>
                <w:i/>
                <w:color w:val="000000"/>
                <w:sz w:val="20"/>
                <w:szCs w:val="20"/>
                <w:u w:color="000000"/>
                <w:lang w:eastAsia="en-SG"/>
              </w:rPr>
              <w:t>n</w:t>
            </w:r>
          </w:p>
        </w:tc>
      </w:tr>
      <w:tr w:rsidR="007C5E42" w:rsidRPr="00851818" w:rsidTr="00A60DC6">
        <w:trPr>
          <w:trHeight w:val="567"/>
          <w:jc w:val="center"/>
        </w:trPr>
        <w:tc>
          <w:tcPr>
            <w:tcW w:w="3043" w:type="dxa"/>
            <w:shd w:val="clear" w:color="auto" w:fill="auto"/>
            <w:tcMar>
              <w:top w:w="15" w:type="dxa"/>
              <w:left w:w="108" w:type="dxa"/>
              <w:bottom w:w="0" w:type="dxa"/>
              <w:right w:w="108" w:type="dxa"/>
            </w:tcMar>
            <w:vAlign w:val="center"/>
            <w:hideMark/>
          </w:tcPr>
          <w:p w:rsidR="007C5E42" w:rsidRPr="00851818" w:rsidRDefault="007C5E42" w:rsidP="00A60DC6">
            <w:pPr>
              <w:spacing w:before="120"/>
              <w:jc w:val="center"/>
              <w:rPr>
                <w:rFonts w:cs="Arial Unicode MS"/>
                <w:color w:val="000000"/>
                <w:sz w:val="20"/>
                <w:szCs w:val="20"/>
                <w:u w:color="000000"/>
                <w:lang w:val="en-NZ" w:eastAsia="en-SG"/>
              </w:rPr>
            </w:pPr>
            <w:r w:rsidRPr="00851818">
              <w:rPr>
                <w:rFonts w:cs="Arial Unicode MS"/>
                <w:color w:val="000000"/>
                <w:sz w:val="20"/>
                <w:szCs w:val="20"/>
                <w:u w:color="000000"/>
                <w:lang w:eastAsia="en-SG"/>
              </w:rPr>
              <w:t>Unenrolled</w:t>
            </w:r>
          </w:p>
        </w:tc>
        <w:tc>
          <w:tcPr>
            <w:tcW w:w="1483" w:type="dxa"/>
            <w:shd w:val="clear" w:color="auto" w:fill="auto"/>
            <w:tcMar>
              <w:top w:w="15" w:type="dxa"/>
              <w:left w:w="108" w:type="dxa"/>
              <w:bottom w:w="0" w:type="dxa"/>
              <w:right w:w="108" w:type="dxa"/>
            </w:tcMar>
            <w:vAlign w:val="center"/>
            <w:hideMark/>
          </w:tcPr>
          <w:p w:rsidR="007C5E42" w:rsidRDefault="007C5E42" w:rsidP="00A60DC6">
            <w:pPr>
              <w:jc w:val="center"/>
              <w:rPr>
                <w:rFonts w:cs="Arial Unicode MS"/>
                <w:color w:val="000000"/>
                <w:sz w:val="20"/>
                <w:szCs w:val="20"/>
                <w:lang w:eastAsia="en-SG"/>
              </w:rPr>
            </w:pPr>
            <w:r>
              <w:rPr>
                <w:rFonts w:cs="Arial Unicode MS"/>
                <w:color w:val="000000"/>
                <w:sz w:val="20"/>
                <w:szCs w:val="20"/>
                <w:lang w:eastAsia="en-SG"/>
              </w:rPr>
              <w:t>3,366</w:t>
            </w:r>
          </w:p>
          <w:p w:rsidR="007C5E42" w:rsidRPr="00851818" w:rsidRDefault="007C5E42" w:rsidP="00A60DC6">
            <w:pPr>
              <w:jc w:val="center"/>
              <w:rPr>
                <w:rFonts w:cs="Arial Unicode MS"/>
                <w:color w:val="000000"/>
                <w:sz w:val="20"/>
                <w:szCs w:val="20"/>
                <w:u w:color="000000"/>
                <w:lang w:val="en-NZ" w:eastAsia="en-SG"/>
              </w:rPr>
            </w:pPr>
            <w:r>
              <w:rPr>
                <w:rFonts w:cs="Arial Unicode MS"/>
                <w:color w:val="000000"/>
                <w:sz w:val="20"/>
                <w:szCs w:val="20"/>
                <w:lang w:eastAsia="en-SG"/>
              </w:rPr>
              <w:t>(78%)</w:t>
            </w:r>
          </w:p>
        </w:tc>
        <w:tc>
          <w:tcPr>
            <w:tcW w:w="1568" w:type="dxa"/>
            <w:shd w:val="clear" w:color="auto" w:fill="auto"/>
            <w:tcMar>
              <w:top w:w="15" w:type="dxa"/>
              <w:left w:w="108" w:type="dxa"/>
              <w:bottom w:w="0" w:type="dxa"/>
              <w:right w:w="108" w:type="dxa"/>
            </w:tcMar>
            <w:vAlign w:val="center"/>
            <w:hideMark/>
          </w:tcPr>
          <w:p w:rsidR="007C5E42" w:rsidRDefault="007C5E42" w:rsidP="00A60DC6">
            <w:pPr>
              <w:jc w:val="center"/>
              <w:rPr>
                <w:rFonts w:cs="Arial Unicode MS"/>
                <w:color w:val="000000"/>
                <w:sz w:val="20"/>
                <w:szCs w:val="20"/>
                <w:lang w:eastAsia="en-SG"/>
              </w:rPr>
            </w:pPr>
            <w:r>
              <w:rPr>
                <w:rFonts w:cs="Arial Unicode MS"/>
                <w:color w:val="000000"/>
                <w:sz w:val="20"/>
                <w:szCs w:val="20"/>
                <w:lang w:eastAsia="en-SG"/>
              </w:rPr>
              <w:t>486</w:t>
            </w:r>
          </w:p>
          <w:p w:rsidR="007C5E42" w:rsidRPr="00851818" w:rsidRDefault="007C5E42" w:rsidP="00A60DC6">
            <w:pPr>
              <w:jc w:val="center"/>
              <w:rPr>
                <w:rFonts w:cs="Arial Unicode MS"/>
                <w:color w:val="000000"/>
                <w:sz w:val="20"/>
                <w:szCs w:val="20"/>
                <w:u w:color="000000"/>
                <w:lang w:val="en-NZ" w:eastAsia="en-SG"/>
              </w:rPr>
            </w:pPr>
            <w:r>
              <w:rPr>
                <w:rFonts w:cs="Arial Unicode MS"/>
                <w:color w:val="000000"/>
                <w:sz w:val="20"/>
                <w:szCs w:val="20"/>
                <w:lang w:eastAsia="en-SG"/>
              </w:rPr>
              <w:t>(11%)</w:t>
            </w:r>
          </w:p>
        </w:tc>
        <w:tc>
          <w:tcPr>
            <w:tcW w:w="1693" w:type="dxa"/>
            <w:shd w:val="clear" w:color="auto" w:fill="auto"/>
            <w:tcMar>
              <w:top w:w="15" w:type="dxa"/>
              <w:left w:w="108" w:type="dxa"/>
              <w:bottom w:w="0" w:type="dxa"/>
              <w:right w:w="108" w:type="dxa"/>
            </w:tcMar>
            <w:vAlign w:val="center"/>
            <w:hideMark/>
          </w:tcPr>
          <w:p w:rsidR="007C5E42" w:rsidRDefault="007C5E42" w:rsidP="00A60DC6">
            <w:pPr>
              <w:jc w:val="center"/>
              <w:rPr>
                <w:rFonts w:cs="Arial Unicode MS"/>
                <w:color w:val="000000"/>
                <w:sz w:val="20"/>
                <w:szCs w:val="20"/>
                <w:lang w:eastAsia="en-SG"/>
              </w:rPr>
            </w:pPr>
            <w:r>
              <w:rPr>
                <w:rFonts w:cs="Arial Unicode MS"/>
                <w:color w:val="000000"/>
                <w:sz w:val="20"/>
                <w:szCs w:val="20"/>
                <w:lang w:eastAsia="en-SG"/>
              </w:rPr>
              <w:t>477</w:t>
            </w:r>
          </w:p>
          <w:p w:rsidR="007C5E42" w:rsidRPr="00851818" w:rsidRDefault="007C5E42" w:rsidP="00A60DC6">
            <w:pPr>
              <w:jc w:val="center"/>
              <w:rPr>
                <w:rFonts w:cs="Arial Unicode MS"/>
                <w:color w:val="000000"/>
                <w:sz w:val="20"/>
                <w:szCs w:val="20"/>
                <w:u w:color="000000"/>
                <w:lang w:val="en-NZ" w:eastAsia="en-SG"/>
              </w:rPr>
            </w:pPr>
            <w:r>
              <w:rPr>
                <w:rFonts w:cs="Arial Unicode MS"/>
                <w:color w:val="000000"/>
                <w:sz w:val="20"/>
                <w:szCs w:val="20"/>
                <w:lang w:eastAsia="en-SG"/>
              </w:rPr>
              <w:t>(11%)</w:t>
            </w:r>
          </w:p>
        </w:tc>
        <w:tc>
          <w:tcPr>
            <w:tcW w:w="1275" w:type="dxa"/>
            <w:shd w:val="clear" w:color="auto" w:fill="auto"/>
            <w:tcMar>
              <w:top w:w="15" w:type="dxa"/>
              <w:left w:w="108" w:type="dxa"/>
              <w:bottom w:w="0" w:type="dxa"/>
              <w:right w:w="108" w:type="dxa"/>
            </w:tcMar>
            <w:vAlign w:val="center"/>
            <w:hideMark/>
          </w:tcPr>
          <w:p w:rsidR="007C5E42" w:rsidRDefault="007C5E42" w:rsidP="00A60DC6">
            <w:pPr>
              <w:jc w:val="center"/>
              <w:rPr>
                <w:rFonts w:cs="Arial Unicode MS"/>
                <w:bCs/>
                <w:color w:val="000000"/>
                <w:sz w:val="20"/>
                <w:szCs w:val="20"/>
                <w:lang w:eastAsia="en-SG"/>
              </w:rPr>
            </w:pPr>
            <w:r w:rsidRPr="004F4C26">
              <w:rPr>
                <w:rFonts w:cs="Arial Unicode MS"/>
                <w:bCs/>
                <w:color w:val="000000"/>
                <w:sz w:val="20"/>
                <w:szCs w:val="20"/>
                <w:lang w:eastAsia="en-SG"/>
              </w:rPr>
              <w:t>4,329</w:t>
            </w:r>
          </w:p>
          <w:p w:rsidR="007C5E42" w:rsidRPr="00BC57D4" w:rsidRDefault="007C5E42" w:rsidP="00A60DC6">
            <w:pPr>
              <w:jc w:val="center"/>
              <w:rPr>
                <w:rFonts w:cs="Arial Unicode MS"/>
                <w:color w:val="000000"/>
                <w:sz w:val="20"/>
                <w:szCs w:val="20"/>
                <w:u w:color="000000"/>
                <w:lang w:val="en-NZ" w:eastAsia="en-SG"/>
              </w:rPr>
            </w:pPr>
            <w:r>
              <w:rPr>
                <w:rFonts w:cs="Arial Unicode MS"/>
                <w:bCs/>
                <w:color w:val="000000"/>
                <w:sz w:val="20"/>
                <w:szCs w:val="20"/>
                <w:lang w:eastAsia="en-SG"/>
              </w:rPr>
              <w:t>(100%)</w:t>
            </w:r>
          </w:p>
        </w:tc>
      </w:tr>
      <w:tr w:rsidR="007C5E42" w:rsidRPr="00851818" w:rsidTr="00A60DC6">
        <w:trPr>
          <w:trHeight w:val="567"/>
          <w:jc w:val="center"/>
        </w:trPr>
        <w:tc>
          <w:tcPr>
            <w:tcW w:w="3043" w:type="dxa"/>
            <w:shd w:val="clear" w:color="auto" w:fill="auto"/>
            <w:tcMar>
              <w:top w:w="15" w:type="dxa"/>
              <w:left w:w="108" w:type="dxa"/>
              <w:bottom w:w="0" w:type="dxa"/>
              <w:right w:w="108" w:type="dxa"/>
            </w:tcMar>
            <w:vAlign w:val="center"/>
            <w:hideMark/>
          </w:tcPr>
          <w:p w:rsidR="007C5E42" w:rsidRPr="00851818" w:rsidRDefault="007C5E42" w:rsidP="00A60DC6">
            <w:pPr>
              <w:spacing w:before="120"/>
              <w:jc w:val="center"/>
              <w:rPr>
                <w:rFonts w:cs="Arial Unicode MS"/>
                <w:color w:val="000000"/>
                <w:sz w:val="20"/>
                <w:szCs w:val="20"/>
                <w:u w:color="000000"/>
                <w:lang w:val="en-NZ" w:eastAsia="en-SG"/>
              </w:rPr>
            </w:pPr>
            <w:r w:rsidRPr="00851818">
              <w:rPr>
                <w:rFonts w:cs="Arial Unicode MS"/>
                <w:color w:val="000000"/>
                <w:sz w:val="20"/>
                <w:szCs w:val="20"/>
                <w:u w:color="000000"/>
                <w:lang w:eastAsia="en-SG"/>
              </w:rPr>
              <w:t>TPU governing school enrolled</w:t>
            </w:r>
          </w:p>
        </w:tc>
        <w:tc>
          <w:tcPr>
            <w:tcW w:w="1483" w:type="dxa"/>
            <w:shd w:val="clear" w:color="auto" w:fill="auto"/>
            <w:tcMar>
              <w:top w:w="15" w:type="dxa"/>
              <w:left w:w="108" w:type="dxa"/>
              <w:bottom w:w="0" w:type="dxa"/>
              <w:right w:w="108" w:type="dxa"/>
            </w:tcMar>
            <w:vAlign w:val="center"/>
            <w:hideMark/>
          </w:tcPr>
          <w:p w:rsidR="007C5E42" w:rsidRDefault="007C5E42" w:rsidP="00A60DC6">
            <w:pPr>
              <w:jc w:val="center"/>
              <w:rPr>
                <w:rFonts w:cs="Arial Unicode MS"/>
                <w:color w:val="000000"/>
                <w:sz w:val="20"/>
                <w:szCs w:val="20"/>
                <w:lang w:eastAsia="en-SG"/>
              </w:rPr>
            </w:pPr>
            <w:r>
              <w:rPr>
                <w:rFonts w:cs="Arial Unicode MS"/>
                <w:color w:val="000000"/>
                <w:sz w:val="20"/>
                <w:szCs w:val="20"/>
                <w:lang w:eastAsia="en-SG"/>
              </w:rPr>
              <w:t>87</w:t>
            </w:r>
          </w:p>
          <w:p w:rsidR="007C5E42" w:rsidRPr="00851818" w:rsidRDefault="007C5E42" w:rsidP="00A60DC6">
            <w:pPr>
              <w:jc w:val="center"/>
              <w:rPr>
                <w:rFonts w:cs="Arial Unicode MS"/>
                <w:color w:val="000000"/>
                <w:sz w:val="20"/>
                <w:szCs w:val="20"/>
                <w:u w:color="000000"/>
                <w:lang w:val="en-NZ" w:eastAsia="en-SG"/>
              </w:rPr>
            </w:pPr>
            <w:r>
              <w:rPr>
                <w:rFonts w:cs="Arial Unicode MS"/>
                <w:color w:val="000000"/>
                <w:sz w:val="20"/>
                <w:szCs w:val="20"/>
                <w:lang w:eastAsia="en-SG"/>
              </w:rPr>
              <w:t>(31%)</w:t>
            </w:r>
          </w:p>
        </w:tc>
        <w:tc>
          <w:tcPr>
            <w:tcW w:w="1568" w:type="dxa"/>
            <w:shd w:val="clear" w:color="auto" w:fill="auto"/>
            <w:tcMar>
              <w:top w:w="15" w:type="dxa"/>
              <w:left w:w="108" w:type="dxa"/>
              <w:bottom w:w="0" w:type="dxa"/>
              <w:right w:w="108" w:type="dxa"/>
            </w:tcMar>
            <w:vAlign w:val="center"/>
            <w:hideMark/>
          </w:tcPr>
          <w:p w:rsidR="007C5E42" w:rsidRDefault="007C5E42" w:rsidP="00A60DC6">
            <w:pPr>
              <w:jc w:val="center"/>
              <w:rPr>
                <w:rFonts w:cs="Arial Unicode MS"/>
                <w:color w:val="000000"/>
                <w:sz w:val="20"/>
                <w:szCs w:val="20"/>
                <w:lang w:eastAsia="en-SG"/>
              </w:rPr>
            </w:pPr>
            <w:r>
              <w:rPr>
                <w:rFonts w:cs="Arial Unicode MS"/>
                <w:color w:val="000000"/>
                <w:sz w:val="20"/>
                <w:szCs w:val="20"/>
                <w:lang w:eastAsia="en-SG"/>
              </w:rPr>
              <w:t>168</w:t>
            </w:r>
          </w:p>
          <w:p w:rsidR="007C5E42" w:rsidRPr="00851818" w:rsidRDefault="007C5E42" w:rsidP="00A60DC6">
            <w:pPr>
              <w:jc w:val="center"/>
              <w:rPr>
                <w:rFonts w:cs="Arial Unicode MS"/>
                <w:color w:val="000000"/>
                <w:sz w:val="20"/>
                <w:szCs w:val="20"/>
                <w:u w:color="000000"/>
                <w:lang w:val="en-NZ" w:eastAsia="en-SG"/>
              </w:rPr>
            </w:pPr>
            <w:r>
              <w:rPr>
                <w:rFonts w:cs="Arial Unicode MS"/>
                <w:color w:val="000000"/>
                <w:sz w:val="20"/>
                <w:szCs w:val="20"/>
                <w:lang w:eastAsia="en-SG"/>
              </w:rPr>
              <w:t>(59%)</w:t>
            </w:r>
          </w:p>
        </w:tc>
        <w:tc>
          <w:tcPr>
            <w:tcW w:w="1693" w:type="dxa"/>
            <w:shd w:val="clear" w:color="auto" w:fill="auto"/>
            <w:tcMar>
              <w:top w:w="15" w:type="dxa"/>
              <w:left w:w="108" w:type="dxa"/>
              <w:bottom w:w="0" w:type="dxa"/>
              <w:right w:w="108" w:type="dxa"/>
            </w:tcMar>
            <w:vAlign w:val="center"/>
            <w:hideMark/>
          </w:tcPr>
          <w:p w:rsidR="007C5E42" w:rsidRDefault="007C5E42" w:rsidP="00A60DC6">
            <w:pPr>
              <w:jc w:val="center"/>
              <w:rPr>
                <w:rFonts w:cs="Arial Unicode MS"/>
                <w:color w:val="000000"/>
                <w:sz w:val="20"/>
                <w:szCs w:val="20"/>
                <w:lang w:eastAsia="en-SG"/>
              </w:rPr>
            </w:pPr>
            <w:r>
              <w:rPr>
                <w:rFonts w:cs="Arial Unicode MS"/>
                <w:color w:val="000000"/>
                <w:sz w:val="20"/>
                <w:szCs w:val="20"/>
                <w:lang w:eastAsia="en-SG"/>
              </w:rPr>
              <w:t>30</w:t>
            </w:r>
          </w:p>
          <w:p w:rsidR="007C5E42" w:rsidRPr="00851818" w:rsidRDefault="007C5E42" w:rsidP="00A60DC6">
            <w:pPr>
              <w:jc w:val="center"/>
              <w:rPr>
                <w:rFonts w:cs="Arial Unicode MS"/>
                <w:color w:val="000000"/>
                <w:sz w:val="20"/>
                <w:szCs w:val="20"/>
                <w:u w:color="000000"/>
                <w:lang w:val="en-NZ" w:eastAsia="en-SG"/>
              </w:rPr>
            </w:pPr>
            <w:r>
              <w:rPr>
                <w:rFonts w:cs="Arial Unicode MS"/>
                <w:color w:val="000000"/>
                <w:sz w:val="20"/>
                <w:szCs w:val="20"/>
                <w:lang w:eastAsia="en-SG"/>
              </w:rPr>
              <w:t>(11%)</w:t>
            </w:r>
          </w:p>
        </w:tc>
        <w:tc>
          <w:tcPr>
            <w:tcW w:w="1275" w:type="dxa"/>
            <w:shd w:val="clear" w:color="auto" w:fill="auto"/>
            <w:tcMar>
              <w:top w:w="15" w:type="dxa"/>
              <w:left w:w="108" w:type="dxa"/>
              <w:bottom w:w="0" w:type="dxa"/>
              <w:right w:w="108" w:type="dxa"/>
            </w:tcMar>
            <w:vAlign w:val="center"/>
            <w:hideMark/>
          </w:tcPr>
          <w:p w:rsidR="007C5E42" w:rsidRDefault="007C5E42" w:rsidP="00A60DC6">
            <w:pPr>
              <w:jc w:val="center"/>
              <w:rPr>
                <w:rFonts w:cs="Arial Unicode MS"/>
                <w:bCs/>
                <w:color w:val="000000"/>
                <w:sz w:val="20"/>
                <w:szCs w:val="20"/>
                <w:lang w:eastAsia="en-SG"/>
              </w:rPr>
            </w:pPr>
            <w:r w:rsidRPr="004F4C26">
              <w:rPr>
                <w:rFonts w:cs="Arial Unicode MS"/>
                <w:bCs/>
                <w:color w:val="000000"/>
                <w:sz w:val="20"/>
                <w:szCs w:val="20"/>
                <w:lang w:eastAsia="en-SG"/>
              </w:rPr>
              <w:t>285</w:t>
            </w:r>
          </w:p>
          <w:p w:rsidR="007C5E42" w:rsidRPr="00BC57D4" w:rsidRDefault="007C5E42" w:rsidP="00A60DC6">
            <w:pPr>
              <w:jc w:val="center"/>
              <w:rPr>
                <w:rFonts w:cs="Arial Unicode MS"/>
                <w:color w:val="000000"/>
                <w:sz w:val="20"/>
                <w:szCs w:val="20"/>
                <w:u w:color="000000"/>
                <w:lang w:val="en-NZ" w:eastAsia="en-SG"/>
              </w:rPr>
            </w:pPr>
            <w:r>
              <w:rPr>
                <w:rFonts w:cs="Arial Unicode MS"/>
                <w:bCs/>
                <w:color w:val="000000"/>
                <w:sz w:val="20"/>
                <w:szCs w:val="20"/>
                <w:lang w:eastAsia="en-SG"/>
              </w:rPr>
              <w:t>(100%)</w:t>
            </w:r>
          </w:p>
        </w:tc>
      </w:tr>
      <w:tr w:rsidR="007C5E42" w:rsidRPr="00851818" w:rsidTr="00A60DC6">
        <w:trPr>
          <w:trHeight w:val="567"/>
          <w:jc w:val="center"/>
        </w:trPr>
        <w:tc>
          <w:tcPr>
            <w:tcW w:w="3043" w:type="dxa"/>
            <w:shd w:val="clear" w:color="auto" w:fill="auto"/>
            <w:tcMar>
              <w:top w:w="15" w:type="dxa"/>
              <w:left w:w="108" w:type="dxa"/>
              <w:bottom w:w="0" w:type="dxa"/>
              <w:right w:w="108" w:type="dxa"/>
            </w:tcMar>
            <w:vAlign w:val="center"/>
            <w:hideMark/>
          </w:tcPr>
          <w:p w:rsidR="007C5E42" w:rsidRPr="00851818" w:rsidRDefault="007C5E42" w:rsidP="00A60DC6">
            <w:pPr>
              <w:spacing w:before="120"/>
              <w:jc w:val="center"/>
              <w:rPr>
                <w:rFonts w:cs="Arial Unicode MS"/>
                <w:color w:val="000000"/>
                <w:sz w:val="20"/>
                <w:szCs w:val="20"/>
                <w:u w:color="000000"/>
                <w:lang w:val="en-NZ" w:eastAsia="en-SG"/>
              </w:rPr>
            </w:pPr>
            <w:r w:rsidRPr="00851818">
              <w:rPr>
                <w:rFonts w:cs="Arial Unicode MS"/>
                <w:color w:val="000000"/>
                <w:sz w:val="20"/>
                <w:szCs w:val="20"/>
                <w:u w:color="000000"/>
                <w:lang w:eastAsia="en-SG"/>
              </w:rPr>
              <w:t>Non-TPU school enrolled</w:t>
            </w:r>
          </w:p>
        </w:tc>
        <w:tc>
          <w:tcPr>
            <w:tcW w:w="1483" w:type="dxa"/>
            <w:shd w:val="clear" w:color="auto" w:fill="auto"/>
            <w:tcMar>
              <w:top w:w="15" w:type="dxa"/>
              <w:left w:w="108" w:type="dxa"/>
              <w:bottom w:w="0" w:type="dxa"/>
              <w:right w:w="108" w:type="dxa"/>
            </w:tcMar>
            <w:vAlign w:val="center"/>
            <w:hideMark/>
          </w:tcPr>
          <w:p w:rsidR="007C5E42" w:rsidRDefault="007C5E42" w:rsidP="00A60DC6">
            <w:pPr>
              <w:jc w:val="center"/>
              <w:rPr>
                <w:rFonts w:cs="Arial Unicode MS"/>
                <w:color w:val="000000"/>
                <w:sz w:val="20"/>
                <w:szCs w:val="20"/>
                <w:lang w:eastAsia="en-SG"/>
              </w:rPr>
            </w:pPr>
            <w:r>
              <w:rPr>
                <w:rFonts w:cs="Arial Unicode MS"/>
                <w:color w:val="000000"/>
                <w:sz w:val="20"/>
                <w:szCs w:val="20"/>
                <w:lang w:eastAsia="en-SG"/>
              </w:rPr>
              <w:t>882</w:t>
            </w:r>
          </w:p>
          <w:p w:rsidR="007C5E42" w:rsidRPr="00851818" w:rsidRDefault="007C5E42" w:rsidP="00A60DC6">
            <w:pPr>
              <w:jc w:val="center"/>
              <w:rPr>
                <w:rFonts w:cs="Arial Unicode MS"/>
                <w:color w:val="000000"/>
                <w:sz w:val="20"/>
                <w:szCs w:val="20"/>
                <w:u w:color="000000"/>
                <w:lang w:val="en-NZ" w:eastAsia="en-SG"/>
              </w:rPr>
            </w:pPr>
            <w:r>
              <w:rPr>
                <w:rFonts w:cs="Arial Unicode MS"/>
                <w:color w:val="000000"/>
                <w:sz w:val="20"/>
                <w:szCs w:val="20"/>
                <w:lang w:eastAsia="en-SG"/>
              </w:rPr>
              <w:t>(42%)</w:t>
            </w:r>
          </w:p>
        </w:tc>
        <w:tc>
          <w:tcPr>
            <w:tcW w:w="1568" w:type="dxa"/>
            <w:shd w:val="clear" w:color="auto" w:fill="auto"/>
            <w:tcMar>
              <w:top w:w="15" w:type="dxa"/>
              <w:left w:w="108" w:type="dxa"/>
              <w:bottom w:w="0" w:type="dxa"/>
              <w:right w:w="108" w:type="dxa"/>
            </w:tcMar>
            <w:vAlign w:val="center"/>
            <w:hideMark/>
          </w:tcPr>
          <w:p w:rsidR="007C5E42" w:rsidRDefault="007C5E42" w:rsidP="00A60DC6">
            <w:pPr>
              <w:jc w:val="center"/>
              <w:rPr>
                <w:rFonts w:cs="Arial Unicode MS"/>
                <w:color w:val="000000"/>
                <w:sz w:val="20"/>
                <w:szCs w:val="20"/>
                <w:lang w:eastAsia="en-SG"/>
              </w:rPr>
            </w:pPr>
            <w:r>
              <w:rPr>
                <w:rFonts w:cs="Arial Unicode MS"/>
                <w:color w:val="000000"/>
                <w:sz w:val="20"/>
                <w:szCs w:val="20"/>
                <w:lang w:eastAsia="en-SG"/>
              </w:rPr>
              <w:t>444</w:t>
            </w:r>
          </w:p>
          <w:p w:rsidR="007C5E42" w:rsidRPr="00851818" w:rsidRDefault="007C5E42" w:rsidP="00A60DC6">
            <w:pPr>
              <w:jc w:val="center"/>
              <w:rPr>
                <w:rFonts w:cs="Arial Unicode MS"/>
                <w:color w:val="000000"/>
                <w:sz w:val="20"/>
                <w:szCs w:val="20"/>
                <w:u w:color="000000"/>
                <w:lang w:val="en-NZ" w:eastAsia="en-SG"/>
              </w:rPr>
            </w:pPr>
            <w:r>
              <w:rPr>
                <w:rFonts w:cs="Arial Unicode MS"/>
                <w:color w:val="000000"/>
                <w:sz w:val="20"/>
                <w:szCs w:val="20"/>
                <w:lang w:eastAsia="en-SG"/>
              </w:rPr>
              <w:t>(21%)</w:t>
            </w:r>
          </w:p>
        </w:tc>
        <w:tc>
          <w:tcPr>
            <w:tcW w:w="1693" w:type="dxa"/>
            <w:shd w:val="clear" w:color="auto" w:fill="auto"/>
            <w:tcMar>
              <w:top w:w="15" w:type="dxa"/>
              <w:left w:w="108" w:type="dxa"/>
              <w:bottom w:w="0" w:type="dxa"/>
              <w:right w:w="108" w:type="dxa"/>
            </w:tcMar>
            <w:vAlign w:val="center"/>
            <w:hideMark/>
          </w:tcPr>
          <w:p w:rsidR="007C5E42" w:rsidRDefault="007C5E42" w:rsidP="00A60DC6">
            <w:pPr>
              <w:jc w:val="center"/>
              <w:rPr>
                <w:rFonts w:cs="Arial Unicode MS"/>
                <w:color w:val="000000"/>
                <w:sz w:val="20"/>
                <w:szCs w:val="20"/>
                <w:lang w:eastAsia="en-SG"/>
              </w:rPr>
            </w:pPr>
            <w:r>
              <w:rPr>
                <w:rFonts w:cs="Arial Unicode MS"/>
                <w:color w:val="000000"/>
                <w:sz w:val="20"/>
                <w:szCs w:val="20"/>
                <w:lang w:eastAsia="en-SG"/>
              </w:rPr>
              <w:t>759</w:t>
            </w:r>
          </w:p>
          <w:p w:rsidR="007C5E42" w:rsidRPr="00851818" w:rsidRDefault="007C5E42" w:rsidP="00A60DC6">
            <w:pPr>
              <w:jc w:val="center"/>
              <w:rPr>
                <w:rFonts w:cs="Arial Unicode MS"/>
                <w:color w:val="000000"/>
                <w:sz w:val="20"/>
                <w:szCs w:val="20"/>
                <w:u w:color="000000"/>
                <w:lang w:val="en-NZ" w:eastAsia="en-SG"/>
              </w:rPr>
            </w:pPr>
            <w:r>
              <w:rPr>
                <w:rFonts w:cs="Arial Unicode MS"/>
                <w:color w:val="000000"/>
                <w:sz w:val="20"/>
                <w:szCs w:val="20"/>
                <w:lang w:eastAsia="en-SG"/>
              </w:rPr>
              <w:t>(36%)</w:t>
            </w:r>
          </w:p>
        </w:tc>
        <w:tc>
          <w:tcPr>
            <w:tcW w:w="1275" w:type="dxa"/>
            <w:shd w:val="clear" w:color="auto" w:fill="auto"/>
            <w:tcMar>
              <w:top w:w="15" w:type="dxa"/>
              <w:left w:w="108" w:type="dxa"/>
              <w:bottom w:w="0" w:type="dxa"/>
              <w:right w:w="108" w:type="dxa"/>
            </w:tcMar>
            <w:vAlign w:val="center"/>
            <w:hideMark/>
          </w:tcPr>
          <w:p w:rsidR="007C5E42" w:rsidRDefault="007C5E42" w:rsidP="00A60DC6">
            <w:pPr>
              <w:jc w:val="center"/>
              <w:rPr>
                <w:rFonts w:cs="Arial Unicode MS"/>
                <w:bCs/>
                <w:color w:val="000000"/>
                <w:sz w:val="20"/>
                <w:szCs w:val="20"/>
                <w:lang w:eastAsia="en-SG"/>
              </w:rPr>
            </w:pPr>
            <w:r w:rsidRPr="004F4C26">
              <w:rPr>
                <w:rFonts w:cs="Arial Unicode MS"/>
                <w:bCs/>
                <w:color w:val="000000"/>
                <w:sz w:val="20"/>
                <w:szCs w:val="20"/>
                <w:lang w:eastAsia="en-SG"/>
              </w:rPr>
              <w:t>2,085</w:t>
            </w:r>
          </w:p>
          <w:p w:rsidR="007C5E42" w:rsidRPr="00BC57D4" w:rsidRDefault="007C5E42" w:rsidP="00A60DC6">
            <w:pPr>
              <w:jc w:val="center"/>
              <w:rPr>
                <w:rFonts w:cs="Arial Unicode MS"/>
                <w:color w:val="000000"/>
                <w:sz w:val="20"/>
                <w:szCs w:val="20"/>
                <w:u w:color="000000"/>
                <w:lang w:val="en-NZ" w:eastAsia="en-SG"/>
              </w:rPr>
            </w:pPr>
            <w:r>
              <w:rPr>
                <w:rFonts w:cs="Arial Unicode MS"/>
                <w:bCs/>
                <w:color w:val="000000"/>
                <w:sz w:val="20"/>
                <w:szCs w:val="20"/>
                <w:lang w:eastAsia="en-SG"/>
              </w:rPr>
              <w:t>(100%)</w:t>
            </w:r>
          </w:p>
        </w:tc>
      </w:tr>
      <w:tr w:rsidR="007C5E42" w:rsidRPr="00851818" w:rsidTr="00A60DC6">
        <w:trPr>
          <w:trHeight w:val="567"/>
          <w:jc w:val="center"/>
        </w:trPr>
        <w:tc>
          <w:tcPr>
            <w:tcW w:w="3043" w:type="dxa"/>
            <w:tcBorders>
              <w:bottom w:val="single" w:sz="4" w:space="0" w:color="auto"/>
            </w:tcBorders>
            <w:shd w:val="clear" w:color="auto" w:fill="auto"/>
            <w:tcMar>
              <w:top w:w="15" w:type="dxa"/>
              <w:left w:w="108" w:type="dxa"/>
              <w:bottom w:w="0" w:type="dxa"/>
              <w:right w:w="108" w:type="dxa"/>
            </w:tcMar>
            <w:vAlign w:val="center"/>
          </w:tcPr>
          <w:p w:rsidR="007C5E42" w:rsidRPr="00851818" w:rsidRDefault="007C5E42" w:rsidP="00A60DC6">
            <w:pPr>
              <w:spacing w:before="120"/>
              <w:jc w:val="center"/>
              <w:rPr>
                <w:rFonts w:cs="Arial Unicode MS"/>
                <w:color w:val="000000"/>
                <w:sz w:val="20"/>
                <w:szCs w:val="20"/>
                <w:u w:color="000000"/>
                <w:lang w:eastAsia="en-SG"/>
              </w:rPr>
            </w:pPr>
            <w:r>
              <w:rPr>
                <w:rFonts w:cs="Arial Unicode MS"/>
                <w:color w:val="000000"/>
                <w:sz w:val="20"/>
                <w:szCs w:val="20"/>
                <w:u w:color="000000"/>
                <w:lang w:eastAsia="en-SG"/>
              </w:rPr>
              <w:t>Missing</w:t>
            </w:r>
          </w:p>
        </w:tc>
        <w:tc>
          <w:tcPr>
            <w:tcW w:w="4744" w:type="dxa"/>
            <w:gridSpan w:val="3"/>
            <w:tcBorders>
              <w:bottom w:val="single" w:sz="4" w:space="0" w:color="auto"/>
            </w:tcBorders>
            <w:shd w:val="clear" w:color="auto" w:fill="auto"/>
            <w:tcMar>
              <w:top w:w="15" w:type="dxa"/>
              <w:left w:w="108" w:type="dxa"/>
              <w:bottom w:w="0" w:type="dxa"/>
              <w:right w:w="108" w:type="dxa"/>
            </w:tcMar>
            <w:vAlign w:val="center"/>
          </w:tcPr>
          <w:p w:rsidR="007C5E42" w:rsidRPr="00851818" w:rsidRDefault="007C5E42" w:rsidP="00A60DC6">
            <w:pPr>
              <w:spacing w:before="120"/>
              <w:jc w:val="center"/>
              <w:rPr>
                <w:rFonts w:cs="Arial Unicode MS"/>
                <w:color w:val="000000"/>
                <w:sz w:val="20"/>
                <w:szCs w:val="20"/>
                <w:u w:color="000000"/>
                <w:lang w:eastAsia="en-SG"/>
              </w:rPr>
            </w:pPr>
            <w:r>
              <w:rPr>
                <w:rFonts w:cs="Arial Unicode MS"/>
                <w:color w:val="000000"/>
                <w:sz w:val="20"/>
                <w:szCs w:val="20"/>
                <w:u w:color="000000"/>
                <w:lang w:eastAsia="en-SG"/>
              </w:rPr>
              <w:t>Too few to report</w:t>
            </w:r>
          </w:p>
        </w:tc>
        <w:tc>
          <w:tcPr>
            <w:tcW w:w="1275" w:type="dxa"/>
            <w:shd w:val="clear" w:color="auto" w:fill="auto"/>
            <w:tcMar>
              <w:top w:w="15" w:type="dxa"/>
              <w:left w:w="108" w:type="dxa"/>
              <w:bottom w:w="0" w:type="dxa"/>
              <w:right w:w="108" w:type="dxa"/>
            </w:tcMar>
            <w:vAlign w:val="center"/>
          </w:tcPr>
          <w:p w:rsidR="007C5E42" w:rsidRPr="004F4C26" w:rsidRDefault="007C5E42" w:rsidP="00A60DC6">
            <w:pPr>
              <w:spacing w:before="120"/>
              <w:jc w:val="center"/>
              <w:rPr>
                <w:rFonts w:cs="Arial Unicode MS"/>
                <w:bCs/>
                <w:color w:val="000000"/>
                <w:sz w:val="20"/>
                <w:szCs w:val="20"/>
                <w:u w:color="000000"/>
                <w:lang w:eastAsia="en-SG"/>
              </w:rPr>
            </w:pPr>
            <w:r w:rsidRPr="004F4C26">
              <w:rPr>
                <w:rFonts w:cs="Arial Unicode MS"/>
                <w:bCs/>
                <w:color w:val="000000"/>
                <w:sz w:val="20"/>
                <w:szCs w:val="20"/>
                <w:u w:color="000000"/>
                <w:lang w:eastAsia="en-SG"/>
              </w:rPr>
              <w:t>15</w:t>
            </w:r>
          </w:p>
        </w:tc>
      </w:tr>
      <w:tr w:rsidR="007C5E42" w:rsidRPr="00851818" w:rsidTr="00A60DC6">
        <w:trPr>
          <w:trHeight w:val="567"/>
          <w:jc w:val="center"/>
        </w:trPr>
        <w:tc>
          <w:tcPr>
            <w:tcW w:w="3043" w:type="dxa"/>
            <w:shd w:val="clear" w:color="auto" w:fill="auto"/>
            <w:tcMar>
              <w:top w:w="15" w:type="dxa"/>
              <w:left w:w="108" w:type="dxa"/>
              <w:bottom w:w="0" w:type="dxa"/>
              <w:right w:w="108" w:type="dxa"/>
            </w:tcMar>
            <w:vAlign w:val="center"/>
            <w:hideMark/>
          </w:tcPr>
          <w:p w:rsidR="007C5E42" w:rsidRPr="00EE2772" w:rsidRDefault="007C5E42" w:rsidP="00A60DC6">
            <w:pPr>
              <w:spacing w:before="120"/>
              <w:jc w:val="center"/>
              <w:rPr>
                <w:rFonts w:cs="Arial Unicode MS"/>
                <w:i/>
                <w:color w:val="000000"/>
                <w:sz w:val="20"/>
                <w:szCs w:val="20"/>
                <w:u w:color="000000"/>
                <w:lang w:val="en-NZ" w:eastAsia="en-SG"/>
              </w:rPr>
            </w:pPr>
            <w:r w:rsidRPr="00EE2772">
              <w:rPr>
                <w:rFonts w:cs="Arial Unicode MS"/>
                <w:i/>
                <w:color w:val="000000"/>
                <w:sz w:val="20"/>
                <w:szCs w:val="20"/>
                <w:u w:color="000000"/>
                <w:lang w:eastAsia="en-SG"/>
              </w:rPr>
              <w:t>n</w:t>
            </w:r>
          </w:p>
        </w:tc>
        <w:tc>
          <w:tcPr>
            <w:tcW w:w="1483" w:type="dxa"/>
            <w:shd w:val="clear" w:color="auto" w:fill="auto"/>
            <w:tcMar>
              <w:top w:w="15" w:type="dxa"/>
              <w:left w:w="108" w:type="dxa"/>
              <w:bottom w:w="0" w:type="dxa"/>
              <w:right w:w="108" w:type="dxa"/>
            </w:tcMar>
            <w:vAlign w:val="center"/>
            <w:hideMark/>
          </w:tcPr>
          <w:p w:rsidR="007C5E42" w:rsidRPr="00851818" w:rsidRDefault="007C5E42" w:rsidP="00A60DC6">
            <w:pPr>
              <w:spacing w:before="120"/>
              <w:jc w:val="center"/>
              <w:rPr>
                <w:rFonts w:cs="Arial Unicode MS"/>
                <w:color w:val="000000"/>
                <w:sz w:val="20"/>
                <w:szCs w:val="20"/>
                <w:u w:color="000000"/>
                <w:lang w:val="en-NZ" w:eastAsia="en-SG"/>
              </w:rPr>
            </w:pPr>
            <w:r w:rsidRPr="00851818">
              <w:rPr>
                <w:rFonts w:cs="Arial Unicode MS"/>
                <w:color w:val="000000"/>
                <w:sz w:val="20"/>
                <w:szCs w:val="20"/>
                <w:u w:color="000000"/>
                <w:lang w:eastAsia="en-SG"/>
              </w:rPr>
              <w:t>4,335</w:t>
            </w:r>
          </w:p>
        </w:tc>
        <w:tc>
          <w:tcPr>
            <w:tcW w:w="1568" w:type="dxa"/>
            <w:shd w:val="clear" w:color="auto" w:fill="auto"/>
            <w:tcMar>
              <w:top w:w="15" w:type="dxa"/>
              <w:left w:w="108" w:type="dxa"/>
              <w:bottom w:w="0" w:type="dxa"/>
              <w:right w:w="108" w:type="dxa"/>
            </w:tcMar>
            <w:vAlign w:val="center"/>
            <w:hideMark/>
          </w:tcPr>
          <w:p w:rsidR="007C5E42" w:rsidRPr="00851818" w:rsidRDefault="007C5E42" w:rsidP="00A60DC6">
            <w:pPr>
              <w:spacing w:before="120"/>
              <w:jc w:val="center"/>
              <w:rPr>
                <w:rFonts w:cs="Arial Unicode MS"/>
                <w:color w:val="000000"/>
                <w:sz w:val="20"/>
                <w:szCs w:val="20"/>
                <w:u w:color="000000"/>
                <w:lang w:val="en-NZ" w:eastAsia="en-SG"/>
              </w:rPr>
            </w:pPr>
            <w:r w:rsidRPr="00851818">
              <w:rPr>
                <w:rFonts w:cs="Arial Unicode MS"/>
                <w:color w:val="000000"/>
                <w:sz w:val="20"/>
                <w:szCs w:val="20"/>
                <w:u w:color="000000"/>
                <w:lang w:eastAsia="en-SG"/>
              </w:rPr>
              <w:t>1,104</w:t>
            </w:r>
          </w:p>
        </w:tc>
        <w:tc>
          <w:tcPr>
            <w:tcW w:w="1693" w:type="dxa"/>
            <w:shd w:val="clear" w:color="auto" w:fill="auto"/>
            <w:tcMar>
              <w:top w:w="15" w:type="dxa"/>
              <w:left w:w="108" w:type="dxa"/>
              <w:bottom w:w="0" w:type="dxa"/>
              <w:right w:w="108" w:type="dxa"/>
            </w:tcMar>
            <w:vAlign w:val="center"/>
            <w:hideMark/>
          </w:tcPr>
          <w:p w:rsidR="007C5E42" w:rsidRPr="00851818" w:rsidRDefault="007C5E42" w:rsidP="00A60DC6">
            <w:pPr>
              <w:spacing w:before="120"/>
              <w:jc w:val="center"/>
              <w:rPr>
                <w:rFonts w:cs="Arial Unicode MS"/>
                <w:color w:val="000000"/>
                <w:sz w:val="20"/>
                <w:szCs w:val="20"/>
                <w:u w:color="000000"/>
                <w:lang w:val="en-NZ" w:eastAsia="en-SG"/>
              </w:rPr>
            </w:pPr>
            <w:r w:rsidRPr="00851818">
              <w:rPr>
                <w:rFonts w:cs="Arial Unicode MS"/>
                <w:color w:val="000000"/>
                <w:sz w:val="20"/>
                <w:szCs w:val="20"/>
                <w:u w:color="000000"/>
                <w:lang w:eastAsia="en-SG"/>
              </w:rPr>
              <w:t>1,260</w:t>
            </w:r>
          </w:p>
        </w:tc>
        <w:tc>
          <w:tcPr>
            <w:tcW w:w="1275" w:type="dxa"/>
            <w:shd w:val="clear" w:color="auto" w:fill="auto"/>
            <w:tcMar>
              <w:top w:w="15" w:type="dxa"/>
              <w:left w:w="108" w:type="dxa"/>
              <w:bottom w:w="0" w:type="dxa"/>
              <w:right w:w="108" w:type="dxa"/>
            </w:tcMar>
            <w:vAlign w:val="center"/>
            <w:hideMark/>
          </w:tcPr>
          <w:p w:rsidR="007C5E42" w:rsidRPr="00BC57D4" w:rsidRDefault="007C5E42" w:rsidP="00A60DC6">
            <w:pPr>
              <w:spacing w:before="120"/>
              <w:jc w:val="center"/>
              <w:rPr>
                <w:rFonts w:cs="Arial Unicode MS"/>
                <w:color w:val="000000"/>
                <w:sz w:val="20"/>
                <w:szCs w:val="20"/>
                <w:u w:color="000000"/>
                <w:lang w:val="en-NZ" w:eastAsia="en-SG"/>
              </w:rPr>
            </w:pPr>
            <w:r w:rsidRPr="004F4C26">
              <w:rPr>
                <w:rFonts w:cs="Arial Unicode MS"/>
                <w:bCs/>
                <w:color w:val="000000"/>
                <w:sz w:val="20"/>
                <w:szCs w:val="20"/>
                <w:u w:color="000000"/>
                <w:lang w:eastAsia="en-SG"/>
              </w:rPr>
              <w:t>6,711</w:t>
            </w:r>
          </w:p>
        </w:tc>
      </w:tr>
    </w:tbl>
    <w:p w:rsidR="007C5E42" w:rsidRPr="007C5E42" w:rsidRDefault="007C5E42" w:rsidP="007C5E42">
      <w:pPr>
        <w:spacing w:before="120"/>
        <w:jc w:val="both"/>
        <w:rPr>
          <w:sz w:val="20"/>
          <w:szCs w:val="20"/>
        </w:rPr>
      </w:pPr>
      <w:r>
        <w:rPr>
          <w:i/>
          <w:sz w:val="20"/>
          <w:szCs w:val="20"/>
        </w:rPr>
        <w:t>N</w:t>
      </w:r>
      <w:r w:rsidRPr="00891CC2">
        <w:rPr>
          <w:i/>
          <w:sz w:val="20"/>
          <w:szCs w:val="20"/>
        </w:rPr>
        <w:t>otes:</w:t>
      </w:r>
      <w:r w:rsidRPr="005E520A">
        <w:rPr>
          <w:sz w:val="20"/>
          <w:szCs w:val="20"/>
        </w:rPr>
        <w:t xml:space="preserve"> </w:t>
      </w:r>
      <w:r>
        <w:rPr>
          <w:sz w:val="20"/>
          <w:szCs w:val="20"/>
        </w:rPr>
        <w:t xml:space="preserve">Study sample of </w:t>
      </w:r>
      <w:r w:rsidRPr="00971CC5">
        <w:rPr>
          <w:sz w:val="20"/>
          <w:szCs w:val="20"/>
        </w:rPr>
        <w:t>young wom</w:t>
      </w:r>
      <w:r>
        <w:rPr>
          <w:sz w:val="20"/>
          <w:szCs w:val="20"/>
        </w:rPr>
        <w:t>e</w:t>
      </w:r>
      <w:r w:rsidRPr="00971CC5">
        <w:rPr>
          <w:sz w:val="20"/>
          <w:szCs w:val="20"/>
        </w:rPr>
        <w:t xml:space="preserve">n </w:t>
      </w:r>
      <w:r>
        <w:rPr>
          <w:sz w:val="20"/>
          <w:szCs w:val="20"/>
        </w:rPr>
        <w:t xml:space="preserve">in cohorts born </w:t>
      </w:r>
      <w:r w:rsidRPr="00971CC5">
        <w:rPr>
          <w:sz w:val="20"/>
          <w:szCs w:val="20"/>
        </w:rPr>
        <w:t>between 1 Jan 1991 and 31 December 1994 and enrolled in a New Zealand school for at least one day between the start of ENROL in 2006 and 1 January 2008</w:t>
      </w:r>
      <w:r>
        <w:rPr>
          <w:sz w:val="20"/>
          <w:szCs w:val="20"/>
        </w:rPr>
        <w:t xml:space="preserve"> and who recorded a live birth between 13</w:t>
      </w:r>
      <w:r w:rsidRPr="00043454">
        <w:rPr>
          <w:sz w:val="20"/>
          <w:szCs w:val="20"/>
          <w:vertAlign w:val="superscript"/>
        </w:rPr>
        <w:t>th</w:t>
      </w:r>
      <w:r>
        <w:rPr>
          <w:sz w:val="20"/>
          <w:szCs w:val="20"/>
        </w:rPr>
        <w:t xml:space="preserve"> and 19</w:t>
      </w:r>
      <w:r w:rsidRPr="00043454">
        <w:rPr>
          <w:sz w:val="20"/>
          <w:szCs w:val="20"/>
          <w:vertAlign w:val="superscript"/>
        </w:rPr>
        <w:t>th</w:t>
      </w:r>
      <w:r>
        <w:rPr>
          <w:sz w:val="20"/>
          <w:szCs w:val="20"/>
        </w:rPr>
        <w:t xml:space="preserve"> birthday in the MoH maternity data. </w:t>
      </w:r>
      <w:r w:rsidRPr="004269FC">
        <w:rPr>
          <w:sz w:val="20"/>
          <w:szCs w:val="20"/>
        </w:rPr>
        <w:t xml:space="preserve">15 </w:t>
      </w:r>
      <w:r>
        <w:rPr>
          <w:sz w:val="20"/>
          <w:szCs w:val="20"/>
        </w:rPr>
        <w:t xml:space="preserve">observations </w:t>
      </w:r>
      <w:r w:rsidRPr="004269FC">
        <w:rPr>
          <w:sz w:val="20"/>
          <w:szCs w:val="20"/>
        </w:rPr>
        <w:t>have missing conception status.</w:t>
      </w:r>
      <w:r>
        <w:rPr>
          <w:sz w:val="20"/>
          <w:szCs w:val="20"/>
        </w:rPr>
        <w:t xml:space="preserve"> TPU enrollment is prioritized so that a </w:t>
      </w:r>
      <w:r w:rsidRPr="000475B8">
        <w:rPr>
          <w:sz w:val="20"/>
          <w:szCs w:val="20"/>
        </w:rPr>
        <w:t xml:space="preserve">young woman who has at some point enrolled in a TPU governing school after the birth of her child is classified as </w:t>
      </w:r>
      <w:r>
        <w:rPr>
          <w:sz w:val="20"/>
          <w:szCs w:val="20"/>
        </w:rPr>
        <w:t>TPU</w:t>
      </w:r>
      <w:r w:rsidRPr="000475B8">
        <w:rPr>
          <w:sz w:val="20"/>
          <w:szCs w:val="20"/>
        </w:rPr>
        <w:t xml:space="preserve"> </w:t>
      </w:r>
      <w:r>
        <w:rPr>
          <w:sz w:val="20"/>
          <w:szCs w:val="20"/>
        </w:rPr>
        <w:t>governing school enrolled post-birth</w:t>
      </w:r>
      <w:r w:rsidRPr="000475B8">
        <w:rPr>
          <w:sz w:val="20"/>
          <w:szCs w:val="20"/>
        </w:rPr>
        <w:t>.</w:t>
      </w:r>
      <w:r>
        <w:rPr>
          <w:sz w:val="20"/>
          <w:szCs w:val="20"/>
        </w:rPr>
        <w:t xml:space="preserve"> Where there is a summer conception date, w</w:t>
      </w:r>
      <w:r w:rsidRPr="000D545B">
        <w:rPr>
          <w:sz w:val="20"/>
          <w:szCs w:val="20"/>
        </w:rPr>
        <w:t>e consider young women unenrolled if they were unenrolled at the start of the summer in which they conceived</w:t>
      </w:r>
      <w:r>
        <w:rPr>
          <w:sz w:val="20"/>
          <w:szCs w:val="20"/>
        </w:rPr>
        <w:t>.</w:t>
      </w:r>
    </w:p>
    <w:p w:rsidR="0051468F" w:rsidRDefault="0051468F" w:rsidP="0051468F">
      <w:pPr>
        <w:pStyle w:val="Body"/>
        <w:spacing w:after="0"/>
        <w:jc w:val="both"/>
      </w:pPr>
      <w:r w:rsidRPr="00B12C8E">
        <w:t xml:space="preserve">An interesting </w:t>
      </w:r>
      <w:r w:rsidR="00673FB8">
        <w:t>exercise</w:t>
      </w:r>
      <w:r w:rsidR="00673FB8" w:rsidRPr="00B12C8E">
        <w:t xml:space="preserve"> </w:t>
      </w:r>
      <w:r w:rsidRPr="00B12C8E">
        <w:t xml:space="preserve">is to compare post-birth enrolment rates </w:t>
      </w:r>
      <w:r w:rsidR="00673FB8">
        <w:t>of</w:t>
      </w:r>
      <w:r w:rsidR="00673FB8" w:rsidRPr="00B12C8E">
        <w:t xml:space="preserve"> </w:t>
      </w:r>
      <w:r>
        <w:t>the 285</w:t>
      </w:r>
      <w:r w:rsidRPr="00B12C8E">
        <w:t xml:space="preserve"> young women who were enrolled in a TPU </w:t>
      </w:r>
      <w:r>
        <w:t>governing</w:t>
      </w:r>
      <w:r w:rsidRPr="00B12C8E">
        <w:t xml:space="preserve"> school when they conceived and </w:t>
      </w:r>
      <w:r>
        <w:t>the 2,085</w:t>
      </w:r>
      <w:r w:rsidRPr="00B12C8E">
        <w:t xml:space="preserve"> young women who were enrolled in a non-TPU school when they conceived. The post-birth enrolment rate for the former </w:t>
      </w:r>
      <w:r w:rsidR="00673FB8">
        <w:t xml:space="preserve">group </w:t>
      </w:r>
      <w:r w:rsidRPr="00B12C8E">
        <w:t xml:space="preserve">is </w:t>
      </w:r>
      <w:r w:rsidR="00F75120">
        <w:t>70</w:t>
      </w:r>
      <w:r>
        <w:t xml:space="preserve"> percent</w:t>
      </w:r>
      <w:r w:rsidRPr="00B12C8E">
        <w:t xml:space="preserve"> whereas for the latter it is </w:t>
      </w:r>
      <w:r w:rsidR="00F75120">
        <w:t>58</w:t>
      </w:r>
      <w:r>
        <w:t xml:space="preserve"> percent</w:t>
      </w:r>
      <w:r w:rsidRPr="00B12C8E">
        <w:t xml:space="preserve">. Of course, there might be other differences between these schools – but if we assume that young women did not enrol in a TPU </w:t>
      </w:r>
      <w:r>
        <w:t>governing</w:t>
      </w:r>
      <w:r w:rsidRPr="00B12C8E">
        <w:t xml:space="preserve"> school in order to conceive, then this higher enrolment rate is suggestive of a positive impact of TPUs</w:t>
      </w:r>
      <w:r>
        <w:t>.</w:t>
      </w:r>
      <w:r>
        <w:rPr>
          <w:rStyle w:val="FootnoteReference"/>
        </w:rPr>
        <w:footnoteReference w:id="14"/>
      </w:r>
      <w:r w:rsidRPr="00B12C8E">
        <w:t xml:space="preserve"> </w:t>
      </w:r>
      <w:r>
        <w:t xml:space="preserve"> </w:t>
      </w:r>
    </w:p>
    <w:p w:rsidR="0051468F" w:rsidRDefault="0051468F" w:rsidP="00C43819">
      <w:pPr>
        <w:pStyle w:val="Body"/>
        <w:spacing w:after="0"/>
        <w:jc w:val="both"/>
        <w:rPr>
          <w:rFonts w:eastAsiaTheme="majorEastAsia"/>
          <w:bCs/>
          <w:sz w:val="36"/>
          <w:szCs w:val="28"/>
          <w:lang w:val="fr-FR"/>
        </w:rPr>
      </w:pPr>
      <w:r w:rsidRPr="00C43819">
        <w:rPr>
          <w:lang w:val="en-US"/>
        </w:rPr>
        <w:t>It should be noted that young women who conceive while attending a TPU governing school can switch enrolment to a non-TPU school post-birth (</w:t>
      </w:r>
      <w:r w:rsidR="00C43819">
        <w:rPr>
          <w:lang w:val="en-US"/>
        </w:rPr>
        <w:t>and 11</w:t>
      </w:r>
      <w:r w:rsidRPr="00C43819">
        <w:rPr>
          <w:lang w:val="en-US"/>
        </w:rPr>
        <w:t xml:space="preserve"> percent</w:t>
      </w:r>
      <w:r w:rsidR="00C43819">
        <w:rPr>
          <w:lang w:val="en-US"/>
        </w:rPr>
        <w:t xml:space="preserve"> do so</w:t>
      </w:r>
      <w:r w:rsidRPr="00C43819">
        <w:rPr>
          <w:lang w:val="en-US"/>
        </w:rPr>
        <w:t>). However, young women who conceive while attending a non-TPU school are nearly twice as likely to switch enrolment to a TPU governing school (21 percent</w:t>
      </w:r>
      <w:r w:rsidR="00C43819">
        <w:rPr>
          <w:lang w:val="en-US"/>
        </w:rPr>
        <w:t xml:space="preserve"> make this transition</w:t>
      </w:r>
      <w:r w:rsidRPr="00C43819">
        <w:rPr>
          <w:lang w:val="en-US"/>
        </w:rPr>
        <w:t xml:space="preserve">). This is despite the fact that there are relatively few TPU governing schools and they are non-existent in many regions of the country. This is why we do not estimate </w:t>
      </w:r>
      <w:r w:rsidR="00C43819">
        <w:rPr>
          <w:lang w:val="en-US"/>
        </w:rPr>
        <w:t xml:space="preserve">impacts on </w:t>
      </w:r>
      <w:r w:rsidRPr="00C43819">
        <w:rPr>
          <w:lang w:val="en-US"/>
        </w:rPr>
        <w:t xml:space="preserve">educational attendance and attainment based on enrolment in a TPU governing school post-birth. </w:t>
      </w:r>
      <w:r w:rsidR="00C43819">
        <w:rPr>
          <w:lang w:val="en-US"/>
        </w:rPr>
        <w:t>If we were to use such an estimation strategy, p</w:t>
      </w:r>
      <w:r w:rsidRPr="00C43819">
        <w:rPr>
          <w:lang w:val="en-US"/>
        </w:rPr>
        <w:t xml:space="preserve">otential sample selection effects </w:t>
      </w:r>
      <w:r w:rsidR="00C43819">
        <w:rPr>
          <w:lang w:val="en-US"/>
        </w:rPr>
        <w:t>resulting from</w:t>
      </w:r>
      <w:r w:rsidRPr="00C43819">
        <w:rPr>
          <w:lang w:val="en-US"/>
        </w:rPr>
        <w:t xml:space="preserve"> more motivated teen mothers migrating to these units could bias the estimated impacts of TPUs on the educational outcomes </w:t>
      </w:r>
      <w:r w:rsidR="00F67231">
        <w:rPr>
          <w:lang w:val="en-US"/>
        </w:rPr>
        <w:t>of</w:t>
      </w:r>
      <w:r w:rsidRPr="00C43819">
        <w:rPr>
          <w:lang w:val="en-US"/>
        </w:rPr>
        <w:t xml:space="preserve"> teen mothers.</w:t>
      </w:r>
      <w:r>
        <w:rPr>
          <w:rFonts w:cs="Times New Roman"/>
          <w:lang w:val="fr-FR"/>
        </w:rPr>
        <w:br w:type="page"/>
      </w:r>
    </w:p>
    <w:p w:rsidR="00E05949" w:rsidRDefault="009A1012" w:rsidP="0021065A">
      <w:pPr>
        <w:pStyle w:val="Heading1"/>
        <w:ind w:left="709" w:hanging="709"/>
        <w:rPr>
          <w:rFonts w:ascii="Times New Roman" w:hAnsi="Times New Roman" w:cs="Times New Roman"/>
          <w:lang w:val="fr-FR"/>
        </w:rPr>
      </w:pPr>
      <w:bookmarkStart w:id="25" w:name="_Toc473803310"/>
      <w:r w:rsidRPr="0021065A">
        <w:rPr>
          <w:rFonts w:ascii="Times New Roman" w:hAnsi="Times New Roman" w:cs="Times New Roman"/>
          <w:lang w:val="fr-FR"/>
        </w:rPr>
        <w:t>TPU</w:t>
      </w:r>
      <w:r w:rsidR="009E4BB4" w:rsidRPr="0021065A">
        <w:rPr>
          <w:rFonts w:ascii="Times New Roman" w:hAnsi="Times New Roman" w:cs="Times New Roman"/>
          <w:lang w:val="fr-FR"/>
        </w:rPr>
        <w:t>s</w:t>
      </w:r>
      <w:r w:rsidRPr="0021065A">
        <w:rPr>
          <w:rFonts w:ascii="Times New Roman" w:hAnsi="Times New Roman" w:cs="Times New Roman"/>
          <w:lang w:val="fr-FR"/>
        </w:rPr>
        <w:t xml:space="preserve"> and Educational Outcomes for Young </w:t>
      </w:r>
      <w:r w:rsidR="009E4BB4" w:rsidRPr="0021065A">
        <w:rPr>
          <w:rFonts w:ascii="Times New Roman" w:hAnsi="Times New Roman" w:cs="Times New Roman"/>
          <w:lang w:val="fr-FR"/>
        </w:rPr>
        <w:t>Mothers</w:t>
      </w:r>
      <w:bookmarkEnd w:id="25"/>
    </w:p>
    <w:p w:rsidR="00D66BFE" w:rsidRPr="00D66BFE" w:rsidRDefault="00D66BFE" w:rsidP="00D66BFE">
      <w:pPr>
        <w:rPr>
          <w:lang w:val="fr-FR"/>
        </w:rPr>
      </w:pPr>
    </w:p>
    <w:p w:rsidR="00710BEB" w:rsidRDefault="009A1012">
      <w:pPr>
        <w:pStyle w:val="Body"/>
        <w:spacing w:before="360" w:after="360"/>
      </w:pPr>
      <w:r w:rsidRPr="00B12C8E">
        <w:t xml:space="preserve">We now turn to the </w:t>
      </w:r>
      <w:r w:rsidR="00EA2C5A">
        <w:t xml:space="preserve">primary </w:t>
      </w:r>
      <w:r w:rsidRPr="00B12C8E">
        <w:t xml:space="preserve">purpose of this study, which is to evaluate the impact of access to </w:t>
      </w:r>
      <w:r w:rsidR="001D0EC7" w:rsidRPr="00B12C8E">
        <w:t>a</w:t>
      </w:r>
      <w:r w:rsidRPr="00B12C8E">
        <w:t xml:space="preserve"> TPU on educational outcomes for young women</w:t>
      </w:r>
      <w:r w:rsidR="009E4BB4" w:rsidRPr="00B12C8E">
        <w:t xml:space="preserve"> who have given birth</w:t>
      </w:r>
      <w:r w:rsidRPr="00B12C8E">
        <w:t xml:space="preserve">. </w:t>
      </w:r>
      <w:r w:rsidR="00B538F7" w:rsidRPr="00B12C8E">
        <w:t>That is</w:t>
      </w:r>
      <w:r w:rsidR="008C70DA">
        <w:t>:</w:t>
      </w:r>
    </w:p>
    <w:p w:rsidR="00B538F7" w:rsidRPr="00B12C8E" w:rsidRDefault="00B538F7">
      <w:pPr>
        <w:jc w:val="both"/>
      </w:pPr>
      <w:r w:rsidRPr="00B12C8E">
        <w:t xml:space="preserve"> </w:t>
      </w:r>
    </w:p>
    <w:p w:rsidR="00B538F7" w:rsidRPr="00F85E8C" w:rsidRDefault="00E86701" w:rsidP="004F4C26">
      <w:pPr>
        <w:jc w:val="right"/>
      </w:pPr>
      <m:oMathPara>
        <m:oMathParaPr>
          <m:jc m:val="left"/>
        </m:oMathParaPr>
        <m:oMath>
          <m:d>
            <m:dPr>
              <m:ctrlPr>
                <w:rPr>
                  <w:rFonts w:ascii="Cambria Math" w:hAnsi="Cambria Math"/>
                  <w:i/>
                </w:rPr>
              </m:ctrlPr>
            </m:dPr>
            <m:e>
              <m:r>
                <w:rPr>
                  <w:rFonts w:ascii="Cambria Math" w:hAnsi="Cambria Math"/>
                </w:rPr>
                <m:t>1</m:t>
              </m:r>
            </m:e>
          </m:d>
          <m:r>
            <w:rPr>
              <w:rFonts w:ascii="Cambria Math" w:hAnsi="Cambria Math"/>
            </w:rPr>
            <m:t xml:space="preserve">                                         Pr</m:t>
          </m:r>
          <m:d>
            <m:dPr>
              <m:ctrlPr>
                <w:rPr>
                  <w:rFonts w:ascii="Cambria Math" w:hAnsi="Cambria Math"/>
                  <w:i/>
                </w:rPr>
              </m:ctrlPr>
            </m:dPr>
            <m:e>
              <m:r>
                <w:rPr>
                  <w:rFonts w:ascii="Cambria Math" w:hAnsi="Cambria Math"/>
                </w:rPr>
                <m:t>Y=1</m:t>
              </m:r>
            </m:e>
          </m:d>
          <m:r>
            <w:rPr>
              <w:rFonts w:ascii="Cambria Math" w:hAnsi="Cambria Math"/>
            </w:rPr>
            <m:t>=</m:t>
          </m:r>
          <m:r>
            <m:rPr>
              <m:sty m:val="p"/>
            </m:rPr>
            <w:rPr>
              <w:rFonts w:ascii="Cambria Math" w:hAnsi="Cambria Math" w:hint="cs"/>
            </w:rPr>
            <m:t>Φ</m:t>
          </m:r>
          <m:d>
            <m:dPr>
              <m:ctrlPr>
                <w:rPr>
                  <w:rFonts w:ascii="Cambria Math" w:hAnsi="Cambria Math"/>
                  <w:i/>
                  <w:iCs/>
                  <w:sz w:val="22"/>
                  <w:szCs w:val="22"/>
                  <w:lang w:val="en-NZ"/>
                </w:rPr>
              </m:ctrlPr>
            </m:dPr>
            <m:e>
              <m:sSub>
                <m:sSubPr>
                  <m:ctrlPr>
                    <w:rPr>
                      <w:rFonts w:ascii="Cambria Math" w:hAnsi="Cambria Math"/>
                      <w:i/>
                      <w:iCs/>
                      <w:sz w:val="22"/>
                      <w:szCs w:val="22"/>
                      <w:lang w:val="en-NZ"/>
                    </w:rPr>
                  </m:ctrlPr>
                </m:sSubPr>
                <m:e>
                  <m:r>
                    <w:rPr>
                      <w:rFonts w:ascii="Cambria Math" w:hAnsi="Cambria Math"/>
                    </w:rPr>
                    <m:t>β</m:t>
                  </m:r>
                </m:e>
                <m:sub>
                  <m:r>
                    <w:rPr>
                      <w:rFonts w:ascii="Cambria Math" w:hAnsi="Cambria Math"/>
                    </w:rPr>
                    <m:t>0</m:t>
                  </m:r>
                </m:sub>
              </m:sSub>
              <m:r>
                <w:rPr>
                  <w:rFonts w:ascii="Cambria Math" w:hAnsi="Cambria Math"/>
                </w:rPr>
                <m:t>+</m:t>
              </m:r>
              <m:sSub>
                <m:sSubPr>
                  <m:ctrlPr>
                    <w:rPr>
                      <w:rFonts w:ascii="Cambria Math" w:hAnsi="Cambria Math"/>
                      <w:i/>
                      <w:iCs/>
                      <w:sz w:val="22"/>
                      <w:szCs w:val="22"/>
                      <w:lang w:val="en-NZ"/>
                    </w:rPr>
                  </m:ctrlPr>
                </m:sSubPr>
                <m:e>
                  <m:r>
                    <w:rPr>
                      <w:rFonts w:ascii="Cambria Math" w:hAnsi="Cambria Math"/>
                    </w:rPr>
                    <m:t>β</m:t>
                  </m:r>
                </m:e>
                <m:sub>
                  <m:r>
                    <w:rPr>
                      <w:rFonts w:ascii="Cambria Math" w:hAnsi="Cambria Math"/>
                    </w:rPr>
                    <m:t>1</m:t>
                  </m:r>
                </m:sub>
              </m:sSub>
              <m:r>
                <w:rPr>
                  <w:rFonts w:ascii="Cambria Math" w:hAnsi="Cambria Math"/>
                </w:rPr>
                <m:t>X+</m:t>
              </m:r>
              <m:sSub>
                <m:sSubPr>
                  <m:ctrlPr>
                    <w:rPr>
                      <w:rFonts w:ascii="Cambria Math" w:hAnsi="Cambria Math"/>
                      <w:i/>
                      <w:iCs/>
                      <w:sz w:val="22"/>
                      <w:szCs w:val="22"/>
                      <w:lang w:val="en-NZ"/>
                    </w:rPr>
                  </m:ctrlPr>
                </m:sSubPr>
                <m:e>
                  <m:r>
                    <w:rPr>
                      <w:rFonts w:ascii="Cambria Math" w:hAnsi="Cambria Math"/>
                    </w:rPr>
                    <m:t>β</m:t>
                  </m:r>
                </m:e>
                <m:sub>
                  <m:r>
                    <w:rPr>
                      <w:rFonts w:ascii="Cambria Math" w:hAnsi="Cambria Math"/>
                    </w:rPr>
                    <m:t>2</m:t>
                  </m:r>
                </m:sub>
              </m:sSub>
              <m:r>
                <w:rPr>
                  <w:rFonts w:ascii="Cambria Math" w:hAnsi="Cambria Math"/>
                </w:rPr>
                <m:t>TP</m:t>
              </m:r>
              <m:sSub>
                <m:sSubPr>
                  <m:ctrlPr>
                    <w:rPr>
                      <w:rFonts w:ascii="Cambria Math" w:hAnsi="Cambria Math"/>
                      <w:i/>
                    </w:rPr>
                  </m:ctrlPr>
                </m:sSubPr>
                <m:e>
                  <m:r>
                    <w:rPr>
                      <w:rFonts w:ascii="Cambria Math" w:hAnsi="Cambria Math"/>
                    </w:rPr>
                    <m:t>U</m:t>
                  </m:r>
                </m:e>
                <m:sub>
                  <m:r>
                    <w:rPr>
                      <w:rFonts w:ascii="Cambria Math" w:hAnsi="Cambria Math"/>
                    </w:rPr>
                    <m:t>Access</m:t>
                  </m:r>
                </m:sub>
              </m:sSub>
            </m:e>
          </m:d>
        </m:oMath>
      </m:oMathPara>
    </w:p>
    <w:p w:rsidR="000573F9" w:rsidRPr="00B12C8E" w:rsidRDefault="000573F9" w:rsidP="004F4C26">
      <w:pPr>
        <w:pStyle w:val="Body"/>
        <w:spacing w:before="100" w:after="0"/>
        <w:jc w:val="right"/>
        <w:rPr>
          <w:lang w:val="en-US"/>
        </w:rPr>
      </w:pPr>
    </w:p>
    <w:p w:rsidR="00E05949" w:rsidRPr="00B12C8E" w:rsidRDefault="009A1012">
      <w:pPr>
        <w:pStyle w:val="Body"/>
        <w:spacing w:before="100" w:after="0"/>
        <w:jc w:val="both"/>
      </w:pPr>
      <w:r w:rsidRPr="00B12C8E">
        <w:rPr>
          <w:lang w:val="en-US"/>
        </w:rPr>
        <w:t xml:space="preserve">where </w:t>
      </w:r>
      <w:r w:rsidRPr="00B12C8E">
        <w:rPr>
          <w:i/>
          <w:iCs/>
        </w:rPr>
        <w:t>Y</w:t>
      </w:r>
      <w:r w:rsidRPr="00B12C8E">
        <w:rPr>
          <w:lang w:val="en-US"/>
        </w:rPr>
        <w:t xml:space="preserve"> is </w:t>
      </w:r>
      <w:r w:rsidR="00EA2C5A">
        <w:rPr>
          <w:lang w:val="en-US"/>
        </w:rPr>
        <w:t xml:space="preserve">a dummy variable that takes on a value of one if an individual was either </w:t>
      </w:r>
      <w:r w:rsidR="00C22639">
        <w:rPr>
          <w:lang w:val="en-US"/>
        </w:rPr>
        <w:t xml:space="preserve">enrolled </w:t>
      </w:r>
      <w:r w:rsidR="00EA2C5A">
        <w:rPr>
          <w:lang w:val="en-US"/>
        </w:rPr>
        <w:t xml:space="preserve">in school </w:t>
      </w:r>
      <w:r w:rsidR="00C22639">
        <w:rPr>
          <w:lang w:val="en-US"/>
        </w:rPr>
        <w:t xml:space="preserve">or </w:t>
      </w:r>
      <w:r w:rsidRPr="00B12C8E">
        <w:rPr>
          <w:lang w:val="en-US"/>
        </w:rPr>
        <w:t>complet</w:t>
      </w:r>
      <w:r w:rsidR="00EA2C5A">
        <w:rPr>
          <w:lang w:val="en-US"/>
        </w:rPr>
        <w:t>ed</w:t>
      </w:r>
      <w:r w:rsidRPr="00B12C8E">
        <w:rPr>
          <w:lang w:val="en-US"/>
        </w:rPr>
        <w:t xml:space="preserve"> an NCEA </w:t>
      </w:r>
      <w:r w:rsidR="00572852">
        <w:rPr>
          <w:lang w:val="en-US"/>
        </w:rPr>
        <w:t>qualification</w:t>
      </w:r>
      <w:r w:rsidR="00EA2C5A">
        <w:rPr>
          <w:lang w:val="en-US"/>
        </w:rPr>
        <w:t xml:space="preserve"> post-birth; </w:t>
      </w:r>
      <w:r w:rsidR="00673FB8">
        <w:rPr>
          <w:lang w:val="en-US"/>
        </w:rPr>
        <w:t xml:space="preserve">and </w:t>
      </w:r>
      <w:r w:rsidR="00EA2C5A">
        <w:rPr>
          <w:lang w:val="en-US"/>
        </w:rPr>
        <w:t xml:space="preserve">zero otherwise. The vector </w:t>
      </w:r>
      <w:r w:rsidR="00EA2C5A" w:rsidRPr="004F4C26">
        <w:rPr>
          <w:i/>
          <w:lang w:val="en-US"/>
        </w:rPr>
        <w:t>X</w:t>
      </w:r>
      <w:r w:rsidR="00EA2C5A">
        <w:rPr>
          <w:lang w:val="en-US"/>
        </w:rPr>
        <w:t xml:space="preserve"> includes a range of individual and neighborhood control variables</w:t>
      </w:r>
      <w:r w:rsidRPr="00B12C8E">
        <w:rPr>
          <w:lang w:val="en-US"/>
        </w:rPr>
        <w:t xml:space="preserve">, </w:t>
      </w:r>
      <w:r w:rsidR="00EA2C5A">
        <w:rPr>
          <w:lang w:val="en-US"/>
        </w:rPr>
        <w:t xml:space="preserve">and </w:t>
      </w:r>
      <w:r w:rsidRPr="00B12C8E">
        <w:rPr>
          <w:i/>
          <w:iCs/>
        </w:rPr>
        <w:t>TPU_A</w:t>
      </w:r>
      <w:r w:rsidR="0047366E">
        <w:rPr>
          <w:i/>
          <w:iCs/>
        </w:rPr>
        <w:t>c</w:t>
      </w:r>
      <w:r w:rsidRPr="00B12C8E">
        <w:rPr>
          <w:i/>
          <w:iCs/>
        </w:rPr>
        <w:t xml:space="preserve">cess </w:t>
      </w:r>
      <w:r w:rsidRPr="00B12C8E">
        <w:rPr>
          <w:lang w:val="en-US"/>
        </w:rPr>
        <w:t xml:space="preserve">is an indicator </w:t>
      </w:r>
      <w:r w:rsidR="00EA2C5A">
        <w:rPr>
          <w:lang w:val="en-US"/>
        </w:rPr>
        <w:t xml:space="preserve">variable </w:t>
      </w:r>
      <w:r w:rsidRPr="00B12C8E">
        <w:rPr>
          <w:lang w:val="en-US"/>
        </w:rPr>
        <w:t>of whether the young woman ha</w:t>
      </w:r>
      <w:r w:rsidR="00EA2C5A">
        <w:rPr>
          <w:lang w:val="en-US"/>
        </w:rPr>
        <w:t>d</w:t>
      </w:r>
      <w:r w:rsidRPr="00B12C8E">
        <w:rPr>
          <w:lang w:val="en-US"/>
        </w:rPr>
        <w:t xml:space="preserve"> access to </w:t>
      </w:r>
      <w:r w:rsidR="001D0EC7" w:rsidRPr="00B12C8E">
        <w:rPr>
          <w:lang w:val="en-US"/>
        </w:rPr>
        <w:t xml:space="preserve">a </w:t>
      </w:r>
      <w:r w:rsidRPr="00B12C8E">
        <w:rPr>
          <w:lang w:val="en-US"/>
        </w:rPr>
        <w:t>TPU</w:t>
      </w:r>
      <w:r w:rsidR="00CA7D8E">
        <w:rPr>
          <w:lang w:val="en-US"/>
        </w:rPr>
        <w:t>. The probabilities of a</w:t>
      </w:r>
      <w:r w:rsidR="00EA2C5A">
        <w:rPr>
          <w:lang w:val="en-US"/>
        </w:rPr>
        <w:t xml:space="preserve"> teen mother </w:t>
      </w:r>
      <w:r w:rsidR="00CA7D8E">
        <w:rPr>
          <w:lang w:val="en-US"/>
        </w:rPr>
        <w:t>being in school or completing an</w:t>
      </w:r>
      <w:r w:rsidR="00EA2C5A">
        <w:rPr>
          <w:lang w:val="en-US"/>
        </w:rPr>
        <w:t xml:space="preserve"> NCEA qualification </w:t>
      </w:r>
      <w:r w:rsidR="00CA7D8E">
        <w:rPr>
          <w:lang w:val="en-US"/>
        </w:rPr>
        <w:t>are based</w:t>
      </w:r>
      <w:r w:rsidR="00EA2C5A">
        <w:rPr>
          <w:lang w:val="en-US"/>
        </w:rPr>
        <w:t xml:space="preserve"> </w:t>
      </w:r>
      <w:r w:rsidR="00CA7D8E">
        <w:rPr>
          <w:lang w:val="en-US"/>
        </w:rPr>
        <w:t>on</w:t>
      </w:r>
      <w:r w:rsidR="00EA2C5A">
        <w:rPr>
          <w:lang w:val="en-US"/>
        </w:rPr>
        <w:t xml:space="preserve"> the cumulative density function of the standard normal</w:t>
      </w:r>
      <m:oMath>
        <m:r>
          <w:rPr>
            <w:rFonts w:ascii="Cambria Math" w:hAnsi="Cambria Math"/>
            <w:lang w:val="en-US"/>
          </w:rPr>
          <m:t xml:space="preserve"> </m:t>
        </m:r>
        <m:r>
          <m:rPr>
            <m:sty m:val="p"/>
          </m:rPr>
          <w:rPr>
            <w:rFonts w:ascii="Cambria Math" w:hAnsi="Cambria Math"/>
            <w:lang w:val="en-US"/>
          </w:rPr>
          <m:t>Φ</m:t>
        </m:r>
        <m:d>
          <m:dPr>
            <m:ctrlPr>
              <w:rPr>
                <w:rFonts w:ascii="Cambria Math" w:hAnsi="Cambria Math"/>
                <w:i/>
                <w:lang w:val="en-US"/>
              </w:rPr>
            </m:ctrlPr>
          </m:dPr>
          <m:e>
            <m:r>
              <w:rPr>
                <w:rFonts w:ascii="Cambria Math" w:hAnsi="Cambria Math"/>
                <w:lang w:val="en-US"/>
              </w:rPr>
              <m:t>∙</m:t>
            </m:r>
          </m:e>
        </m:d>
      </m:oMath>
      <w:r w:rsidR="00EA2C5A">
        <w:rPr>
          <w:lang w:val="en-US"/>
        </w:rPr>
        <w:t>.</w:t>
      </w:r>
      <w:r w:rsidR="00771D0B">
        <w:rPr>
          <w:lang w:val="en-US"/>
        </w:rPr>
        <w:t xml:space="preserve"> </w:t>
      </w:r>
      <w:r w:rsidR="00EA2C5A">
        <w:rPr>
          <w:lang w:val="en-US"/>
        </w:rPr>
        <w:t xml:space="preserve">The coefficient </w:t>
      </w:r>
      <m:oMath>
        <m:sSub>
          <m:sSubPr>
            <m:ctrlPr>
              <w:rPr>
                <w:rFonts w:ascii="Cambria Math" w:hAnsi="Cambria Math"/>
                <w:i/>
                <w:lang w:val="en-US"/>
              </w:rPr>
            </m:ctrlPr>
          </m:sSubPr>
          <m:e>
            <m:r>
              <w:rPr>
                <w:rFonts w:ascii="Cambria Math" w:hAnsi="Cambria Math"/>
                <w:lang w:val="en-US"/>
              </w:rPr>
              <m:t>β</m:t>
            </m:r>
          </m:e>
          <m:sub>
            <m:r>
              <w:rPr>
                <w:rFonts w:ascii="Cambria Math" w:hAnsi="Cambria Math"/>
                <w:lang w:val="en-US"/>
              </w:rPr>
              <m:t>2</m:t>
            </m:r>
          </m:sub>
        </m:sSub>
      </m:oMath>
      <w:r w:rsidR="00EA2C5A">
        <w:rPr>
          <w:lang w:val="en-US"/>
        </w:rPr>
        <w:t xml:space="preserve"> </w:t>
      </w:r>
      <w:r w:rsidRPr="00B12C8E">
        <w:rPr>
          <w:lang w:val="en-US"/>
        </w:rPr>
        <w:t xml:space="preserve">is </w:t>
      </w:r>
      <w:r w:rsidR="00C50D07" w:rsidRPr="00B12C8E">
        <w:rPr>
          <w:lang w:val="en-US"/>
        </w:rPr>
        <w:t xml:space="preserve">the </w:t>
      </w:r>
      <w:r w:rsidR="00EA2C5A">
        <w:rPr>
          <w:lang w:val="en-US"/>
        </w:rPr>
        <w:t xml:space="preserve">parameter </w:t>
      </w:r>
      <w:r w:rsidRPr="00B12C8E">
        <w:rPr>
          <w:lang w:val="en-US"/>
        </w:rPr>
        <w:t xml:space="preserve">of interest. </w:t>
      </w:r>
      <w:r w:rsidR="00EA2C5A">
        <w:rPr>
          <w:lang w:val="en-US"/>
        </w:rPr>
        <w:t xml:space="preserve">We hypothesise that access to a TPU will increase the probabilities of both post-birth school enrolment and the completion of NCEA Level 1 and 2 qualifications (i.e., </w:t>
      </w:r>
      <m:oMath>
        <m:sSub>
          <m:sSubPr>
            <m:ctrlPr>
              <w:rPr>
                <w:rFonts w:ascii="Cambria Math" w:hAnsi="Cambria Math"/>
                <w:i/>
                <w:lang w:val="en-US"/>
              </w:rPr>
            </m:ctrlPr>
          </m:sSubPr>
          <m:e>
            <m:r>
              <w:rPr>
                <w:rFonts w:ascii="Cambria Math" w:hAnsi="Cambria Math"/>
                <w:lang w:val="en-US"/>
              </w:rPr>
              <m:t>β</m:t>
            </m:r>
          </m:e>
          <m:sub>
            <m:r>
              <w:rPr>
                <w:rFonts w:ascii="Cambria Math" w:hAnsi="Cambria Math"/>
                <w:lang w:val="en-US"/>
              </w:rPr>
              <m:t>2</m:t>
            </m:r>
          </m:sub>
        </m:sSub>
        <m:r>
          <w:rPr>
            <w:rFonts w:ascii="Cambria Math" w:hAnsi="Cambria Math"/>
            <w:lang w:val="en-US"/>
          </w:rPr>
          <m:t>&gt;0</m:t>
        </m:r>
      </m:oMath>
      <w:r w:rsidR="00EA2C5A">
        <w:rPr>
          <w:lang w:val="en-US"/>
        </w:rPr>
        <w:t>).</w:t>
      </w:r>
    </w:p>
    <w:p w:rsidR="00EB4992" w:rsidRPr="009D0EAE" w:rsidRDefault="008537B6">
      <w:pPr>
        <w:pStyle w:val="Body"/>
        <w:jc w:val="both"/>
        <w:rPr>
          <w:lang w:val="en-US"/>
        </w:rPr>
      </w:pPr>
      <w:r w:rsidRPr="009D0EAE">
        <w:rPr>
          <w:lang w:val="en-US"/>
        </w:rPr>
        <w:t>T</w:t>
      </w:r>
      <w:r w:rsidR="00323CA5" w:rsidRPr="009D0EAE">
        <w:rPr>
          <w:lang w:val="en-US"/>
        </w:rPr>
        <w:t xml:space="preserve">he </w:t>
      </w:r>
      <w:r w:rsidR="00AD0116" w:rsidRPr="009D0EAE">
        <w:rPr>
          <w:lang w:val="en-US"/>
        </w:rPr>
        <w:t xml:space="preserve">most </w:t>
      </w:r>
      <w:r w:rsidR="008278C0" w:rsidRPr="009D0EAE">
        <w:rPr>
          <w:lang w:val="en-US"/>
        </w:rPr>
        <w:t xml:space="preserve">statistically </w:t>
      </w:r>
      <w:r w:rsidR="00AD0116" w:rsidRPr="009D0EAE">
        <w:rPr>
          <w:lang w:val="en-US"/>
        </w:rPr>
        <w:t xml:space="preserve">robust </w:t>
      </w:r>
      <w:r w:rsidR="00323CA5" w:rsidRPr="009D0EAE">
        <w:rPr>
          <w:lang w:val="en-US"/>
        </w:rPr>
        <w:t>way to estimate this would be to provide access to TPU</w:t>
      </w:r>
      <w:r w:rsidR="002A5730" w:rsidRPr="009D0EAE">
        <w:rPr>
          <w:lang w:val="en-US"/>
        </w:rPr>
        <w:t>s</w:t>
      </w:r>
      <w:r w:rsidR="00323CA5" w:rsidRPr="009D0EAE">
        <w:rPr>
          <w:lang w:val="en-US"/>
        </w:rPr>
        <w:t xml:space="preserve"> for </w:t>
      </w:r>
      <w:r w:rsidR="001E69D2" w:rsidRPr="009D0EAE">
        <w:rPr>
          <w:lang w:val="en-US"/>
        </w:rPr>
        <w:t xml:space="preserve">a </w:t>
      </w:r>
      <w:r w:rsidR="00323CA5" w:rsidRPr="009D0EAE">
        <w:rPr>
          <w:lang w:val="en-US"/>
        </w:rPr>
        <w:t>randomly selected group of teen</w:t>
      </w:r>
      <w:r w:rsidR="009E4BB4" w:rsidRPr="009D0EAE">
        <w:rPr>
          <w:lang w:val="en-US"/>
        </w:rPr>
        <w:t xml:space="preserve"> </w:t>
      </w:r>
      <w:r w:rsidR="00323CA5" w:rsidRPr="009D0EAE">
        <w:rPr>
          <w:lang w:val="en-US"/>
        </w:rPr>
        <w:t xml:space="preserve">mothers </w:t>
      </w:r>
      <w:r w:rsidR="001E69D2" w:rsidRPr="009D0EAE">
        <w:rPr>
          <w:lang w:val="en-US"/>
        </w:rPr>
        <w:t>(the “treated”)</w:t>
      </w:r>
      <w:r w:rsidR="00840F86" w:rsidRPr="009D0EAE">
        <w:rPr>
          <w:lang w:val="en-US"/>
        </w:rPr>
        <w:t>,</w:t>
      </w:r>
      <w:r w:rsidR="001E69D2" w:rsidRPr="009D0EAE">
        <w:rPr>
          <w:lang w:val="en-US"/>
        </w:rPr>
        <w:t xml:space="preserve"> </w:t>
      </w:r>
      <w:r w:rsidR="00323CA5" w:rsidRPr="009D0EAE">
        <w:rPr>
          <w:lang w:val="en-US"/>
        </w:rPr>
        <w:t xml:space="preserve">and </w:t>
      </w:r>
      <w:r w:rsidR="00B64D63" w:rsidRPr="009D0EAE">
        <w:rPr>
          <w:lang w:val="en-US"/>
        </w:rPr>
        <w:t>to compare their outcomes to those who did not receive any access.</w:t>
      </w:r>
      <w:r w:rsidR="008278C0" w:rsidRPr="009D0EAE">
        <w:rPr>
          <w:lang w:val="en-US"/>
        </w:rPr>
        <w:t xml:space="preserve"> </w:t>
      </w:r>
      <w:r w:rsidR="00533F18" w:rsidRPr="009D0EAE">
        <w:rPr>
          <w:lang w:val="en-US"/>
        </w:rPr>
        <w:t xml:space="preserve">Such a study design was not applied in the introduction and expansion of TPUs, and given that the consensus based on existing evidence is that the units are beneficial to the young women they serve, could not be justified on ethical grounds.  </w:t>
      </w:r>
    </w:p>
    <w:p w:rsidR="00CE48E6" w:rsidRDefault="00533F18">
      <w:pPr>
        <w:pStyle w:val="Body"/>
        <w:jc w:val="both"/>
        <w:rPr>
          <w:lang w:val="en-US"/>
        </w:rPr>
      </w:pPr>
      <w:r w:rsidRPr="009D0EAE">
        <w:rPr>
          <w:lang w:val="en-US"/>
        </w:rPr>
        <w:t xml:space="preserve">However, the manner in which TPUs have evolved does provide </w:t>
      </w:r>
      <w:r w:rsidR="00EB4992" w:rsidRPr="009D0EAE">
        <w:rPr>
          <w:lang w:val="en-US"/>
        </w:rPr>
        <w:t>opportunity for a “quasi-experimental” study design.</w:t>
      </w:r>
      <w:r w:rsidRPr="009D0EAE">
        <w:rPr>
          <w:lang w:val="en-US"/>
        </w:rPr>
        <w:t xml:space="preserve"> </w:t>
      </w:r>
      <w:r w:rsidR="009A1012" w:rsidRPr="009D0EAE">
        <w:rPr>
          <w:lang w:val="en-US"/>
        </w:rPr>
        <w:t>T</w:t>
      </w:r>
      <w:r w:rsidR="003551CD" w:rsidRPr="009D0EAE">
        <w:rPr>
          <w:lang w:val="en-US"/>
        </w:rPr>
        <w:t xml:space="preserve">PU coverage across the country </w:t>
      </w:r>
      <w:r w:rsidR="001D0EC7" w:rsidRPr="009D0EAE">
        <w:rPr>
          <w:lang w:val="en-US"/>
        </w:rPr>
        <w:t xml:space="preserve">is </w:t>
      </w:r>
      <w:r w:rsidR="009A1012" w:rsidRPr="009D0EAE">
        <w:rPr>
          <w:lang w:val="en-US"/>
        </w:rPr>
        <w:t xml:space="preserve">incomplete (see </w:t>
      </w:r>
      <w:r w:rsidR="003A6EE8" w:rsidRPr="009D0EAE">
        <w:rPr>
          <w:lang w:val="en-US"/>
        </w:rPr>
        <w:t xml:space="preserve">Appendix </w:t>
      </w:r>
      <w:r w:rsidR="003E4D42">
        <w:rPr>
          <w:lang w:val="en-US"/>
        </w:rPr>
        <w:t>Table</w:t>
      </w:r>
      <w:r w:rsidR="003A6EE8" w:rsidRPr="009D0EAE">
        <w:rPr>
          <w:lang w:val="en-US"/>
        </w:rPr>
        <w:t xml:space="preserve"> 1</w:t>
      </w:r>
      <w:r w:rsidR="009A1012" w:rsidRPr="009D0EAE">
        <w:rPr>
          <w:lang w:val="en-US"/>
        </w:rPr>
        <w:t>) and</w:t>
      </w:r>
      <w:r w:rsidR="009A1012" w:rsidRPr="00B12C8E">
        <w:rPr>
          <w:lang w:val="en-US"/>
        </w:rPr>
        <w:t xml:space="preserve"> young women</w:t>
      </w:r>
      <w:r w:rsidR="009A1012" w:rsidRPr="00B12C8E">
        <w:rPr>
          <w:lang w:val="fr-FR"/>
        </w:rPr>
        <w:t>’</w:t>
      </w:r>
      <w:r w:rsidR="009A1012" w:rsidRPr="00B12C8E">
        <w:rPr>
          <w:lang w:val="en-US"/>
        </w:rPr>
        <w:t>s access</w:t>
      </w:r>
      <w:r w:rsidR="00D33792" w:rsidRPr="00B12C8E">
        <w:rPr>
          <w:lang w:val="en-US"/>
        </w:rPr>
        <w:t xml:space="preserve"> depend</w:t>
      </w:r>
      <w:r w:rsidR="001D0EC7" w:rsidRPr="00B12C8E">
        <w:rPr>
          <w:lang w:val="en-US"/>
        </w:rPr>
        <w:t>s</w:t>
      </w:r>
      <w:r w:rsidR="00D33792" w:rsidRPr="00B12C8E">
        <w:rPr>
          <w:lang w:val="en-US"/>
        </w:rPr>
        <w:t xml:space="preserve"> </w:t>
      </w:r>
      <w:r w:rsidR="00F85E8C">
        <w:rPr>
          <w:lang w:val="en-US"/>
        </w:rPr>
        <w:t xml:space="preserve">largely </w:t>
      </w:r>
      <w:r w:rsidR="00D33792" w:rsidRPr="00B12C8E">
        <w:rPr>
          <w:lang w:val="en-US"/>
        </w:rPr>
        <w:t>on where they live</w:t>
      </w:r>
      <w:r w:rsidR="009A1012" w:rsidRPr="00B12C8E">
        <w:rPr>
          <w:lang w:val="en-US"/>
        </w:rPr>
        <w:t xml:space="preserve">. Some regions </w:t>
      </w:r>
      <w:r w:rsidR="00874334" w:rsidRPr="00B12C8E">
        <w:rPr>
          <w:lang w:val="en-US"/>
        </w:rPr>
        <w:t>ha</w:t>
      </w:r>
      <w:r w:rsidR="001D0EC7" w:rsidRPr="00B12C8E">
        <w:rPr>
          <w:lang w:val="en-US"/>
        </w:rPr>
        <w:t>ve</w:t>
      </w:r>
      <w:r w:rsidR="00874334" w:rsidRPr="00B12C8E">
        <w:rPr>
          <w:lang w:val="en-US"/>
        </w:rPr>
        <w:t xml:space="preserve"> </w:t>
      </w:r>
      <w:r w:rsidR="009A1012" w:rsidRPr="00B12C8E">
        <w:rPr>
          <w:lang w:val="en-US"/>
        </w:rPr>
        <w:t>no TPUs</w:t>
      </w:r>
      <w:r w:rsidR="00874334" w:rsidRPr="00B12C8E">
        <w:rPr>
          <w:lang w:val="en-US"/>
        </w:rPr>
        <w:t xml:space="preserve"> and the women in these areas provide a useful control</w:t>
      </w:r>
      <w:r w:rsidR="009A1012" w:rsidRPr="00B12C8E">
        <w:rPr>
          <w:lang w:val="en-US"/>
        </w:rPr>
        <w:t xml:space="preserve">. </w:t>
      </w:r>
      <w:r w:rsidR="002E3C70" w:rsidRPr="00B12C8E">
        <w:rPr>
          <w:lang w:val="en-US"/>
        </w:rPr>
        <w:t xml:space="preserve">Moreover, </w:t>
      </w:r>
      <w:r w:rsidR="00093A69" w:rsidRPr="00B12C8E">
        <w:rPr>
          <w:lang w:val="en-US"/>
        </w:rPr>
        <w:t xml:space="preserve">prior to becoming pregnant </w:t>
      </w:r>
      <w:r w:rsidR="002E3C70" w:rsidRPr="00B12C8E">
        <w:rPr>
          <w:lang w:val="en-US"/>
        </w:rPr>
        <w:t xml:space="preserve">some young women </w:t>
      </w:r>
      <w:r w:rsidR="00F85E8C">
        <w:rPr>
          <w:lang w:val="en-US"/>
        </w:rPr>
        <w:t>we</w:t>
      </w:r>
      <w:r w:rsidR="002E3C70" w:rsidRPr="00B12C8E">
        <w:rPr>
          <w:lang w:val="en-US"/>
        </w:rPr>
        <w:t xml:space="preserve">re enrolled </w:t>
      </w:r>
      <w:r w:rsidR="00F85E8C">
        <w:rPr>
          <w:lang w:val="en-US"/>
        </w:rPr>
        <w:t>in</w:t>
      </w:r>
      <w:r w:rsidR="002E3C70" w:rsidRPr="00B12C8E">
        <w:rPr>
          <w:lang w:val="en-US"/>
        </w:rPr>
        <w:t xml:space="preserve"> schools </w:t>
      </w:r>
      <w:r w:rsidR="00947F6D">
        <w:rPr>
          <w:lang w:val="en-US"/>
        </w:rPr>
        <w:t>that</w:t>
      </w:r>
      <w:r w:rsidR="002E3C70" w:rsidRPr="00B12C8E">
        <w:rPr>
          <w:lang w:val="en-US"/>
        </w:rPr>
        <w:t xml:space="preserve"> happen</w:t>
      </w:r>
      <w:r w:rsidR="00F85E8C">
        <w:rPr>
          <w:lang w:val="en-US"/>
        </w:rPr>
        <w:t>ed</w:t>
      </w:r>
      <w:r w:rsidR="002E3C70" w:rsidRPr="00B12C8E">
        <w:rPr>
          <w:lang w:val="en-US"/>
        </w:rPr>
        <w:t xml:space="preserve"> to </w:t>
      </w:r>
      <w:r w:rsidR="00947F6D">
        <w:rPr>
          <w:lang w:val="en-US"/>
        </w:rPr>
        <w:t xml:space="preserve">be </w:t>
      </w:r>
      <w:r w:rsidR="00F85E8C">
        <w:rPr>
          <w:lang w:val="en-US"/>
        </w:rPr>
        <w:t xml:space="preserve">TPU </w:t>
      </w:r>
      <w:r w:rsidR="00947F6D">
        <w:rPr>
          <w:lang w:val="en-US"/>
        </w:rPr>
        <w:t>governing school</w:t>
      </w:r>
      <w:r w:rsidR="00F85E8C">
        <w:rPr>
          <w:lang w:val="en-US"/>
        </w:rPr>
        <w:t>s</w:t>
      </w:r>
      <w:r w:rsidR="002E3C70" w:rsidRPr="00B12C8E">
        <w:rPr>
          <w:lang w:val="en-US"/>
        </w:rPr>
        <w:t>.</w:t>
      </w:r>
      <w:r w:rsidR="008C70DA">
        <w:rPr>
          <w:rStyle w:val="FootnoteReference"/>
          <w:lang w:val="en-US"/>
        </w:rPr>
        <w:footnoteReference w:id="15"/>
      </w:r>
      <w:r w:rsidR="002E3C70" w:rsidRPr="00B12C8E">
        <w:rPr>
          <w:lang w:val="en-US"/>
        </w:rPr>
        <w:t xml:space="preserve"> These young women </w:t>
      </w:r>
      <w:r w:rsidR="006A1735" w:rsidRPr="00B12C8E">
        <w:rPr>
          <w:lang w:val="en-US"/>
        </w:rPr>
        <w:t xml:space="preserve">have easy </w:t>
      </w:r>
      <w:r w:rsidR="009A1012" w:rsidRPr="00B12C8E">
        <w:rPr>
          <w:lang w:val="en-US"/>
        </w:rPr>
        <w:t xml:space="preserve">access to a TPU </w:t>
      </w:r>
      <w:r w:rsidR="00292424" w:rsidRPr="00B12C8E">
        <w:rPr>
          <w:lang w:val="en-US"/>
        </w:rPr>
        <w:t xml:space="preserve">since they do not have </w:t>
      </w:r>
      <w:r w:rsidR="009A1012" w:rsidRPr="00B12C8E">
        <w:rPr>
          <w:lang w:val="en-US"/>
        </w:rPr>
        <w:t>to change schools</w:t>
      </w:r>
      <w:r w:rsidR="00292424" w:rsidRPr="00B12C8E">
        <w:rPr>
          <w:lang w:val="en-US"/>
        </w:rPr>
        <w:t xml:space="preserve"> after giving birth</w:t>
      </w:r>
      <w:r w:rsidR="009A1012" w:rsidRPr="00B12C8E">
        <w:rPr>
          <w:lang w:val="en-US"/>
        </w:rPr>
        <w:t>.</w:t>
      </w:r>
      <w:r w:rsidR="00A12754" w:rsidRPr="00B12C8E">
        <w:rPr>
          <w:rStyle w:val="FootnoteReference"/>
          <w:lang w:val="en-US"/>
        </w:rPr>
        <w:footnoteReference w:id="16"/>
      </w:r>
      <w:r w:rsidR="009A1012" w:rsidRPr="00B12C8E">
        <w:rPr>
          <w:lang w:val="en-US"/>
        </w:rPr>
        <w:t xml:space="preserve">  </w:t>
      </w:r>
      <w:r w:rsidR="002871F3" w:rsidRPr="00B12C8E">
        <w:rPr>
          <w:lang w:val="en-US"/>
        </w:rPr>
        <w:t xml:space="preserve">For a third group of young women, </w:t>
      </w:r>
      <w:r w:rsidR="00521898" w:rsidRPr="00B12C8E">
        <w:rPr>
          <w:lang w:val="en-US"/>
        </w:rPr>
        <w:t xml:space="preserve">a </w:t>
      </w:r>
      <w:r w:rsidR="002871F3" w:rsidRPr="00B12C8E">
        <w:rPr>
          <w:lang w:val="en-US"/>
        </w:rPr>
        <w:t>TPU is accessible because they live</w:t>
      </w:r>
      <w:r w:rsidR="00521898" w:rsidRPr="00B12C8E">
        <w:rPr>
          <w:lang w:val="en-US"/>
        </w:rPr>
        <w:t xml:space="preserve"> within</w:t>
      </w:r>
      <w:r w:rsidR="002871F3" w:rsidRPr="00B12C8E">
        <w:rPr>
          <w:lang w:val="en-US"/>
        </w:rPr>
        <w:t xml:space="preserve"> a reasonable </w:t>
      </w:r>
      <w:r w:rsidR="00F85E8C">
        <w:rPr>
          <w:lang w:val="en-US"/>
        </w:rPr>
        <w:t xml:space="preserve">commuting </w:t>
      </w:r>
      <w:r w:rsidR="002871F3" w:rsidRPr="00B12C8E">
        <w:rPr>
          <w:lang w:val="en-US"/>
        </w:rPr>
        <w:t xml:space="preserve">distance </w:t>
      </w:r>
      <w:r w:rsidR="001D0EC7" w:rsidRPr="00B12C8E">
        <w:rPr>
          <w:lang w:val="en-US"/>
        </w:rPr>
        <w:t xml:space="preserve">of a </w:t>
      </w:r>
      <w:r w:rsidR="002871F3" w:rsidRPr="00B12C8E">
        <w:rPr>
          <w:lang w:val="en-US"/>
        </w:rPr>
        <w:t xml:space="preserve">TPU. </w:t>
      </w:r>
      <w:r w:rsidR="00915578" w:rsidRPr="00B12C8E">
        <w:rPr>
          <w:lang w:val="en-US"/>
        </w:rPr>
        <w:t xml:space="preserve">We therefore have </w:t>
      </w:r>
      <w:r w:rsidR="009A1012" w:rsidRPr="00B12C8E">
        <w:rPr>
          <w:lang w:val="en-US"/>
        </w:rPr>
        <w:t xml:space="preserve">an opportunity to exploit </w:t>
      </w:r>
      <w:r w:rsidR="00FE4487" w:rsidRPr="00B12C8E">
        <w:rPr>
          <w:lang w:val="en-US"/>
        </w:rPr>
        <w:t xml:space="preserve">whether they were enrolled in a TPU </w:t>
      </w:r>
      <w:r w:rsidR="00566F2C">
        <w:rPr>
          <w:lang w:val="en-US"/>
        </w:rPr>
        <w:t>governing</w:t>
      </w:r>
      <w:r w:rsidR="001D0EC7" w:rsidRPr="00B12C8E">
        <w:rPr>
          <w:lang w:val="en-US"/>
        </w:rPr>
        <w:t xml:space="preserve"> school </w:t>
      </w:r>
      <w:r w:rsidR="00FE4487" w:rsidRPr="00B12C8E">
        <w:rPr>
          <w:lang w:val="en-US"/>
        </w:rPr>
        <w:t xml:space="preserve">prior to pregnancy and </w:t>
      </w:r>
      <w:r w:rsidR="009A1012" w:rsidRPr="00B12C8E">
        <w:rPr>
          <w:lang w:val="en-US"/>
        </w:rPr>
        <w:t xml:space="preserve">distance to a TPU as </w:t>
      </w:r>
      <w:r w:rsidR="00AD5CB1">
        <w:rPr>
          <w:lang w:val="en-US"/>
        </w:rPr>
        <w:t>prox</w:t>
      </w:r>
      <w:r w:rsidR="00433745">
        <w:rPr>
          <w:lang w:val="en-US"/>
        </w:rPr>
        <w:t>ies</w:t>
      </w:r>
      <w:r w:rsidR="00AD5CB1" w:rsidRPr="00B12C8E">
        <w:rPr>
          <w:lang w:val="en-US"/>
        </w:rPr>
        <w:t xml:space="preserve"> </w:t>
      </w:r>
      <w:r w:rsidR="004569CE" w:rsidRPr="00B12C8E">
        <w:rPr>
          <w:lang w:val="en-US"/>
        </w:rPr>
        <w:t xml:space="preserve">for </w:t>
      </w:r>
      <w:r w:rsidR="009A1012" w:rsidRPr="00B12C8E">
        <w:rPr>
          <w:lang w:val="en-US"/>
        </w:rPr>
        <w:t xml:space="preserve">access. </w:t>
      </w:r>
    </w:p>
    <w:p w:rsidR="0051468F" w:rsidRPr="00357667" w:rsidRDefault="0051468F" w:rsidP="0051468F">
      <w:pPr>
        <w:pStyle w:val="Heading2"/>
        <w:spacing w:before="300"/>
        <w:ind w:left="578" w:hanging="578"/>
        <w:rPr>
          <w:sz w:val="24"/>
          <w:szCs w:val="24"/>
        </w:rPr>
      </w:pPr>
      <w:bookmarkStart w:id="26" w:name="_Toc473803311"/>
      <w:r>
        <w:rPr>
          <w:sz w:val="24"/>
          <w:szCs w:val="24"/>
        </w:rPr>
        <w:t>Estimation Strategy</w:t>
      </w:r>
      <w:bookmarkEnd w:id="26"/>
    </w:p>
    <w:p w:rsidR="00A0060B" w:rsidRPr="00B12C8E" w:rsidRDefault="00A0060B">
      <w:pPr>
        <w:pStyle w:val="Body"/>
      </w:pPr>
      <w:r w:rsidRPr="00B12C8E">
        <w:t xml:space="preserve">We estimate the following model: </w:t>
      </w:r>
    </w:p>
    <w:p w:rsidR="00A0060B" w:rsidRPr="00B12C8E" w:rsidRDefault="00EF0554">
      <w:pPr>
        <w:pStyle w:val="Body"/>
      </w:pPr>
      <w:bookmarkStart w:id="27" w:name="_Ref442692509"/>
      <w:r w:rsidRPr="00B12C8E">
        <w:t>(</w:t>
      </w:r>
      <w:bookmarkEnd w:id="27"/>
      <w:r w:rsidR="00771D0B">
        <w:t>2</w:t>
      </w:r>
      <w:r w:rsidRPr="00B12C8E">
        <w:t>)</w:t>
      </w:r>
      <w:r w:rsidRPr="00B12C8E">
        <w:tab/>
      </w:r>
      <w:r w:rsidR="00771D0B">
        <w:t xml:space="preserve">                </w:t>
      </w:r>
      <m:oMath>
        <m:func>
          <m:funcPr>
            <m:ctrlPr>
              <w:rPr>
                <w:rFonts w:ascii="Cambria Math" w:hAnsi="Cambria Math"/>
                <w:i/>
              </w:rPr>
            </m:ctrlPr>
          </m:funcPr>
          <m:fName>
            <m:r>
              <w:rPr>
                <w:rFonts w:ascii="Cambria Math" w:hAnsi="Cambria Math"/>
              </w:rPr>
              <m:t>Pr</m:t>
            </m:r>
          </m:fName>
          <m:e>
            <m:d>
              <m:dPr>
                <m:ctrlPr>
                  <w:rPr>
                    <w:rFonts w:ascii="Cambria Math" w:hAnsi="Cambria Math"/>
                    <w:i/>
                  </w:rPr>
                </m:ctrlPr>
              </m:dPr>
              <m:e>
                <m:r>
                  <w:rPr>
                    <w:rFonts w:ascii="Cambria Math" w:hAnsi="Cambria Math"/>
                  </w:rPr>
                  <m:t>Y=1</m:t>
                </m:r>
              </m:e>
            </m:d>
          </m:e>
        </m:func>
        <m:r>
          <m:rPr>
            <m:sty m:val="p"/>
          </m:rPr>
          <w:rPr>
            <w:rFonts w:ascii="Cambria Math" w:hAnsi="Cambria Math"/>
          </w:rPr>
          <m:t>=Φ</m:t>
        </m:r>
        <m:d>
          <m:dPr>
            <m:ctrlPr>
              <w:rPr>
                <w:rFonts w:ascii="Cambria Math" w:hAnsi="Cambria Math"/>
                <w:iCs/>
                <w:lang w:val="en-NZ"/>
              </w:rPr>
            </m:ctrlPr>
          </m:dPr>
          <m:e>
            <m:sSub>
              <m:sSubPr>
                <m:ctrlPr>
                  <w:rPr>
                    <w:rFonts w:ascii="Cambria Math" w:hAnsi="Cambria Math"/>
                    <w:iCs/>
                    <w:lang w:val="en-NZ"/>
                  </w:rPr>
                </m:ctrlPr>
              </m:sSubPr>
              <m:e>
                <m:r>
                  <w:rPr>
                    <w:rFonts w:ascii="Cambria Math" w:hAnsi="Cambria Math"/>
                  </w:rPr>
                  <m:t>β</m:t>
                </m:r>
              </m:e>
              <m:sub>
                <m:r>
                  <m:rPr>
                    <m:sty m:val="p"/>
                  </m:rPr>
                  <w:rPr>
                    <w:rFonts w:ascii="Cambria Math" w:hAnsi="Cambria Math"/>
                  </w:rPr>
                  <m:t>0</m:t>
                </m:r>
              </m:sub>
            </m:sSub>
            <m:r>
              <m:rPr>
                <m:sty m:val="p"/>
              </m:rPr>
              <w:rPr>
                <w:rFonts w:ascii="Cambria Math" w:hAnsi="Cambria Math"/>
              </w:rPr>
              <m:t>+</m:t>
            </m:r>
            <m:sSub>
              <m:sSubPr>
                <m:ctrlPr>
                  <w:rPr>
                    <w:rFonts w:ascii="Cambria Math" w:hAnsi="Cambria Math"/>
                    <w:iCs/>
                    <w:lang w:val="en-NZ"/>
                  </w:rPr>
                </m:ctrlPr>
              </m:sSubPr>
              <m:e>
                <m:r>
                  <w:rPr>
                    <w:rFonts w:ascii="Cambria Math" w:hAnsi="Cambria Math"/>
                  </w:rPr>
                  <m:t>β</m:t>
                </m:r>
              </m:e>
              <m:sub>
                <m:r>
                  <m:rPr>
                    <m:sty m:val="p"/>
                  </m:rPr>
                  <w:rPr>
                    <w:rFonts w:ascii="Cambria Math" w:hAnsi="Cambria Math"/>
                  </w:rPr>
                  <m:t>1</m:t>
                </m:r>
              </m:sub>
            </m:sSub>
            <m:r>
              <w:rPr>
                <w:rFonts w:ascii="Cambria Math" w:hAnsi="Cambria Math"/>
              </w:rPr>
              <m:t>X</m:t>
            </m:r>
            <m:r>
              <m:rPr>
                <m:sty m:val="p"/>
              </m:rPr>
              <w:rPr>
                <w:rFonts w:ascii="Cambria Math" w:hAnsi="Cambria Math"/>
              </w:rPr>
              <m:t>+</m:t>
            </m:r>
            <m:sSub>
              <m:sSubPr>
                <m:ctrlPr>
                  <w:rPr>
                    <w:rFonts w:ascii="Cambria Math" w:hAnsi="Cambria Math"/>
                    <w:iCs/>
                    <w:lang w:val="en-NZ"/>
                  </w:rPr>
                </m:ctrlPr>
              </m:sSubPr>
              <m:e>
                <m:r>
                  <w:rPr>
                    <w:rFonts w:ascii="Cambria Math" w:hAnsi="Cambria Math"/>
                  </w:rPr>
                  <m:t>β</m:t>
                </m:r>
              </m:e>
              <m:sub>
                <m:r>
                  <m:rPr>
                    <m:sty m:val="p"/>
                  </m:rPr>
                  <w:rPr>
                    <w:rFonts w:ascii="Cambria Math" w:hAnsi="Cambria Math"/>
                  </w:rPr>
                  <m:t>2</m:t>
                </m:r>
              </m:sub>
            </m:sSub>
            <m:r>
              <w:rPr>
                <w:rFonts w:ascii="Cambria Math" w:hAnsi="Cambria Math"/>
              </w:rPr>
              <m:t>TP</m:t>
            </m:r>
            <m:sSub>
              <m:sSubPr>
                <m:ctrlPr>
                  <w:rPr>
                    <w:rFonts w:ascii="Cambria Math" w:hAnsi="Cambria Math"/>
                  </w:rPr>
                </m:ctrlPr>
              </m:sSubPr>
              <m:e>
                <m:r>
                  <w:rPr>
                    <w:rFonts w:ascii="Cambria Math" w:hAnsi="Cambria Math"/>
                  </w:rPr>
                  <m:t>U</m:t>
                </m:r>
              </m:e>
              <m:sub>
                <m:r>
                  <m:rPr>
                    <m:sty m:val="p"/>
                  </m:rPr>
                  <w:rPr>
                    <w:rFonts w:ascii="Cambria Math" w:hAnsi="Cambria Math"/>
                  </w:rPr>
                  <m:t>20</m:t>
                </m:r>
                <m:r>
                  <w:rPr>
                    <w:rFonts w:ascii="Cambria Math" w:hAnsi="Cambria Math"/>
                  </w:rPr>
                  <m:t>KM</m:t>
                </m:r>
              </m:sub>
            </m:sSub>
            <m:r>
              <m:rPr>
                <m:sty m:val="p"/>
              </m:rPr>
              <w:rPr>
                <w:rFonts w:ascii="Cambria Math" w:hAnsi="Cambria Math"/>
              </w:rPr>
              <m:t>+</m:t>
            </m:r>
            <m:sSub>
              <m:sSubPr>
                <m:ctrlPr>
                  <w:rPr>
                    <w:rFonts w:ascii="Cambria Math" w:hAnsi="Cambria Math"/>
                    <w:iCs/>
                    <w:lang w:val="en-NZ"/>
                  </w:rPr>
                </m:ctrlPr>
              </m:sSubPr>
              <m:e>
                <m:r>
                  <w:rPr>
                    <w:rFonts w:ascii="Cambria Math" w:hAnsi="Cambria Math"/>
                  </w:rPr>
                  <m:t>β</m:t>
                </m:r>
              </m:e>
              <m:sub>
                <m:r>
                  <m:rPr>
                    <m:sty m:val="p"/>
                  </m:rPr>
                  <w:rPr>
                    <w:rFonts w:ascii="Cambria Math" w:hAnsi="Cambria Math"/>
                    <w:lang w:val="en-NZ"/>
                  </w:rPr>
                  <m:t>3</m:t>
                </m:r>
              </m:sub>
            </m:sSub>
            <m:r>
              <w:rPr>
                <w:rFonts w:ascii="Cambria Math" w:hAnsi="Cambria Math"/>
              </w:rPr>
              <m:t>TP</m:t>
            </m:r>
            <m:sSub>
              <m:sSubPr>
                <m:ctrlPr>
                  <w:rPr>
                    <w:rFonts w:ascii="Cambria Math" w:hAnsi="Cambria Math"/>
                  </w:rPr>
                </m:ctrlPr>
              </m:sSubPr>
              <m:e>
                <m:r>
                  <w:rPr>
                    <w:rFonts w:ascii="Cambria Math" w:hAnsi="Cambria Math"/>
                  </w:rPr>
                  <m:t>U</m:t>
                </m:r>
              </m:e>
              <m:sub>
                <m:r>
                  <w:rPr>
                    <w:rFonts w:ascii="Cambria Math" w:hAnsi="Cambria Math"/>
                  </w:rPr>
                  <m:t>Pre</m:t>
                </m:r>
                <m:r>
                  <m:rPr>
                    <m:sty m:val="p"/>
                  </m:rPr>
                  <w:rPr>
                    <w:rFonts w:ascii="Cambria Math" w:hAnsi="Cambria Math"/>
                  </w:rPr>
                  <m:t>-</m:t>
                </m:r>
                <m:r>
                  <w:rPr>
                    <w:rFonts w:ascii="Cambria Math" w:hAnsi="Cambria Math"/>
                  </w:rPr>
                  <m:t>Birth</m:t>
                </m:r>
              </m:sub>
            </m:sSub>
          </m:e>
        </m:d>
      </m:oMath>
    </w:p>
    <w:p w:rsidR="00DB1969" w:rsidRPr="00B12C8E" w:rsidRDefault="0026137A">
      <w:pPr>
        <w:pStyle w:val="Body"/>
        <w:jc w:val="both"/>
        <w:rPr>
          <w:lang w:val="en-US"/>
        </w:rPr>
      </w:pPr>
      <w:r>
        <w:rPr>
          <w:lang w:val="en-US"/>
        </w:rPr>
        <w:t>w</w:t>
      </w:r>
      <w:r w:rsidR="005B4B4E" w:rsidRPr="00B12C8E">
        <w:rPr>
          <w:lang w:val="en-US"/>
        </w:rPr>
        <w:t xml:space="preserve">here </w:t>
      </w:r>
      <m:oMath>
        <m:r>
          <w:rPr>
            <w:rFonts w:ascii="Cambria Math" w:hAnsi="Cambria Math"/>
          </w:rPr>
          <m:t>TP</m:t>
        </m:r>
        <m:sSub>
          <m:sSubPr>
            <m:ctrlPr>
              <w:rPr>
                <w:rFonts w:ascii="Cambria Math" w:hAnsi="Cambria Math"/>
                <w:i/>
              </w:rPr>
            </m:ctrlPr>
          </m:sSubPr>
          <m:e>
            <m:r>
              <w:rPr>
                <w:rFonts w:ascii="Cambria Math" w:hAnsi="Cambria Math"/>
              </w:rPr>
              <m:t>U</m:t>
            </m:r>
          </m:e>
          <m:sub>
            <m:r>
              <w:rPr>
                <w:rFonts w:ascii="Cambria Math" w:hAnsi="Cambria Math"/>
              </w:rPr>
              <m:t>20KM</m:t>
            </m:r>
          </m:sub>
        </m:sSub>
      </m:oMath>
      <w:r w:rsidR="00771D0B">
        <w:t xml:space="preserve"> </w:t>
      </w:r>
      <w:r w:rsidR="005B4B4E" w:rsidRPr="00B12C8E">
        <w:t>=</w:t>
      </w:r>
      <w:r w:rsidR="00771D0B">
        <w:t xml:space="preserve"> </w:t>
      </w:r>
      <w:r w:rsidR="005B4B4E" w:rsidRPr="00B12C8E">
        <w:t xml:space="preserve">1 if </w:t>
      </w:r>
      <w:r w:rsidR="003E03DF" w:rsidRPr="00B12C8E">
        <w:t xml:space="preserve">the young </w:t>
      </w:r>
      <w:r w:rsidR="009E4BB4" w:rsidRPr="00B12C8E">
        <w:t xml:space="preserve">mother </w:t>
      </w:r>
      <w:r w:rsidR="009B12A3">
        <w:t>was enrolled in a school</w:t>
      </w:r>
      <w:r w:rsidR="009B12A3" w:rsidRPr="00B12C8E">
        <w:t xml:space="preserve"> </w:t>
      </w:r>
      <w:r w:rsidR="003E03DF" w:rsidRPr="00B12C8E">
        <w:t xml:space="preserve">close to a TPU </w:t>
      </w:r>
      <w:r w:rsidR="00771D0B">
        <w:t xml:space="preserve">at or </w:t>
      </w:r>
      <w:r w:rsidR="00B11FE1">
        <w:t>prior to</w:t>
      </w:r>
      <w:r w:rsidR="00566F2C">
        <w:t xml:space="preserve"> conception</w:t>
      </w:r>
      <w:r w:rsidR="009B12A3">
        <w:t xml:space="preserve"> </w:t>
      </w:r>
      <w:r w:rsidR="002E51EC">
        <w:t>(defined as being</w:t>
      </w:r>
      <w:r w:rsidR="00B96616">
        <w:t xml:space="preserve"> within 20 km of a TPU</w:t>
      </w:r>
      <w:r w:rsidR="00584FD4">
        <w:rPr>
          <w:rStyle w:val="FootnoteReference"/>
        </w:rPr>
        <w:footnoteReference w:id="17"/>
      </w:r>
      <w:r w:rsidR="002E51EC">
        <w:t>)</w:t>
      </w:r>
      <w:r w:rsidR="00AD5CB1">
        <w:t>,</w:t>
      </w:r>
      <w:r w:rsidR="009368C4">
        <w:t xml:space="preserve"> </w:t>
      </w:r>
      <w:r w:rsidR="00673FB8">
        <w:t xml:space="preserve">and </w:t>
      </w:r>
      <w:r w:rsidR="003E03DF" w:rsidRPr="00B12C8E">
        <w:t>zero otherwise;</w:t>
      </w:r>
      <w:r w:rsidR="00CB598F">
        <w:t xml:space="preserve"> and </w:t>
      </w:r>
      <w:r w:rsidR="003E03DF" w:rsidRPr="00B12C8E">
        <w:t xml:space="preserve"> </w:t>
      </w:r>
      <m:oMath>
        <m:r>
          <w:rPr>
            <w:rFonts w:ascii="Cambria Math" w:hAnsi="Cambria Math"/>
          </w:rPr>
          <m:t>TP</m:t>
        </m:r>
        <m:sSub>
          <m:sSubPr>
            <m:ctrlPr>
              <w:rPr>
                <w:rFonts w:ascii="Cambria Math" w:hAnsi="Cambria Math"/>
                <w:i/>
              </w:rPr>
            </m:ctrlPr>
          </m:sSubPr>
          <m:e>
            <m:r>
              <w:rPr>
                <w:rFonts w:ascii="Cambria Math" w:hAnsi="Cambria Math"/>
              </w:rPr>
              <m:t>U</m:t>
            </m:r>
          </m:e>
          <m:sub>
            <m:r>
              <w:rPr>
                <w:rFonts w:ascii="Cambria Math" w:hAnsi="Cambria Math"/>
              </w:rPr>
              <m:t>Pre-Birth</m:t>
            </m:r>
          </m:sub>
        </m:sSub>
        <m:r>
          <w:rPr>
            <w:rFonts w:ascii="Cambria Math" w:hAnsi="Cambria Math"/>
          </w:rPr>
          <m:t xml:space="preserve"> </m:t>
        </m:r>
      </m:oMath>
      <w:r w:rsidR="003E03DF" w:rsidRPr="00B12C8E">
        <w:t>=</w:t>
      </w:r>
      <w:r w:rsidR="00771D0B">
        <w:t xml:space="preserve"> </w:t>
      </w:r>
      <w:r w:rsidR="003E03DF" w:rsidRPr="00B12C8E">
        <w:t xml:space="preserve">1 if the young </w:t>
      </w:r>
      <w:r w:rsidR="009E4BB4" w:rsidRPr="00B12C8E">
        <w:t xml:space="preserve">mother </w:t>
      </w:r>
      <w:r w:rsidR="003E03DF" w:rsidRPr="00B12C8E">
        <w:t xml:space="preserve">was enrolled in a TPU </w:t>
      </w:r>
      <w:r w:rsidR="00566F2C">
        <w:t>governing</w:t>
      </w:r>
      <w:r w:rsidR="003E03DF" w:rsidRPr="00B12C8E">
        <w:t xml:space="preserve"> school </w:t>
      </w:r>
      <w:r w:rsidR="00B11FE1">
        <w:t>at conception</w:t>
      </w:r>
      <w:r w:rsidR="00AD5CB1">
        <w:t>,</w:t>
      </w:r>
      <w:r w:rsidR="009368C4">
        <w:t xml:space="preserve"> </w:t>
      </w:r>
      <w:r w:rsidR="00673FB8">
        <w:t xml:space="preserve">and </w:t>
      </w:r>
      <w:r w:rsidR="0023015A">
        <w:t>zero otherwise</w:t>
      </w:r>
      <w:r w:rsidR="003E03DF" w:rsidRPr="00B12C8E">
        <w:t xml:space="preserve">. </w:t>
      </w:r>
      <w:r w:rsidR="008D7D6C">
        <w:t xml:space="preserve">The dependant variable </w:t>
      </w:r>
      <w:r w:rsidR="00636814" w:rsidRPr="00B12C8E">
        <w:rPr>
          <w:i/>
        </w:rPr>
        <w:t xml:space="preserve">Y </w:t>
      </w:r>
      <w:r w:rsidR="00636814" w:rsidRPr="00B12C8E">
        <w:t>captures</w:t>
      </w:r>
      <w:r w:rsidR="008D7D6C" w:rsidRPr="00B12C8E">
        <w:t xml:space="preserve"> </w:t>
      </w:r>
      <w:r w:rsidR="003E03DF" w:rsidRPr="00B12C8E">
        <w:t>the outcomes of interest</w:t>
      </w:r>
      <w:r w:rsidR="00CA7D8E">
        <w:t>,</w:t>
      </w:r>
      <w:r w:rsidR="003E03DF" w:rsidRPr="00B12C8E">
        <w:t xml:space="preserve"> which include</w:t>
      </w:r>
      <w:r w:rsidR="00840F86">
        <w:t>;</w:t>
      </w:r>
      <w:r w:rsidR="003E03DF" w:rsidRPr="00B12C8E">
        <w:t xml:space="preserve"> enrolment in any school after birth</w:t>
      </w:r>
      <w:r w:rsidR="009B12A3">
        <w:t xml:space="preserve"> and achievement of</w:t>
      </w:r>
      <w:r w:rsidR="0001014D">
        <w:t xml:space="preserve"> </w:t>
      </w:r>
      <w:r w:rsidR="003E03DF" w:rsidRPr="00B12C8E">
        <w:t xml:space="preserve">NCEA </w:t>
      </w:r>
      <w:r w:rsidR="00770867" w:rsidRPr="00B12C8E">
        <w:t xml:space="preserve">Level </w:t>
      </w:r>
      <w:r w:rsidR="003E03DF" w:rsidRPr="00B12C8E">
        <w:t xml:space="preserve">1 </w:t>
      </w:r>
      <w:r w:rsidR="009E4BB4" w:rsidRPr="00B12C8E">
        <w:t>and</w:t>
      </w:r>
      <w:r w:rsidR="003E03DF" w:rsidRPr="00B12C8E">
        <w:t xml:space="preserve"> 2 after </w:t>
      </w:r>
      <w:r w:rsidR="00BC052B">
        <w:t xml:space="preserve">the year of the </w:t>
      </w:r>
      <w:r w:rsidR="003E03DF" w:rsidRPr="00B12C8E">
        <w:t>birth</w:t>
      </w:r>
      <w:r w:rsidR="00770867" w:rsidRPr="00B12C8E">
        <w:t xml:space="preserve"> and b</w:t>
      </w:r>
      <w:r w:rsidR="00BC052B">
        <w:t>efore</w:t>
      </w:r>
      <w:r w:rsidR="00770867" w:rsidRPr="00B12C8E">
        <w:t xml:space="preserve"> the end of the year in which the young woman turned 19</w:t>
      </w:r>
      <w:r w:rsidR="003E03DF" w:rsidRPr="00B12C8E">
        <w:t>.</w:t>
      </w:r>
      <w:r w:rsidR="00DB1969" w:rsidRPr="00B12C8E">
        <w:t xml:space="preserve"> </w:t>
      </w:r>
      <w:r w:rsidR="00CE48E6" w:rsidRPr="00B12C8E">
        <w:rPr>
          <w:lang w:val="en-US"/>
        </w:rPr>
        <w:t xml:space="preserve">Our evaluation approach </w:t>
      </w:r>
      <w:r w:rsidR="00DB1969" w:rsidRPr="00B12C8E">
        <w:rPr>
          <w:lang w:val="en-US"/>
        </w:rPr>
        <w:t xml:space="preserve">tests whether </w:t>
      </w:r>
      <m:oMath>
        <m:sSub>
          <m:sSubPr>
            <m:ctrlPr>
              <w:rPr>
                <w:rFonts w:ascii="Cambria Math" w:hAnsi="Cambria Math"/>
                <w:iCs/>
                <w:lang w:val="en-NZ"/>
              </w:rPr>
            </m:ctrlPr>
          </m:sSubPr>
          <m:e>
            <m:r>
              <w:rPr>
                <w:rFonts w:ascii="Cambria Math" w:hAnsi="Cambria Math"/>
              </w:rPr>
              <m:t>β</m:t>
            </m:r>
          </m:e>
          <m:sub>
            <m:r>
              <m:rPr>
                <m:sty m:val="p"/>
              </m:rPr>
              <w:rPr>
                <w:rFonts w:ascii="Cambria Math" w:hAnsi="Cambria Math"/>
              </w:rPr>
              <m:t>2</m:t>
            </m:r>
          </m:sub>
        </m:sSub>
        <m:r>
          <w:rPr>
            <w:rFonts w:ascii="Cambria Math" w:hAnsi="Cambria Math"/>
            <w:lang w:val="en-NZ"/>
          </w:rPr>
          <m:t xml:space="preserve"> </m:t>
        </m:r>
      </m:oMath>
      <w:r w:rsidR="00DB1969" w:rsidRPr="00B12C8E">
        <w:rPr>
          <w:lang w:val="en-US"/>
        </w:rPr>
        <w:t>or</w:t>
      </w:r>
      <w:r w:rsidR="00DB1969" w:rsidRPr="00B12C8E">
        <w:rPr>
          <w:rFonts w:cs="Times New Roman"/>
          <w:lang w:val="en-US"/>
        </w:rPr>
        <w:t xml:space="preserve"> </w:t>
      </w:r>
      <m:oMath>
        <m:sSub>
          <m:sSubPr>
            <m:ctrlPr>
              <w:rPr>
                <w:rFonts w:ascii="Cambria Math" w:hAnsi="Cambria Math"/>
                <w:iCs/>
                <w:lang w:val="en-NZ"/>
              </w:rPr>
            </m:ctrlPr>
          </m:sSubPr>
          <m:e>
            <m:r>
              <w:rPr>
                <w:rFonts w:ascii="Cambria Math" w:hAnsi="Cambria Math"/>
              </w:rPr>
              <m:t>β</m:t>
            </m:r>
          </m:e>
          <m:sub>
            <m:r>
              <m:rPr>
                <m:sty m:val="p"/>
              </m:rPr>
              <w:rPr>
                <w:rFonts w:ascii="Cambria Math" w:hAnsi="Cambria Math"/>
                <w:lang w:val="en-NZ"/>
              </w:rPr>
              <m:t>3</m:t>
            </m:r>
          </m:sub>
        </m:sSub>
        <m:r>
          <w:rPr>
            <w:rFonts w:ascii="Cambria Math" w:hAnsi="Cambria Math"/>
            <w:lang w:val="en-NZ"/>
          </w:rPr>
          <m:t xml:space="preserve"> </m:t>
        </m:r>
      </m:oMath>
      <w:r w:rsidR="0037014F">
        <w:rPr>
          <w:lang w:val="en-US"/>
        </w:rPr>
        <w:t>are</w:t>
      </w:r>
      <w:r w:rsidR="00DB1969" w:rsidRPr="00B12C8E">
        <w:rPr>
          <w:lang w:val="en-US"/>
        </w:rPr>
        <w:t xml:space="preserve"> </w:t>
      </w:r>
      <w:r w:rsidR="0037014F">
        <w:rPr>
          <w:lang w:val="en-US"/>
        </w:rPr>
        <w:t xml:space="preserve">individually and jointly </w:t>
      </w:r>
      <w:r w:rsidR="00DB1969" w:rsidRPr="00B12C8E">
        <w:rPr>
          <w:lang w:val="en-US"/>
        </w:rPr>
        <w:t xml:space="preserve">significantly different from zero. </w:t>
      </w:r>
    </w:p>
    <w:p w:rsidR="00032859" w:rsidRPr="00B12C8E" w:rsidRDefault="00DB1969">
      <w:pPr>
        <w:pStyle w:val="Body"/>
        <w:jc w:val="both"/>
        <w:rPr>
          <w:lang w:val="en-US"/>
        </w:rPr>
      </w:pPr>
      <w:r w:rsidRPr="00B12C8E">
        <w:rPr>
          <w:lang w:val="en-US"/>
        </w:rPr>
        <w:t xml:space="preserve">This approach only </w:t>
      </w:r>
      <w:r w:rsidR="00CE48E6" w:rsidRPr="00B12C8E">
        <w:rPr>
          <w:lang w:val="en-US"/>
        </w:rPr>
        <w:t>yield</w:t>
      </w:r>
      <w:r w:rsidR="00521898" w:rsidRPr="00B12C8E">
        <w:rPr>
          <w:lang w:val="en-US"/>
        </w:rPr>
        <w:t>s</w:t>
      </w:r>
      <w:r w:rsidR="00CE48E6" w:rsidRPr="00B12C8E">
        <w:rPr>
          <w:lang w:val="en-US"/>
        </w:rPr>
        <w:t xml:space="preserve"> unbiased estimates if distance to a TPU </w:t>
      </w:r>
      <w:r w:rsidR="00C64AAE" w:rsidRPr="00B12C8E">
        <w:rPr>
          <w:lang w:val="en-US"/>
        </w:rPr>
        <w:t xml:space="preserve">is </w:t>
      </w:r>
      <w:r w:rsidR="00CE48E6" w:rsidRPr="00B12C8E">
        <w:rPr>
          <w:lang w:val="en-US"/>
        </w:rPr>
        <w:t>conditionally independent of outcomes</w:t>
      </w:r>
      <w:r w:rsidR="00C64AAE" w:rsidRPr="00B12C8E">
        <w:rPr>
          <w:lang w:val="en-US"/>
        </w:rPr>
        <w:t xml:space="preserve"> for young women who give birth</w:t>
      </w:r>
      <w:r w:rsidR="00CE48E6" w:rsidRPr="00B12C8E">
        <w:rPr>
          <w:lang w:val="en-US"/>
        </w:rPr>
        <w:t xml:space="preserve">. Note that the requirement is a conditional independence </w:t>
      </w:r>
      <w:r w:rsidR="00673FB8">
        <w:rPr>
          <w:lang w:val="en-US"/>
        </w:rPr>
        <w:t>—</w:t>
      </w:r>
      <w:r w:rsidR="00673FB8" w:rsidRPr="00B12C8E">
        <w:rPr>
          <w:lang w:val="en-US"/>
        </w:rPr>
        <w:t xml:space="preserve"> </w:t>
      </w:r>
      <w:r w:rsidR="00521898" w:rsidRPr="00B12C8E">
        <w:rPr>
          <w:lang w:val="en-US"/>
        </w:rPr>
        <w:t xml:space="preserve">this </w:t>
      </w:r>
      <w:r w:rsidR="00C64AAE" w:rsidRPr="00B12C8E">
        <w:rPr>
          <w:lang w:val="en-US"/>
        </w:rPr>
        <w:t>includes</w:t>
      </w:r>
      <w:r w:rsidR="00F44BED" w:rsidRPr="00B12C8E">
        <w:rPr>
          <w:lang w:val="en-US"/>
        </w:rPr>
        <w:t xml:space="preserve"> being</w:t>
      </w:r>
      <w:r w:rsidR="00C64AAE" w:rsidRPr="00B12C8E">
        <w:rPr>
          <w:lang w:val="en-US"/>
        </w:rPr>
        <w:t xml:space="preserve"> </w:t>
      </w:r>
      <w:r w:rsidR="00CE48E6" w:rsidRPr="00B12C8E">
        <w:rPr>
          <w:i/>
          <w:lang w:val="en-US"/>
        </w:rPr>
        <w:t>conditiona</w:t>
      </w:r>
      <w:r w:rsidR="00AF44A3" w:rsidRPr="00B12C8E">
        <w:rPr>
          <w:i/>
          <w:lang w:val="en-US"/>
        </w:rPr>
        <w:t>l on a young woman giving birth</w:t>
      </w:r>
      <w:r w:rsidR="00AF44A3" w:rsidRPr="00B12C8E">
        <w:rPr>
          <w:lang w:val="en-US"/>
        </w:rPr>
        <w:t>. If the presence of a TPU differentially selects young women into birth</w:t>
      </w:r>
      <w:r w:rsidR="00521898" w:rsidRPr="00B12C8E">
        <w:rPr>
          <w:lang w:val="en-US"/>
        </w:rPr>
        <w:t>,</w:t>
      </w:r>
      <w:r w:rsidR="00AF44A3" w:rsidRPr="00B12C8E">
        <w:rPr>
          <w:lang w:val="en-US"/>
        </w:rPr>
        <w:t xml:space="preserve"> then our strategy might yield biased estimates if there exist unobserved characteristics that influence</w:t>
      </w:r>
      <w:r w:rsidR="0071578F" w:rsidRPr="00B12C8E">
        <w:rPr>
          <w:lang w:val="en-US"/>
        </w:rPr>
        <w:t xml:space="preserve"> selection and </w:t>
      </w:r>
      <w:r w:rsidR="00771D0B">
        <w:rPr>
          <w:lang w:val="en-US"/>
        </w:rPr>
        <w:t>the outcome of interest</w:t>
      </w:r>
      <w:r w:rsidR="0071578F" w:rsidRPr="00B12C8E">
        <w:rPr>
          <w:lang w:val="en-US"/>
        </w:rPr>
        <w:t xml:space="preserve">. For example, if the presence of </w:t>
      </w:r>
      <w:r w:rsidR="00521898" w:rsidRPr="00B12C8E">
        <w:rPr>
          <w:lang w:val="en-US"/>
        </w:rPr>
        <w:t xml:space="preserve">a </w:t>
      </w:r>
      <w:r w:rsidR="0071578F" w:rsidRPr="00B12C8E">
        <w:rPr>
          <w:lang w:val="en-US"/>
        </w:rPr>
        <w:t xml:space="preserve">TPU </w:t>
      </w:r>
      <w:r w:rsidR="00521898" w:rsidRPr="00B12C8E">
        <w:rPr>
          <w:lang w:val="en-US"/>
        </w:rPr>
        <w:t>encourages</w:t>
      </w:r>
      <w:r w:rsidR="0071578F" w:rsidRPr="00B12C8E">
        <w:rPr>
          <w:lang w:val="en-US"/>
        </w:rPr>
        <w:t xml:space="preserve"> more motivated young women</w:t>
      </w:r>
      <w:r w:rsidR="00840F86">
        <w:rPr>
          <w:lang w:val="en-US"/>
        </w:rPr>
        <w:t xml:space="preserve"> to </w:t>
      </w:r>
      <w:r w:rsidR="00673FB8">
        <w:rPr>
          <w:lang w:val="en-US"/>
        </w:rPr>
        <w:t>continue their pregnancy to term</w:t>
      </w:r>
      <w:r w:rsidR="0071578F" w:rsidRPr="00B12C8E">
        <w:rPr>
          <w:lang w:val="en-US"/>
        </w:rPr>
        <w:t xml:space="preserve"> then the estimated effect of the TPU on schooling would be biased </w:t>
      </w:r>
      <w:r w:rsidR="0071578F" w:rsidRPr="009D0EAE">
        <w:rPr>
          <w:lang w:val="en-US"/>
        </w:rPr>
        <w:t xml:space="preserve">upwards. </w:t>
      </w:r>
      <w:r w:rsidR="00584FD4" w:rsidRPr="009D0EAE">
        <w:rPr>
          <w:lang w:val="en-US"/>
        </w:rPr>
        <w:t xml:space="preserve">Another possible source of bias is that there may exist unobserved differences in the quality of schooling and supports for young mothers in areas that do and do not have access to TPUs. </w:t>
      </w:r>
      <w:r w:rsidR="00F84BE7" w:rsidRPr="009D0EAE">
        <w:rPr>
          <w:i/>
          <w:lang w:val="en-US"/>
        </w:rPr>
        <w:t>A</w:t>
      </w:r>
      <w:r w:rsidR="00521898" w:rsidRPr="009D0EAE">
        <w:rPr>
          <w:lang w:val="en-US"/>
        </w:rPr>
        <w:t xml:space="preserve"> </w:t>
      </w:r>
      <w:r w:rsidR="00032859" w:rsidRPr="009D0EAE">
        <w:rPr>
          <w:i/>
          <w:lang w:val="en-US"/>
        </w:rPr>
        <w:t>priori</w:t>
      </w:r>
      <w:r w:rsidR="0071578F" w:rsidRPr="009D0EAE">
        <w:rPr>
          <w:lang w:val="en-US"/>
        </w:rPr>
        <w:t xml:space="preserve"> </w:t>
      </w:r>
      <w:r w:rsidR="00186D03" w:rsidRPr="009D0EAE">
        <w:rPr>
          <w:lang w:val="en-US"/>
        </w:rPr>
        <w:t xml:space="preserve">it is </w:t>
      </w:r>
      <w:r w:rsidR="00AE523F" w:rsidRPr="009D0EAE">
        <w:rPr>
          <w:lang w:val="en-US"/>
        </w:rPr>
        <w:t>un</w:t>
      </w:r>
      <w:r w:rsidR="00032859" w:rsidRPr="009D0EAE">
        <w:rPr>
          <w:lang w:val="en-US"/>
        </w:rPr>
        <w:t xml:space="preserve">clear </w:t>
      </w:r>
      <w:r w:rsidR="00335C0F" w:rsidRPr="009D0EAE">
        <w:rPr>
          <w:lang w:val="en-US"/>
        </w:rPr>
        <w:t xml:space="preserve">what the </w:t>
      </w:r>
      <w:r w:rsidR="00584FD4" w:rsidRPr="009D0EAE">
        <w:rPr>
          <w:lang w:val="en-US"/>
        </w:rPr>
        <w:t>sign of the</w:t>
      </w:r>
      <w:r w:rsidR="00AE523F" w:rsidRPr="009D0EAE">
        <w:rPr>
          <w:lang w:val="en-US"/>
        </w:rPr>
        <w:t>s</w:t>
      </w:r>
      <w:r w:rsidR="00584FD4" w:rsidRPr="009D0EAE">
        <w:rPr>
          <w:lang w:val="en-US"/>
        </w:rPr>
        <w:t>e</w:t>
      </w:r>
      <w:r w:rsidR="00AE523F" w:rsidRPr="009D0EAE">
        <w:rPr>
          <w:lang w:val="en-US"/>
        </w:rPr>
        <w:t xml:space="preserve"> </w:t>
      </w:r>
      <w:r w:rsidR="00770867" w:rsidRPr="009D0EAE">
        <w:rPr>
          <w:lang w:val="en-US"/>
        </w:rPr>
        <w:t xml:space="preserve">potential </w:t>
      </w:r>
      <w:r w:rsidR="00032859" w:rsidRPr="009D0EAE">
        <w:rPr>
          <w:lang w:val="en-US"/>
        </w:rPr>
        <w:t>bias</w:t>
      </w:r>
      <w:r w:rsidR="00584FD4" w:rsidRPr="009D0EAE">
        <w:rPr>
          <w:lang w:val="en-US"/>
        </w:rPr>
        <w:t>es</w:t>
      </w:r>
      <w:r w:rsidR="00335C0F" w:rsidRPr="009D0EAE">
        <w:rPr>
          <w:lang w:val="en-US"/>
        </w:rPr>
        <w:t xml:space="preserve"> would be</w:t>
      </w:r>
      <w:r w:rsidR="00032859" w:rsidRPr="009D0EAE">
        <w:rPr>
          <w:lang w:val="en-US"/>
        </w:rPr>
        <w:t xml:space="preserve">. </w:t>
      </w:r>
      <w:r w:rsidR="00DB2AB3" w:rsidRPr="009D0EAE">
        <w:rPr>
          <w:lang w:val="en-US"/>
        </w:rPr>
        <w:t>In any case, w</w:t>
      </w:r>
      <w:r w:rsidR="009E590E" w:rsidRPr="009D0EAE">
        <w:rPr>
          <w:lang w:val="en-US"/>
        </w:rPr>
        <w:t>e address</w:t>
      </w:r>
      <w:r w:rsidR="009E590E" w:rsidRPr="00B12C8E">
        <w:rPr>
          <w:lang w:val="en-US"/>
        </w:rPr>
        <w:t xml:space="preserve"> these contamination issues later in th</w:t>
      </w:r>
      <w:r w:rsidR="009C6020">
        <w:rPr>
          <w:lang w:val="en-US"/>
        </w:rPr>
        <w:t>is</w:t>
      </w:r>
      <w:r w:rsidR="009E590E" w:rsidRPr="00B12C8E">
        <w:rPr>
          <w:lang w:val="en-US"/>
        </w:rPr>
        <w:t xml:space="preserve"> paper by undertaking robustness testing.  </w:t>
      </w:r>
    </w:p>
    <w:p w:rsidR="00E05949" w:rsidRDefault="009B12A3">
      <w:pPr>
        <w:pStyle w:val="Body"/>
        <w:spacing w:before="100" w:after="0"/>
        <w:jc w:val="both"/>
        <w:rPr>
          <w:lang w:val="en-US"/>
        </w:rPr>
      </w:pPr>
      <w:r>
        <w:rPr>
          <w:lang w:val="en-US"/>
        </w:rPr>
        <w:t>In c</w:t>
      </w:r>
      <w:r w:rsidR="00BE4789" w:rsidRPr="00B12C8E">
        <w:rPr>
          <w:lang w:val="en-US"/>
        </w:rPr>
        <w:t xml:space="preserve">onstructing the </w:t>
      </w:r>
      <w:r w:rsidR="009A1012" w:rsidRPr="00B12C8E">
        <w:rPr>
          <w:lang w:val="en-US"/>
        </w:rPr>
        <w:t xml:space="preserve">distance </w:t>
      </w:r>
      <w:r w:rsidR="00BE4789" w:rsidRPr="00B12C8E">
        <w:rPr>
          <w:lang w:val="en-US"/>
        </w:rPr>
        <w:t>dummy (</w:t>
      </w:r>
      <m:oMath>
        <m:r>
          <w:rPr>
            <w:rFonts w:ascii="Cambria Math" w:hAnsi="Cambria Math"/>
          </w:rPr>
          <m:t>TP</m:t>
        </m:r>
        <m:sSub>
          <m:sSubPr>
            <m:ctrlPr>
              <w:rPr>
                <w:rFonts w:ascii="Cambria Math" w:hAnsi="Cambria Math"/>
                <w:i/>
              </w:rPr>
            </m:ctrlPr>
          </m:sSubPr>
          <m:e>
            <m:r>
              <w:rPr>
                <w:rFonts w:ascii="Cambria Math" w:hAnsi="Cambria Math"/>
              </w:rPr>
              <m:t>U</m:t>
            </m:r>
          </m:e>
          <m:sub>
            <m:r>
              <w:rPr>
                <w:rFonts w:ascii="Cambria Math" w:hAnsi="Cambria Math"/>
              </w:rPr>
              <m:t>20KM</m:t>
            </m:r>
          </m:sub>
        </m:sSub>
        <m:r>
          <w:rPr>
            <w:rFonts w:ascii="Cambria Math" w:hAnsi="Cambria Math"/>
          </w:rPr>
          <m:t>)</m:t>
        </m:r>
      </m:oMath>
      <w:r>
        <w:t xml:space="preserve">, </w:t>
      </w:r>
      <w:r w:rsidR="002477B7" w:rsidRPr="00B12C8E">
        <w:rPr>
          <w:lang w:val="en-US"/>
        </w:rPr>
        <w:t>we do not have information on the young woman’s home address</w:t>
      </w:r>
      <w:r>
        <w:rPr>
          <w:lang w:val="en-US"/>
        </w:rPr>
        <w:t xml:space="preserve"> and therefore use</w:t>
      </w:r>
      <w:r w:rsidR="002477B7" w:rsidRPr="00B12C8E">
        <w:rPr>
          <w:lang w:val="en-US"/>
        </w:rPr>
        <w:t xml:space="preserve"> distance </w:t>
      </w:r>
      <w:r w:rsidR="009A1012" w:rsidRPr="00B12C8E">
        <w:rPr>
          <w:lang w:val="en-US"/>
        </w:rPr>
        <w:t xml:space="preserve">between </w:t>
      </w:r>
      <w:r w:rsidR="006452C0">
        <w:rPr>
          <w:lang w:val="en-US"/>
        </w:rPr>
        <w:t>the</w:t>
      </w:r>
      <w:r w:rsidR="002477B7" w:rsidRPr="00B12C8E">
        <w:rPr>
          <w:lang w:val="en-US"/>
        </w:rPr>
        <w:t xml:space="preserve"> </w:t>
      </w:r>
      <w:r w:rsidR="007E530B" w:rsidRPr="00B12C8E">
        <w:rPr>
          <w:lang w:val="en-US"/>
        </w:rPr>
        <w:t xml:space="preserve">school </w:t>
      </w:r>
      <w:r w:rsidR="009A1012" w:rsidRPr="00B12C8E">
        <w:rPr>
          <w:lang w:val="en-US"/>
        </w:rPr>
        <w:t xml:space="preserve">in which the young woman was enrolled </w:t>
      </w:r>
      <w:r w:rsidR="00566F2C">
        <w:rPr>
          <w:lang w:val="en-US"/>
        </w:rPr>
        <w:t>at conception</w:t>
      </w:r>
      <w:r w:rsidR="002477B7" w:rsidRPr="00B12C8E">
        <w:rPr>
          <w:lang w:val="en-US"/>
        </w:rPr>
        <w:t xml:space="preserve"> and the closest TPU</w:t>
      </w:r>
      <w:r w:rsidR="009A1012" w:rsidRPr="00B12C8E">
        <w:rPr>
          <w:lang w:val="en-US"/>
        </w:rPr>
        <w:t xml:space="preserve">. </w:t>
      </w:r>
      <w:r w:rsidR="00427E2B" w:rsidRPr="00B12C8E">
        <w:rPr>
          <w:lang w:val="en-US"/>
        </w:rPr>
        <w:t>For those young women who were</w:t>
      </w:r>
      <w:r w:rsidR="00BC052B">
        <w:rPr>
          <w:lang w:val="en-US"/>
        </w:rPr>
        <w:t xml:space="preserve"> </w:t>
      </w:r>
      <w:r w:rsidR="00427E2B" w:rsidRPr="00B12C8E">
        <w:rPr>
          <w:lang w:val="en-US"/>
        </w:rPr>
        <w:t xml:space="preserve">not enrolled at the time of conception, we use the distance of </w:t>
      </w:r>
      <w:r w:rsidR="00521898" w:rsidRPr="00B12C8E">
        <w:rPr>
          <w:lang w:val="en-US"/>
        </w:rPr>
        <w:t xml:space="preserve">the </w:t>
      </w:r>
      <w:r w:rsidR="00427E2B" w:rsidRPr="00B12C8E">
        <w:rPr>
          <w:lang w:val="en-US"/>
        </w:rPr>
        <w:t xml:space="preserve">last school in which they were enrolled prior to conception </w:t>
      </w:r>
      <w:r w:rsidR="003868CD" w:rsidRPr="00B12C8E">
        <w:rPr>
          <w:lang w:val="en-US"/>
        </w:rPr>
        <w:t>to the nearest</w:t>
      </w:r>
      <w:r w:rsidR="00427E2B" w:rsidRPr="00B12C8E">
        <w:rPr>
          <w:lang w:val="en-US"/>
        </w:rPr>
        <w:t xml:space="preserve"> TPU. We use a proximity measure </w:t>
      </w:r>
      <w:r w:rsidR="00673FB8">
        <w:rPr>
          <w:lang w:val="en-US"/>
        </w:rPr>
        <w:t xml:space="preserve">defined </w:t>
      </w:r>
      <w:r w:rsidR="00427E2B" w:rsidRPr="00B12C8E">
        <w:rPr>
          <w:lang w:val="en-US"/>
        </w:rPr>
        <w:t>as less than 20 km</w:t>
      </w:r>
      <w:r w:rsidR="00BA2189">
        <w:rPr>
          <w:lang w:val="en-US"/>
        </w:rPr>
        <w:t xml:space="preserve"> </w:t>
      </w:r>
      <w:r w:rsidR="00427E2B" w:rsidRPr="00B12C8E">
        <w:rPr>
          <w:lang w:val="en-US"/>
        </w:rPr>
        <w:t>driving distance from the conception school</w:t>
      </w:r>
      <w:r w:rsidR="00565809">
        <w:rPr>
          <w:lang w:val="en-US"/>
        </w:rPr>
        <w:t>.</w:t>
      </w:r>
      <w:r w:rsidR="0069353A" w:rsidRPr="0069353A">
        <w:rPr>
          <w:rStyle w:val="FootnoteReference"/>
        </w:rPr>
        <w:t xml:space="preserve"> </w:t>
      </w:r>
      <w:r w:rsidR="0069353A" w:rsidRPr="00B12C8E">
        <w:rPr>
          <w:rStyle w:val="FootnoteReference"/>
        </w:rPr>
        <w:footnoteReference w:id="18"/>
      </w:r>
    </w:p>
    <w:p w:rsidR="00F80C57" w:rsidRDefault="00F80C57">
      <w:pPr>
        <w:pStyle w:val="Body"/>
        <w:spacing w:before="100" w:after="0"/>
        <w:jc w:val="both"/>
        <w:rPr>
          <w:lang w:val="en-US"/>
        </w:rPr>
      </w:pPr>
    </w:p>
    <w:p w:rsidR="00812D3B" w:rsidRPr="00D92041" w:rsidRDefault="00812D3B" w:rsidP="00D732A8">
      <w:pPr>
        <w:pStyle w:val="Heading2"/>
        <w:spacing w:before="240"/>
        <w:ind w:left="578" w:hanging="578"/>
        <w:rPr>
          <w:sz w:val="24"/>
          <w:szCs w:val="24"/>
        </w:rPr>
      </w:pPr>
      <w:bookmarkStart w:id="28" w:name="_Toc473803312"/>
      <w:r w:rsidRPr="00D92041">
        <w:rPr>
          <w:sz w:val="24"/>
          <w:szCs w:val="24"/>
        </w:rPr>
        <w:t>Schooling Outcomes for Young Mothers and Proximity to a TPU</w:t>
      </w:r>
      <w:bookmarkEnd w:id="28"/>
      <w:r w:rsidRPr="00D92041">
        <w:rPr>
          <w:sz w:val="24"/>
          <w:szCs w:val="24"/>
        </w:rPr>
        <w:t xml:space="preserve"> </w:t>
      </w:r>
    </w:p>
    <w:p w:rsidR="00531417" w:rsidRPr="00B12C8E" w:rsidRDefault="006F3E93" w:rsidP="00D732A8">
      <w:pPr>
        <w:pStyle w:val="Body"/>
        <w:spacing w:after="0"/>
        <w:jc w:val="both"/>
      </w:pPr>
      <w:r w:rsidRPr="006211CB">
        <w:t xml:space="preserve">We now turn to </w:t>
      </w:r>
      <w:r w:rsidR="009A48F8" w:rsidRPr="006211CB">
        <w:t xml:space="preserve">the results of estimating </w:t>
      </w:r>
      <w:r w:rsidR="00144FAE" w:rsidRPr="006211CB">
        <w:t xml:space="preserve">the </w:t>
      </w:r>
      <w:r w:rsidR="009A48F8" w:rsidRPr="006211CB">
        <w:t xml:space="preserve">model </w:t>
      </w:r>
      <w:r w:rsidR="008D04F8" w:rsidRPr="006211CB">
        <w:t xml:space="preserve">given in equation </w:t>
      </w:r>
      <w:r w:rsidR="00AB450E">
        <w:t>(2</w:t>
      </w:r>
      <w:r w:rsidR="008D04F8" w:rsidRPr="006211CB">
        <w:t>)</w:t>
      </w:r>
      <w:r w:rsidR="00F516D6" w:rsidRPr="006211CB">
        <w:t xml:space="preserve"> for young women who have a teen </w:t>
      </w:r>
      <w:r w:rsidR="002114A5">
        <w:t>(</w:t>
      </w:r>
      <w:r w:rsidR="00AB143F">
        <w:t>under 19</w:t>
      </w:r>
      <w:r w:rsidR="002114A5">
        <w:t xml:space="preserve">) </w:t>
      </w:r>
      <w:r w:rsidR="00F516D6" w:rsidRPr="006211CB">
        <w:t>birth</w:t>
      </w:r>
      <w:r w:rsidR="008D04F8" w:rsidRPr="006211CB">
        <w:t xml:space="preserve">. </w:t>
      </w:r>
      <w:r w:rsidR="00815492" w:rsidRPr="00B12C8E">
        <w:t>The</w:t>
      </w:r>
      <w:r w:rsidR="006C0D78" w:rsidRPr="00B12C8E">
        <w:t xml:space="preserve"> term</w:t>
      </w:r>
      <w:r w:rsidR="00815492" w:rsidRPr="00B12C8E">
        <w:t xml:space="preserve"> </w:t>
      </w:r>
      <m:oMath>
        <m:sSub>
          <m:sSubPr>
            <m:ctrlPr>
              <w:rPr>
                <w:rFonts w:ascii="Cambria Math" w:hAnsi="Cambria Math"/>
              </w:rPr>
            </m:ctrlPr>
          </m:sSubPr>
          <m:e>
            <m:r>
              <w:rPr>
                <w:rFonts w:ascii="Cambria Math" w:hAnsi="Cambria Math"/>
              </w:rPr>
              <m:t>X</m:t>
            </m:r>
          </m:e>
          <m:sub>
            <m:r>
              <w:rPr>
                <w:rFonts w:ascii="Cambria Math" w:hAnsi="Cambria Math"/>
              </w:rPr>
              <m:t>i</m:t>
            </m:r>
          </m:sub>
        </m:sSub>
      </m:oMath>
      <w:r w:rsidRPr="00B12C8E">
        <w:t xml:space="preserve"> </w:t>
      </w:r>
      <w:r w:rsidR="006C0D78" w:rsidRPr="00B12C8E">
        <w:t xml:space="preserve">represents a </w:t>
      </w:r>
      <w:r w:rsidRPr="00B12C8E">
        <w:t xml:space="preserve">vector of characteristics </w:t>
      </w:r>
      <w:r w:rsidR="00041308" w:rsidRPr="00B12C8E">
        <w:t xml:space="preserve">at the individual, </w:t>
      </w:r>
      <w:r w:rsidR="00672DC5" w:rsidRPr="00B12C8E">
        <w:t xml:space="preserve">school </w:t>
      </w:r>
      <w:r w:rsidR="00041308" w:rsidRPr="00B12C8E">
        <w:t xml:space="preserve">and neighbourhood levels. At the individual level, we </w:t>
      </w:r>
      <w:r w:rsidR="00531417" w:rsidRPr="00B12C8E">
        <w:t>include</w:t>
      </w:r>
      <w:r w:rsidR="00BA590B" w:rsidRPr="00B12C8E">
        <w:t xml:space="preserve"> whether the young woman was enrolled at the time of conception</w:t>
      </w:r>
      <w:r w:rsidR="0009060A" w:rsidRPr="00B12C8E">
        <w:t>, her</w:t>
      </w:r>
      <w:r w:rsidR="00BA590B" w:rsidRPr="00B12C8E">
        <w:t xml:space="preserve"> </w:t>
      </w:r>
      <w:r w:rsidR="002E2911" w:rsidRPr="00B12C8E">
        <w:t xml:space="preserve">birth cohort, age at </w:t>
      </w:r>
      <w:r w:rsidR="0009060A" w:rsidRPr="00B12C8E">
        <w:t xml:space="preserve">first </w:t>
      </w:r>
      <w:r w:rsidR="002E2911" w:rsidRPr="00B12C8E">
        <w:t>birth, ethnicity</w:t>
      </w:r>
      <w:r w:rsidRPr="00B12C8E">
        <w:t xml:space="preserve">, </w:t>
      </w:r>
      <w:r w:rsidR="002114A5">
        <w:t xml:space="preserve">indicators of </w:t>
      </w:r>
      <w:r w:rsidR="00BC594F">
        <w:t xml:space="preserve">her previous </w:t>
      </w:r>
      <w:r w:rsidR="002114A5">
        <w:t xml:space="preserve">involvement with </w:t>
      </w:r>
      <w:r w:rsidR="00F516D6" w:rsidRPr="00B12C8E">
        <w:t xml:space="preserve">CYF </w:t>
      </w:r>
      <w:r w:rsidR="002114A5">
        <w:t xml:space="preserve">care and protection and </w:t>
      </w:r>
      <w:r w:rsidR="005575E4">
        <w:t xml:space="preserve">CYF </w:t>
      </w:r>
      <w:r w:rsidR="002114A5">
        <w:t>Y</w:t>
      </w:r>
      <w:r w:rsidR="002114A5" w:rsidRPr="00B12C8E">
        <w:t xml:space="preserve">outh </w:t>
      </w:r>
      <w:r w:rsidR="002114A5">
        <w:t>J</w:t>
      </w:r>
      <w:r w:rsidR="002114A5" w:rsidRPr="00B12C8E">
        <w:t xml:space="preserve">ustice </w:t>
      </w:r>
      <w:r w:rsidR="002114A5">
        <w:t>services</w:t>
      </w:r>
      <w:r w:rsidR="00325C4A" w:rsidRPr="00B12C8E">
        <w:t xml:space="preserve">; </w:t>
      </w:r>
      <w:r w:rsidR="00610C1F">
        <w:t xml:space="preserve">and </w:t>
      </w:r>
      <w:r w:rsidR="00AB143F">
        <w:t xml:space="preserve">the count of days </w:t>
      </w:r>
      <w:r w:rsidR="00325C4A" w:rsidRPr="00B12C8E">
        <w:t>the young woman</w:t>
      </w:r>
      <w:r w:rsidR="00F516D6" w:rsidRPr="00B12C8E">
        <w:t xml:space="preserve"> was included in a main welfare benefit before age </w:t>
      </w:r>
      <w:r w:rsidR="00ED6309">
        <w:t>five</w:t>
      </w:r>
      <w:r w:rsidR="00AB143F">
        <w:t>, a proxy for early exposure to poverty</w:t>
      </w:r>
      <w:r w:rsidR="00325C4A" w:rsidRPr="00B12C8E">
        <w:t xml:space="preserve">. </w:t>
      </w:r>
      <w:r w:rsidR="000D5BEB">
        <w:t xml:space="preserve">School level </w:t>
      </w:r>
      <w:r w:rsidR="00325C4A" w:rsidRPr="00B12C8E">
        <w:t>controls include</w:t>
      </w:r>
      <w:r w:rsidRPr="00B12C8E">
        <w:t xml:space="preserve"> </w:t>
      </w:r>
      <w:r w:rsidR="00AB143F">
        <w:t xml:space="preserve">whether the </w:t>
      </w:r>
      <w:r w:rsidR="0047024C">
        <w:t xml:space="preserve">first school the young woman was </w:t>
      </w:r>
      <w:r w:rsidR="00AB143F">
        <w:t xml:space="preserve">observed </w:t>
      </w:r>
      <w:r w:rsidR="0047024C">
        <w:t xml:space="preserve">enrolled in </w:t>
      </w:r>
      <w:r w:rsidR="00AB143F">
        <w:t xml:space="preserve">was decile 1-3 </w:t>
      </w:r>
      <w:r w:rsidR="00F40B9C">
        <w:t>(</w:t>
      </w:r>
      <w:r w:rsidR="00171267">
        <w:t xml:space="preserve">based on 2014 </w:t>
      </w:r>
      <w:r w:rsidR="00673FB8">
        <w:t xml:space="preserve">school </w:t>
      </w:r>
      <w:r w:rsidR="00171267">
        <w:t>decile</w:t>
      </w:r>
      <w:r w:rsidR="00673FB8">
        <w:t>s</w:t>
      </w:r>
      <w:r w:rsidR="00F40B9C">
        <w:t>)</w:t>
      </w:r>
      <w:r w:rsidRPr="00B12C8E">
        <w:t>,</w:t>
      </w:r>
      <w:r w:rsidR="00F41652">
        <w:t xml:space="preserve"> </w:t>
      </w:r>
      <w:r w:rsidR="00AB143F">
        <w:t xml:space="preserve">and </w:t>
      </w:r>
      <w:r w:rsidR="00F41652">
        <w:t xml:space="preserve">the </w:t>
      </w:r>
      <w:r w:rsidR="00DF661F">
        <w:t xml:space="preserve">MoE </w:t>
      </w:r>
      <w:r w:rsidR="00F41652">
        <w:t>local office</w:t>
      </w:r>
      <w:r w:rsidR="00CB3DDF">
        <w:t>. Neighbourhood controls include</w:t>
      </w:r>
      <w:r w:rsidR="00672DC5" w:rsidRPr="00B12C8E">
        <w:t xml:space="preserve"> the rural or urban classification of the young woman’s </w:t>
      </w:r>
      <w:r w:rsidR="00D036CC" w:rsidRPr="00B12C8E">
        <w:t>census area</w:t>
      </w:r>
      <w:r w:rsidR="00AF33FC" w:rsidRPr="00B12C8E">
        <w:t xml:space="preserve"> as at the time of </w:t>
      </w:r>
      <w:r w:rsidR="00610C1F">
        <w:t xml:space="preserve">her </w:t>
      </w:r>
      <w:r w:rsidR="00AF33FC" w:rsidRPr="00B12C8E">
        <w:t xml:space="preserve">child’s birth (from </w:t>
      </w:r>
      <w:r w:rsidR="00F516D6" w:rsidRPr="00B12C8E">
        <w:t xml:space="preserve">MoH </w:t>
      </w:r>
      <w:r w:rsidR="00AF33FC" w:rsidRPr="00B12C8E">
        <w:t>maternity data)</w:t>
      </w:r>
      <w:r w:rsidRPr="00B12C8E">
        <w:t>.</w:t>
      </w:r>
      <w:r w:rsidR="00D22827">
        <w:rPr>
          <w:rStyle w:val="FootnoteReference"/>
        </w:rPr>
        <w:footnoteReference w:id="19"/>
      </w:r>
      <w:r w:rsidR="00546C3F" w:rsidRPr="00B12C8E">
        <w:t xml:space="preserve"> </w:t>
      </w:r>
    </w:p>
    <w:p w:rsidR="00673FB8" w:rsidRDefault="00DC7E5E" w:rsidP="00D732A8">
      <w:pPr>
        <w:spacing w:before="100" w:beforeAutospacing="1" w:after="120" w:line="360" w:lineRule="auto"/>
        <w:jc w:val="both"/>
      </w:pPr>
      <w:r>
        <w:fldChar w:fldCharType="begin"/>
      </w:r>
      <w:r>
        <w:instrText xml:space="preserve"> REF _Ref453237421 \h </w:instrText>
      </w:r>
      <w:r>
        <w:fldChar w:fldCharType="separate"/>
      </w:r>
      <w:r w:rsidR="00C508A3" w:rsidRPr="00D57003">
        <w:t xml:space="preserve">Table </w:t>
      </w:r>
      <w:r w:rsidR="00C508A3">
        <w:rPr>
          <w:noProof/>
        </w:rPr>
        <w:t>7</w:t>
      </w:r>
      <w:r>
        <w:fldChar w:fldCharType="end"/>
      </w:r>
      <w:r>
        <w:t xml:space="preserve"> </w:t>
      </w:r>
      <w:r w:rsidR="00461423" w:rsidRPr="00B12C8E">
        <w:t xml:space="preserve">reports the </w:t>
      </w:r>
      <w:r w:rsidR="006817EC">
        <w:t xml:space="preserve">key </w:t>
      </w:r>
      <w:r w:rsidR="00461423" w:rsidRPr="00B12C8E">
        <w:t xml:space="preserve">regression results where the outcome </w:t>
      </w:r>
      <w:r w:rsidR="00DC462A">
        <w:t xml:space="preserve">of interest </w:t>
      </w:r>
      <w:r w:rsidR="00461423" w:rsidRPr="00B12C8E">
        <w:t xml:space="preserve">is </w:t>
      </w:r>
      <w:r w:rsidR="00DC462A">
        <w:t xml:space="preserve">the probability </w:t>
      </w:r>
      <w:r w:rsidR="00461423" w:rsidRPr="00B12C8E">
        <w:t xml:space="preserve">that a young woman </w:t>
      </w:r>
      <w:r w:rsidR="00154C57" w:rsidRPr="00B12C8E">
        <w:t xml:space="preserve">who had a teen (under 19) birth </w:t>
      </w:r>
      <w:r w:rsidR="00DC462A">
        <w:t>wa</w:t>
      </w:r>
      <w:r w:rsidR="00DC462A" w:rsidRPr="00B12C8E">
        <w:t xml:space="preserve">s </w:t>
      </w:r>
      <w:r w:rsidR="00DC462A">
        <w:t xml:space="preserve">subsequently </w:t>
      </w:r>
      <w:r w:rsidR="00461423" w:rsidRPr="00B12C8E">
        <w:t xml:space="preserve">enrolled in </w:t>
      </w:r>
      <w:r w:rsidR="00461423" w:rsidRPr="00B12C8E">
        <w:rPr>
          <w:i/>
        </w:rPr>
        <w:t>any school</w:t>
      </w:r>
      <w:r w:rsidR="00461423" w:rsidRPr="00B12C8E">
        <w:t xml:space="preserve"> (not just </w:t>
      </w:r>
      <w:r w:rsidR="00AF33FC" w:rsidRPr="00B12C8E">
        <w:t xml:space="preserve">a </w:t>
      </w:r>
      <w:r w:rsidR="00461423" w:rsidRPr="00B12C8E">
        <w:t>TPU</w:t>
      </w:r>
      <w:r w:rsidR="00AF33FC" w:rsidRPr="00B12C8E">
        <w:t xml:space="preserve"> </w:t>
      </w:r>
      <w:r w:rsidR="00566F2C">
        <w:t>governing</w:t>
      </w:r>
      <w:r w:rsidR="00AF33FC" w:rsidRPr="00B12C8E">
        <w:t xml:space="preserve"> school</w:t>
      </w:r>
      <w:r w:rsidR="00461423" w:rsidRPr="00B12C8E">
        <w:t>) post-birth</w:t>
      </w:r>
      <w:r w:rsidR="00F643A0" w:rsidRPr="00B12C8E">
        <w:t>.</w:t>
      </w:r>
      <w:r w:rsidR="006817EC">
        <w:rPr>
          <w:rStyle w:val="FootnoteReference"/>
        </w:rPr>
        <w:footnoteReference w:id="20"/>
      </w:r>
      <w:r w:rsidR="00F643A0" w:rsidRPr="00B12C8E">
        <w:t xml:space="preserve"> </w:t>
      </w:r>
      <w:r w:rsidR="006F3E93" w:rsidRPr="00B12C8E">
        <w:t>The coefficient</w:t>
      </w:r>
      <w:r w:rsidR="00CC75A4" w:rsidRPr="00B12C8E">
        <w:t xml:space="preserve">s of interest to us are </w:t>
      </w:r>
      <w:r w:rsidR="006F3E93" w:rsidRPr="00B12C8E">
        <w:rPr>
          <w:rFonts w:eastAsiaTheme="minorEastAsia"/>
          <w:iCs/>
        </w:rPr>
        <w:t xml:space="preserve">the effect </w:t>
      </w:r>
      <w:r w:rsidR="00BA590B" w:rsidRPr="00B12C8E">
        <w:rPr>
          <w:rFonts w:eastAsiaTheme="minorEastAsia"/>
          <w:iCs/>
        </w:rPr>
        <w:t xml:space="preserve">of </w:t>
      </w:r>
      <w:r w:rsidR="00CC75A4" w:rsidRPr="00B12C8E">
        <w:rPr>
          <w:rFonts w:eastAsiaTheme="minorEastAsia"/>
          <w:iCs/>
        </w:rPr>
        <w:t>being less than 20</w:t>
      </w:r>
      <w:r w:rsidR="00AF33FC" w:rsidRPr="00B12C8E">
        <w:rPr>
          <w:rFonts w:eastAsiaTheme="minorEastAsia"/>
          <w:iCs/>
        </w:rPr>
        <w:t xml:space="preserve"> km</w:t>
      </w:r>
      <w:r w:rsidR="00CC75A4" w:rsidRPr="00B12C8E">
        <w:rPr>
          <w:rFonts w:eastAsiaTheme="minorEastAsia"/>
          <w:iCs/>
        </w:rPr>
        <w:t xml:space="preserve"> </w:t>
      </w:r>
      <w:r w:rsidR="00BA590B" w:rsidRPr="00B12C8E">
        <w:rPr>
          <w:rFonts w:eastAsiaTheme="minorEastAsia"/>
          <w:iCs/>
        </w:rPr>
        <w:t>from a TPU</w:t>
      </w:r>
      <w:r w:rsidR="00DC462A">
        <w:rPr>
          <w:rFonts w:eastAsiaTheme="minorEastAsia"/>
          <w:iCs/>
        </w:rPr>
        <w:t xml:space="preserve"> at conception</w:t>
      </w:r>
      <w:r w:rsidR="00CC75A4" w:rsidRPr="00B12C8E">
        <w:rPr>
          <w:rFonts w:eastAsiaTheme="minorEastAsia"/>
          <w:iCs/>
        </w:rPr>
        <w:t xml:space="preserve">; and </w:t>
      </w:r>
      <w:r w:rsidR="00BA590B" w:rsidRPr="00B12C8E">
        <w:rPr>
          <w:rFonts w:eastAsiaTheme="minorEastAsia"/>
          <w:iCs/>
        </w:rPr>
        <w:t xml:space="preserve">of </w:t>
      </w:r>
      <w:r w:rsidR="00CC75A4" w:rsidRPr="00B12C8E">
        <w:t xml:space="preserve">being enrolled in a TPU </w:t>
      </w:r>
      <w:r w:rsidR="00566F2C">
        <w:t>governing</w:t>
      </w:r>
      <w:r w:rsidR="00154C57" w:rsidRPr="00B12C8E">
        <w:t xml:space="preserve"> school </w:t>
      </w:r>
      <w:r w:rsidR="00610C1F">
        <w:t xml:space="preserve">at </w:t>
      </w:r>
      <w:r w:rsidR="00CC75A4" w:rsidRPr="00B12C8E">
        <w:t>conception.</w:t>
      </w:r>
      <w:r w:rsidR="00CD4735" w:rsidRPr="00B12C8E">
        <w:t xml:space="preserve"> </w:t>
      </w:r>
    </w:p>
    <w:p w:rsidR="007C5E42" w:rsidRDefault="00CD4735" w:rsidP="00D732A8">
      <w:pPr>
        <w:spacing w:before="100" w:beforeAutospacing="1" w:after="120" w:line="360" w:lineRule="auto"/>
        <w:jc w:val="both"/>
      </w:pPr>
      <w:r w:rsidRPr="00B12C8E">
        <w:t xml:space="preserve">The estimated effects suggest that </w:t>
      </w:r>
      <w:r w:rsidR="00AF33FC" w:rsidRPr="00B12C8E">
        <w:t xml:space="preserve">being at a school </w:t>
      </w:r>
      <w:r w:rsidRPr="00B12C8E">
        <w:t>with</w:t>
      </w:r>
      <w:r w:rsidR="00AF33FC" w:rsidRPr="00B12C8E">
        <w:t>in</w:t>
      </w:r>
      <w:r w:rsidRPr="00B12C8E">
        <w:t xml:space="preserve"> 20</w:t>
      </w:r>
      <w:r w:rsidR="00673FB8">
        <w:t xml:space="preserve"> </w:t>
      </w:r>
      <w:r w:rsidRPr="00B12C8E">
        <w:t>km of a TPU</w:t>
      </w:r>
      <w:r w:rsidR="0099482A">
        <w:t xml:space="preserve"> </w:t>
      </w:r>
      <w:r w:rsidR="00DC462A">
        <w:t>at</w:t>
      </w:r>
      <w:r w:rsidR="0099482A">
        <w:t xml:space="preserve"> conception</w:t>
      </w:r>
      <w:r w:rsidRPr="00B12C8E">
        <w:t xml:space="preserve"> increases overall post-birth enrol</w:t>
      </w:r>
      <w:r w:rsidR="00154C57" w:rsidRPr="00B12C8E">
        <w:t>ment</w:t>
      </w:r>
      <w:r w:rsidRPr="00B12C8E">
        <w:t xml:space="preserve"> </w:t>
      </w:r>
      <w:r w:rsidR="00797435" w:rsidRPr="00B12C8E">
        <w:t>by</w:t>
      </w:r>
      <w:r w:rsidR="00D5781A">
        <w:t xml:space="preserve"> 4.0</w:t>
      </w:r>
      <w:r w:rsidR="00797435" w:rsidRPr="00B12C8E">
        <w:t xml:space="preserve"> percentage points compared to </w:t>
      </w:r>
      <w:r w:rsidR="00AF33FC" w:rsidRPr="00B12C8E">
        <w:t xml:space="preserve">being at a school </w:t>
      </w:r>
      <w:r w:rsidR="00797435" w:rsidRPr="00B12C8E">
        <w:t>further than 20 km</w:t>
      </w:r>
      <w:r w:rsidR="00AF33FC" w:rsidRPr="00B12C8E">
        <w:t xml:space="preserve"> away</w:t>
      </w:r>
      <w:r w:rsidR="00341460">
        <w:t xml:space="preserve"> (</w:t>
      </w:r>
      <w:r w:rsidR="00341460" w:rsidRPr="00B12C8E">
        <w:t xml:space="preserve">significant at </w:t>
      </w:r>
      <w:r w:rsidR="00D5781A">
        <w:t xml:space="preserve">a 2.1 </w:t>
      </w:r>
      <w:r w:rsidR="00341460">
        <w:t>percent</w:t>
      </w:r>
      <w:r w:rsidR="00341460" w:rsidRPr="00B12C8E">
        <w:t xml:space="preserve"> level</w:t>
      </w:r>
      <w:r w:rsidR="00341460">
        <w:t>)</w:t>
      </w:r>
      <w:r w:rsidR="00797435" w:rsidRPr="00B12C8E">
        <w:t xml:space="preserve">. </w:t>
      </w:r>
      <w:r w:rsidR="0023316F">
        <w:t xml:space="preserve">Moreover, </w:t>
      </w:r>
      <w:r w:rsidR="00797435" w:rsidRPr="00B12C8E">
        <w:t xml:space="preserve">if the young woman was enrolled in </w:t>
      </w:r>
      <w:r w:rsidRPr="00B12C8E">
        <w:t xml:space="preserve">a TPU </w:t>
      </w:r>
      <w:r w:rsidR="00566F2C">
        <w:t>governing</w:t>
      </w:r>
      <w:r w:rsidR="00AF33FC" w:rsidRPr="00B12C8E">
        <w:t xml:space="preserve"> school </w:t>
      </w:r>
      <w:r w:rsidR="0099482A">
        <w:t>at</w:t>
      </w:r>
      <w:r w:rsidRPr="00B12C8E">
        <w:t xml:space="preserve"> conception</w:t>
      </w:r>
      <w:r w:rsidR="00797435" w:rsidRPr="00B12C8E">
        <w:t>, there is an additional</w:t>
      </w:r>
      <w:r w:rsidR="00D5781A">
        <w:t xml:space="preserve"> 11.1 </w:t>
      </w:r>
      <w:r w:rsidRPr="00B12C8E">
        <w:t>percentage</w:t>
      </w:r>
      <w:r w:rsidR="00673FB8">
        <w:t xml:space="preserve"> </w:t>
      </w:r>
      <w:r w:rsidRPr="00B12C8E">
        <w:t xml:space="preserve">point increase in </w:t>
      </w:r>
      <w:r w:rsidR="00797435" w:rsidRPr="00B12C8E">
        <w:t>her post-</w:t>
      </w:r>
      <w:r w:rsidR="00154C57" w:rsidRPr="00B12C8E">
        <w:t>birth</w:t>
      </w:r>
      <w:r w:rsidR="00797435" w:rsidRPr="00B12C8E">
        <w:t xml:space="preserve"> enrolment</w:t>
      </w:r>
      <w:r w:rsidR="007822AA" w:rsidRPr="00B12C8E">
        <w:t xml:space="preserve"> </w:t>
      </w:r>
      <w:r w:rsidR="00EB51E1">
        <w:t xml:space="preserve">probability </w:t>
      </w:r>
      <w:r w:rsidR="00341460">
        <w:t xml:space="preserve">(significant at </w:t>
      </w:r>
      <w:r w:rsidR="00D5781A">
        <w:t xml:space="preserve">better than a 1 percent </w:t>
      </w:r>
      <w:r w:rsidR="00341460">
        <w:t>level)</w:t>
      </w:r>
      <w:r w:rsidR="00FB6CC6">
        <w:t>. Th</w:t>
      </w:r>
      <w:r w:rsidR="00D5781A">
        <w:t xml:space="preserve">e combined effects </w:t>
      </w:r>
      <w:r w:rsidR="007822AA" w:rsidRPr="00B12C8E">
        <w:t>mean</w:t>
      </w:r>
      <w:r w:rsidR="00D5781A">
        <w:t xml:space="preserve"> that the average teen mother’s </w:t>
      </w:r>
      <w:r w:rsidR="007822AA" w:rsidRPr="00B12C8E">
        <w:t>post-</w:t>
      </w:r>
      <w:r w:rsidR="00154C57" w:rsidRPr="00B12C8E">
        <w:t>birth</w:t>
      </w:r>
      <w:r w:rsidR="00145CFD">
        <w:t xml:space="preserve"> </w:t>
      </w:r>
      <w:r w:rsidR="00D5781A">
        <w:t xml:space="preserve">school </w:t>
      </w:r>
      <w:r w:rsidR="00145CFD">
        <w:t xml:space="preserve">enrolment </w:t>
      </w:r>
      <w:r w:rsidR="00D5781A">
        <w:t xml:space="preserve">rate </w:t>
      </w:r>
      <w:r w:rsidR="00AD0116">
        <w:t>would</w:t>
      </w:r>
      <w:r w:rsidR="00AD0116" w:rsidRPr="00B12C8E">
        <w:t xml:space="preserve"> </w:t>
      </w:r>
      <w:r w:rsidR="007822AA" w:rsidRPr="00B12C8E">
        <w:t>be</w:t>
      </w:r>
      <w:r w:rsidR="00D5781A">
        <w:t xml:space="preserve"> 15.1</w:t>
      </w:r>
      <w:r w:rsidR="00A927D2">
        <w:t xml:space="preserve"> </w:t>
      </w:r>
      <w:r w:rsidR="007822AA" w:rsidRPr="00B12C8E">
        <w:t xml:space="preserve">percentage points higher </w:t>
      </w:r>
      <w:r w:rsidR="00AD0116">
        <w:t xml:space="preserve">if </w:t>
      </w:r>
      <w:r w:rsidR="00D5781A">
        <w:t xml:space="preserve">she was enrolled in a TPU governing school at conception compared to </w:t>
      </w:r>
      <w:r w:rsidR="007822AA" w:rsidRPr="00B12C8E">
        <w:t xml:space="preserve">a </w:t>
      </w:r>
      <w:r w:rsidR="00D5781A">
        <w:t>teen mother</w:t>
      </w:r>
      <w:r w:rsidR="00AD0116">
        <w:t xml:space="preserve"> who</w:t>
      </w:r>
      <w:r w:rsidR="00AD0116" w:rsidRPr="00B12C8E">
        <w:t xml:space="preserve"> </w:t>
      </w:r>
      <w:r w:rsidR="00154C57" w:rsidRPr="00B12C8E">
        <w:t xml:space="preserve">was </w:t>
      </w:r>
      <w:r w:rsidR="00D5781A">
        <w:t xml:space="preserve">enrolled in school at conception but had no TPU within </w:t>
      </w:r>
      <w:r w:rsidR="007822AA" w:rsidRPr="00B12C8E">
        <w:t>20km.</w:t>
      </w:r>
      <w:r w:rsidR="00D24AB3" w:rsidRPr="00B12C8E">
        <w:t xml:space="preserve"> </w:t>
      </w:r>
    </w:p>
    <w:p w:rsidR="007C5E42" w:rsidRPr="005E520A" w:rsidRDefault="007C5E42" w:rsidP="007C5E42">
      <w:pPr>
        <w:spacing w:before="120"/>
        <w:jc w:val="both"/>
        <w:rPr>
          <w:rFonts w:cs="Arial Unicode MS"/>
          <w:color w:val="000000"/>
          <w:sz w:val="20"/>
          <w:szCs w:val="20"/>
          <w:u w:color="000000"/>
          <w:lang w:val="en-SG" w:eastAsia="en-SG"/>
        </w:rPr>
      </w:pPr>
    </w:p>
    <w:p w:rsidR="007C5E42" w:rsidRPr="00D57003" w:rsidRDefault="007C5E42" w:rsidP="007C5E42">
      <w:pPr>
        <w:pStyle w:val="Caption"/>
        <w:keepNext/>
        <w:spacing w:before="0" w:after="120"/>
        <w:jc w:val="center"/>
        <w:rPr>
          <w:szCs w:val="24"/>
        </w:rPr>
      </w:pPr>
      <w:bookmarkStart w:id="29" w:name="_Ref453237421"/>
      <w:bookmarkStart w:id="30" w:name="_Toc462736179"/>
      <w:bookmarkStart w:id="31" w:name="_Toc475430719"/>
      <w:r w:rsidRPr="00D57003">
        <w:t xml:space="preserve">Table </w:t>
      </w:r>
      <w:r>
        <w:fldChar w:fldCharType="begin"/>
      </w:r>
      <w:r>
        <w:instrText xml:space="preserve"> SEQ Table \* ARABIC </w:instrText>
      </w:r>
      <w:r>
        <w:fldChar w:fldCharType="separate"/>
      </w:r>
      <w:r>
        <w:rPr>
          <w:noProof/>
        </w:rPr>
        <w:t>7</w:t>
      </w:r>
      <w:r>
        <w:fldChar w:fldCharType="end"/>
      </w:r>
      <w:bookmarkEnd w:id="29"/>
      <w:r w:rsidRPr="00D57003">
        <w:t xml:space="preserve">: </w:t>
      </w:r>
      <w:r w:rsidRPr="00D57003">
        <w:rPr>
          <w:szCs w:val="24"/>
        </w:rPr>
        <w:t xml:space="preserve">Marginal effects </w:t>
      </w:r>
      <w:r>
        <w:rPr>
          <w:szCs w:val="24"/>
        </w:rPr>
        <w:t xml:space="preserve">for teen mothers </w:t>
      </w:r>
      <w:r w:rsidRPr="00D57003">
        <w:rPr>
          <w:szCs w:val="24"/>
        </w:rPr>
        <w:t>on probability of post-birth enrolment</w:t>
      </w:r>
      <w:bookmarkEnd w:id="30"/>
      <w:bookmarkEnd w:id="31"/>
    </w:p>
    <w:tbl>
      <w:tblPr>
        <w:tblW w:w="8500" w:type="dxa"/>
        <w:jc w:val="center"/>
        <w:tblBorders>
          <w:top w:val="single" w:sz="4" w:space="0" w:color="auto"/>
          <w:bottom w:val="single" w:sz="4" w:space="0" w:color="auto"/>
          <w:insideH w:val="single" w:sz="4" w:space="0" w:color="auto"/>
        </w:tblBorders>
        <w:tblCellMar>
          <w:left w:w="0" w:type="dxa"/>
          <w:right w:w="0" w:type="dxa"/>
        </w:tblCellMar>
        <w:tblLook w:val="0600" w:firstRow="0" w:lastRow="0" w:firstColumn="0" w:lastColumn="0" w:noHBand="1" w:noVBand="1"/>
      </w:tblPr>
      <w:tblGrid>
        <w:gridCol w:w="4989"/>
        <w:gridCol w:w="3511"/>
      </w:tblGrid>
      <w:tr w:rsidR="007C5E42" w:rsidRPr="0043730F" w:rsidTr="00A60DC6">
        <w:trPr>
          <w:trHeight w:val="680"/>
          <w:jc w:val="center"/>
        </w:trPr>
        <w:tc>
          <w:tcPr>
            <w:tcW w:w="5557" w:type="dxa"/>
            <w:shd w:val="clear" w:color="auto" w:fill="auto"/>
            <w:tcMar>
              <w:top w:w="15" w:type="dxa"/>
              <w:left w:w="108" w:type="dxa"/>
              <w:bottom w:w="0" w:type="dxa"/>
              <w:right w:w="108" w:type="dxa"/>
            </w:tcMar>
            <w:vAlign w:val="bottom"/>
            <w:hideMark/>
          </w:tcPr>
          <w:p w:rsidR="007C5E42" w:rsidRPr="004F4C26" w:rsidRDefault="007C5E42" w:rsidP="00A60DC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NZ" w:eastAsia="en-NZ"/>
              </w:rPr>
            </w:pPr>
            <w:r w:rsidRPr="004F4C26">
              <w:rPr>
                <w:color w:val="000000" w:themeColor="text1"/>
                <w:kern w:val="24"/>
                <w:sz w:val="20"/>
                <w:szCs w:val="20"/>
                <w:bdr w:val="none" w:sz="0" w:space="0" w:color="auto"/>
                <w:lang w:eastAsia="en-NZ"/>
              </w:rPr>
              <w:t> </w:t>
            </w:r>
          </w:p>
        </w:tc>
        <w:tc>
          <w:tcPr>
            <w:tcW w:w="3912" w:type="dxa"/>
            <w:shd w:val="clear" w:color="auto" w:fill="auto"/>
            <w:tcMar>
              <w:top w:w="15" w:type="dxa"/>
              <w:left w:w="108" w:type="dxa"/>
              <w:bottom w:w="0" w:type="dxa"/>
              <w:right w:w="108" w:type="dxa"/>
            </w:tcMar>
            <w:vAlign w:val="bottom"/>
            <w:hideMark/>
          </w:tcPr>
          <w:p w:rsidR="007C5E42" w:rsidRDefault="007C5E42" w:rsidP="00A60DC6">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sidRPr="004F4C26">
              <w:rPr>
                <w:color w:val="000000" w:themeColor="text1"/>
                <w:kern w:val="24"/>
                <w:sz w:val="20"/>
                <w:szCs w:val="20"/>
                <w:bdr w:val="none" w:sz="0" w:space="0" w:color="auto"/>
                <w:lang w:eastAsia="en-NZ"/>
              </w:rPr>
              <w:t>E</w:t>
            </w:r>
            <w:r>
              <w:rPr>
                <w:color w:val="000000" w:themeColor="text1"/>
                <w:kern w:val="24"/>
                <w:sz w:val="20"/>
                <w:szCs w:val="20"/>
                <w:bdr w:val="none" w:sz="0" w:space="0" w:color="auto"/>
                <w:lang w:eastAsia="en-NZ"/>
              </w:rPr>
              <w:t>stimated e</w:t>
            </w:r>
            <w:r w:rsidRPr="004F4C26">
              <w:rPr>
                <w:color w:val="000000" w:themeColor="text1"/>
                <w:kern w:val="24"/>
                <w:sz w:val="20"/>
                <w:szCs w:val="20"/>
                <w:bdr w:val="none" w:sz="0" w:space="0" w:color="auto"/>
                <w:lang w:eastAsia="en-NZ"/>
              </w:rPr>
              <w:t xml:space="preserve">ffect on probability of enrolment post-birth. </w:t>
            </w:r>
          </w:p>
          <w:p w:rsidR="007C5E42" w:rsidRDefault="007C5E42" w:rsidP="00A60DC6">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sidRPr="004F4C26">
              <w:rPr>
                <w:color w:val="000000" w:themeColor="text1"/>
                <w:kern w:val="24"/>
                <w:sz w:val="20"/>
                <w:szCs w:val="20"/>
                <w:bdr w:val="none" w:sz="0" w:space="0" w:color="auto"/>
                <w:lang w:eastAsia="en-NZ"/>
              </w:rPr>
              <w:t xml:space="preserve">[95% confidence interval] </w:t>
            </w:r>
          </w:p>
          <w:p w:rsidR="007C5E42" w:rsidRPr="004F4C26" w:rsidRDefault="007C5E42" w:rsidP="00A60D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and </w:t>
            </w:r>
            <w:r w:rsidRPr="00021F2A">
              <w:rPr>
                <w:i/>
                <w:color w:val="000000" w:themeColor="text1"/>
                <w:kern w:val="24"/>
                <w:sz w:val="20"/>
                <w:szCs w:val="20"/>
                <w:bdr w:val="none" w:sz="0" w:space="0" w:color="auto"/>
                <w:lang w:eastAsia="en-NZ"/>
              </w:rPr>
              <w:t>p</w:t>
            </w:r>
            <w:r>
              <w:rPr>
                <w:color w:val="000000" w:themeColor="text1"/>
                <w:kern w:val="24"/>
                <w:sz w:val="20"/>
                <w:szCs w:val="20"/>
                <w:bdr w:val="none" w:sz="0" w:space="0" w:color="auto"/>
                <w:lang w:eastAsia="en-NZ"/>
              </w:rPr>
              <w:t>-value</w:t>
            </w:r>
          </w:p>
        </w:tc>
      </w:tr>
      <w:tr w:rsidR="007C5E42" w:rsidRPr="0043730F" w:rsidTr="00A60DC6">
        <w:trPr>
          <w:trHeight w:val="841"/>
          <w:jc w:val="center"/>
        </w:trPr>
        <w:tc>
          <w:tcPr>
            <w:tcW w:w="5565" w:type="dxa"/>
            <w:shd w:val="clear" w:color="auto" w:fill="auto"/>
            <w:tcMar>
              <w:top w:w="15" w:type="dxa"/>
              <w:left w:w="108" w:type="dxa"/>
              <w:bottom w:w="0" w:type="dxa"/>
              <w:right w:w="108" w:type="dxa"/>
            </w:tcMar>
            <w:vAlign w:val="center"/>
            <w:hideMark/>
          </w:tcPr>
          <w:p w:rsidR="007C5E42" w:rsidRPr="004F4C26" w:rsidRDefault="007C5E42" w:rsidP="00A60D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sidRPr="004F4C26">
              <w:rPr>
                <w:color w:val="000000" w:themeColor="text1"/>
                <w:kern w:val="24"/>
                <w:sz w:val="20"/>
                <w:szCs w:val="20"/>
                <w:bdr w:val="none" w:sz="0" w:space="0" w:color="auto"/>
                <w:lang w:eastAsia="en-NZ"/>
              </w:rPr>
              <w:t xml:space="preserve">Distance of young woman’s school at conception to TPU&lt;20 km </w:t>
            </w:r>
            <m:oMath>
              <m:r>
                <w:rPr>
                  <w:rFonts w:ascii="Cambria Math" w:hAnsi="Cambria Math" w:cs="Arial"/>
                  <w:color w:val="000000" w:themeColor="text1"/>
                  <w:kern w:val="24"/>
                  <w:sz w:val="20"/>
                  <w:szCs w:val="20"/>
                  <w:bdr w:val="none" w:sz="0" w:space="0" w:color="auto"/>
                  <w:lang w:eastAsia="en-NZ"/>
                </w:rPr>
                <m:t>(</m:t>
              </m:r>
              <m:r>
                <w:rPr>
                  <w:rFonts w:ascii="Cambria Math" w:hAnsi="Cambria Math" w:cs="Arial" w:hint="eastAsia"/>
                  <w:color w:val="000000" w:themeColor="text1"/>
                  <w:kern w:val="24"/>
                  <w:sz w:val="20"/>
                  <w:szCs w:val="20"/>
                  <w:bdr w:val="none" w:sz="0" w:space="0" w:color="auto"/>
                  <w:lang w:eastAsia="en-NZ"/>
                </w:rPr>
                <m:t> </m:t>
              </m:r>
              <m:r>
                <w:rPr>
                  <w:rFonts w:ascii="Cambria Math" w:hAnsi="Cambria Math" w:cs="Arial"/>
                  <w:color w:val="000000" w:themeColor="text1"/>
                  <w:kern w:val="24"/>
                  <w:sz w:val="20"/>
                  <w:szCs w:val="20"/>
                  <w:bdr w:val="none" w:sz="0" w:space="0" w:color="auto"/>
                  <w:lang w:eastAsia="en-NZ"/>
                </w:rPr>
                <m:t>TP</m:t>
              </m:r>
              <m:sSub>
                <m:sSubPr>
                  <m:ctrlPr>
                    <w:rPr>
                      <w:rFonts w:ascii="Cambria Math" w:hAnsi="Cambria Math" w:cs="Arial"/>
                      <w:i/>
                      <w:iCs/>
                      <w:color w:val="000000" w:themeColor="text1"/>
                      <w:kern w:val="24"/>
                      <w:sz w:val="20"/>
                      <w:szCs w:val="20"/>
                      <w:bdr w:val="none" w:sz="0" w:space="0" w:color="auto"/>
                      <w:lang w:val="en-NZ" w:eastAsia="en-NZ"/>
                    </w:rPr>
                  </m:ctrlPr>
                </m:sSubPr>
                <m:e>
                  <m:r>
                    <w:rPr>
                      <w:rFonts w:ascii="Cambria Math" w:hAnsi="Cambria Math" w:cs="Arial"/>
                      <w:color w:val="000000" w:themeColor="text1"/>
                      <w:kern w:val="24"/>
                      <w:sz w:val="20"/>
                      <w:szCs w:val="20"/>
                      <w:bdr w:val="none" w:sz="0" w:space="0" w:color="auto"/>
                      <w:lang w:eastAsia="en-NZ"/>
                    </w:rPr>
                    <m:t>U</m:t>
                  </m:r>
                </m:e>
                <m:sub>
                  <m:r>
                    <w:rPr>
                      <w:rFonts w:ascii="Cambria Math" w:hAnsi="Cambria Math" w:cs="Arial"/>
                      <w:color w:val="000000" w:themeColor="text1"/>
                      <w:kern w:val="24"/>
                      <w:sz w:val="20"/>
                      <w:szCs w:val="20"/>
                      <w:bdr w:val="none" w:sz="0" w:space="0" w:color="auto"/>
                      <w:lang w:eastAsia="en-NZ"/>
                    </w:rPr>
                    <m:t>20KM</m:t>
                  </m:r>
                </m:sub>
              </m:sSub>
              <m:r>
                <w:rPr>
                  <w:rFonts w:ascii="Cambria Math" w:hAnsi="Cambria Math" w:cs="Arial"/>
                  <w:color w:val="000000" w:themeColor="text1"/>
                  <w:kern w:val="24"/>
                  <w:sz w:val="20"/>
                  <w:szCs w:val="20"/>
                  <w:bdr w:val="none" w:sz="0" w:space="0" w:color="auto"/>
                  <w:lang w:eastAsia="en-NZ"/>
                </w:rPr>
                <m:t>)</m:t>
              </m:r>
            </m:oMath>
          </w:p>
        </w:tc>
        <w:tc>
          <w:tcPr>
            <w:tcW w:w="3912" w:type="dxa"/>
            <w:shd w:val="clear" w:color="auto" w:fill="auto"/>
            <w:tcMar>
              <w:top w:w="15" w:type="dxa"/>
              <w:left w:w="108" w:type="dxa"/>
              <w:bottom w:w="0" w:type="dxa"/>
              <w:right w:w="108" w:type="dxa"/>
            </w:tcMar>
            <w:vAlign w:val="center"/>
            <w:hideMark/>
          </w:tcPr>
          <w:p w:rsidR="007C5E42" w:rsidRPr="004F4C26" w:rsidRDefault="007C5E42" w:rsidP="00A60D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0.040</w:t>
            </w:r>
            <w:r w:rsidRPr="00021F2A">
              <w:rPr>
                <w:color w:val="000000" w:themeColor="text1"/>
                <w:kern w:val="24"/>
                <w:sz w:val="20"/>
                <w:szCs w:val="20"/>
                <w:bdr w:val="none" w:sz="0" w:space="0" w:color="auto"/>
                <w:vertAlign w:val="superscript"/>
                <w:lang w:eastAsia="en-NZ"/>
              </w:rPr>
              <w:t>**</w:t>
            </w:r>
          </w:p>
          <w:p w:rsidR="007C5E42" w:rsidRPr="004F4C26" w:rsidRDefault="007C5E42" w:rsidP="00A60D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sidRPr="004F4C26">
              <w:rPr>
                <w:color w:val="000000" w:themeColor="text1"/>
                <w:kern w:val="24"/>
                <w:sz w:val="20"/>
                <w:szCs w:val="20"/>
                <w:bdr w:val="none" w:sz="0" w:space="0" w:color="auto"/>
                <w:lang w:eastAsia="en-NZ"/>
              </w:rPr>
              <w:t>[0.006  0.073]</w:t>
            </w:r>
          </w:p>
          <w:p w:rsidR="007C5E42" w:rsidRPr="004F4C26" w:rsidRDefault="007C5E42" w:rsidP="00A60D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sidRPr="00021F2A">
              <w:rPr>
                <w:i/>
                <w:color w:val="000000" w:themeColor="text1"/>
                <w:kern w:val="24"/>
                <w:sz w:val="20"/>
                <w:szCs w:val="20"/>
                <w:bdr w:val="none" w:sz="0" w:space="0" w:color="auto"/>
                <w:lang w:eastAsia="en-NZ"/>
              </w:rPr>
              <w:t>p</w:t>
            </w:r>
            <w:r w:rsidRPr="004F4C26">
              <w:rPr>
                <w:color w:val="000000" w:themeColor="text1"/>
                <w:kern w:val="24"/>
                <w:sz w:val="20"/>
                <w:szCs w:val="20"/>
                <w:bdr w:val="none" w:sz="0" w:space="0" w:color="auto"/>
                <w:lang w:eastAsia="en-NZ"/>
              </w:rPr>
              <w:t xml:space="preserve"> =</w:t>
            </w:r>
            <w:r w:rsidRPr="004F4C26">
              <w:rPr>
                <w:sz w:val="20"/>
                <w:szCs w:val="20"/>
              </w:rPr>
              <w:t xml:space="preserve"> </w:t>
            </w:r>
            <w:r w:rsidRPr="004F4C26">
              <w:rPr>
                <w:color w:val="000000" w:themeColor="text1"/>
                <w:kern w:val="24"/>
                <w:sz w:val="20"/>
                <w:szCs w:val="20"/>
                <w:bdr w:val="none" w:sz="0" w:space="0" w:color="auto"/>
                <w:lang w:eastAsia="en-NZ"/>
              </w:rPr>
              <w:t>0.021</w:t>
            </w:r>
          </w:p>
        </w:tc>
      </w:tr>
      <w:tr w:rsidR="007C5E42" w:rsidRPr="0043730F" w:rsidTr="00A60DC6">
        <w:trPr>
          <w:trHeight w:val="834"/>
          <w:jc w:val="center"/>
        </w:trPr>
        <w:tc>
          <w:tcPr>
            <w:tcW w:w="5565" w:type="dxa"/>
            <w:shd w:val="clear" w:color="auto" w:fill="auto"/>
            <w:tcMar>
              <w:top w:w="15" w:type="dxa"/>
              <w:left w:w="108" w:type="dxa"/>
              <w:bottom w:w="0" w:type="dxa"/>
              <w:right w:w="108" w:type="dxa"/>
            </w:tcMar>
            <w:vAlign w:val="center"/>
            <w:hideMark/>
          </w:tcPr>
          <w:p w:rsidR="007C5E42" w:rsidRPr="004F4C26" w:rsidRDefault="007C5E42" w:rsidP="00A60D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sidRPr="004F4C26">
              <w:rPr>
                <w:color w:val="000000" w:themeColor="text1"/>
                <w:kern w:val="24"/>
                <w:sz w:val="20"/>
                <w:szCs w:val="20"/>
                <w:bdr w:val="none" w:sz="0" w:space="0" w:color="auto"/>
                <w:lang w:eastAsia="en-NZ"/>
              </w:rPr>
              <w:t xml:space="preserve">TPU </w:t>
            </w:r>
            <w:r w:rsidR="00673FB8">
              <w:rPr>
                <w:color w:val="000000" w:themeColor="text1"/>
                <w:kern w:val="24"/>
                <w:sz w:val="20"/>
                <w:szCs w:val="20"/>
                <w:bdr w:val="none" w:sz="0" w:space="0" w:color="auto"/>
                <w:lang w:eastAsia="en-NZ"/>
              </w:rPr>
              <w:t xml:space="preserve">governing school </w:t>
            </w:r>
            <w:r w:rsidRPr="004F4C26">
              <w:rPr>
                <w:color w:val="000000" w:themeColor="text1"/>
                <w:kern w:val="24"/>
                <w:sz w:val="20"/>
                <w:szCs w:val="20"/>
                <w:bdr w:val="none" w:sz="0" w:space="0" w:color="auto"/>
                <w:lang w:eastAsia="en-NZ"/>
              </w:rPr>
              <w:t>enrolled at conception (</w:t>
            </w:r>
            <m:oMath>
              <m:r>
                <w:rPr>
                  <w:rFonts w:ascii="Cambria Math" w:hAnsi="Cambria Math" w:cs="Arial" w:hint="eastAsia"/>
                  <w:color w:val="000000" w:themeColor="text1"/>
                  <w:kern w:val="24"/>
                  <w:sz w:val="20"/>
                  <w:szCs w:val="20"/>
                  <w:bdr w:val="none" w:sz="0" w:space="0" w:color="auto"/>
                  <w:lang w:eastAsia="en-NZ"/>
                </w:rPr>
                <m:t> </m:t>
              </m:r>
              <m:r>
                <w:rPr>
                  <w:rFonts w:ascii="Cambria Math" w:hAnsi="Cambria Math" w:cs="Arial"/>
                  <w:color w:val="000000" w:themeColor="text1"/>
                  <w:kern w:val="24"/>
                  <w:sz w:val="20"/>
                  <w:szCs w:val="20"/>
                  <w:bdr w:val="none" w:sz="0" w:space="0" w:color="auto"/>
                  <w:lang w:eastAsia="en-NZ"/>
                </w:rPr>
                <m:t>TP</m:t>
              </m:r>
              <m:sSub>
                <m:sSubPr>
                  <m:ctrlPr>
                    <w:rPr>
                      <w:rFonts w:ascii="Cambria Math" w:hAnsi="Cambria Math" w:cs="Arial"/>
                      <w:i/>
                      <w:iCs/>
                      <w:color w:val="000000" w:themeColor="text1"/>
                      <w:kern w:val="24"/>
                      <w:sz w:val="20"/>
                      <w:szCs w:val="20"/>
                      <w:bdr w:val="none" w:sz="0" w:space="0" w:color="auto"/>
                      <w:lang w:val="en-NZ" w:eastAsia="en-NZ"/>
                    </w:rPr>
                  </m:ctrlPr>
                </m:sSubPr>
                <m:e>
                  <m:r>
                    <w:rPr>
                      <w:rFonts w:ascii="Cambria Math" w:hAnsi="Cambria Math" w:cs="Arial"/>
                      <w:color w:val="000000" w:themeColor="text1"/>
                      <w:kern w:val="24"/>
                      <w:sz w:val="20"/>
                      <w:szCs w:val="20"/>
                      <w:bdr w:val="none" w:sz="0" w:space="0" w:color="auto"/>
                      <w:lang w:eastAsia="en-NZ"/>
                    </w:rPr>
                    <m:t>U</m:t>
                  </m:r>
                </m:e>
                <m:sub>
                  <m:r>
                    <w:rPr>
                      <w:rFonts w:ascii="Cambria Math" w:hAnsi="Cambria Math" w:cs="Arial"/>
                      <w:color w:val="000000" w:themeColor="text1"/>
                      <w:kern w:val="24"/>
                      <w:sz w:val="20"/>
                      <w:szCs w:val="20"/>
                      <w:bdr w:val="none" w:sz="0" w:space="0" w:color="auto"/>
                      <w:lang w:eastAsia="en-NZ"/>
                    </w:rPr>
                    <m:t>Pre-Birth</m:t>
                  </m:r>
                </m:sub>
              </m:sSub>
              <m:r>
                <w:rPr>
                  <w:rFonts w:ascii="Cambria Math" w:hAnsi="Cambria Math" w:cs="Arial"/>
                  <w:color w:val="000000" w:themeColor="text1"/>
                  <w:kern w:val="24"/>
                  <w:sz w:val="20"/>
                  <w:szCs w:val="20"/>
                  <w:bdr w:val="none" w:sz="0" w:space="0" w:color="auto"/>
                  <w:lang w:eastAsia="en-NZ"/>
                </w:rPr>
                <m:t>)</m:t>
              </m:r>
            </m:oMath>
          </w:p>
        </w:tc>
        <w:tc>
          <w:tcPr>
            <w:tcW w:w="3912" w:type="dxa"/>
            <w:shd w:val="clear" w:color="auto" w:fill="auto"/>
            <w:tcMar>
              <w:top w:w="15" w:type="dxa"/>
              <w:left w:w="108" w:type="dxa"/>
              <w:bottom w:w="0" w:type="dxa"/>
              <w:right w:w="108" w:type="dxa"/>
            </w:tcMar>
            <w:vAlign w:val="center"/>
            <w:hideMark/>
          </w:tcPr>
          <w:p w:rsidR="007C5E42" w:rsidRPr="004F4C26" w:rsidRDefault="007C5E42" w:rsidP="00A60D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0.111</w:t>
            </w:r>
            <w:r w:rsidRPr="00021F2A">
              <w:rPr>
                <w:color w:val="000000" w:themeColor="text1"/>
                <w:kern w:val="24"/>
                <w:sz w:val="20"/>
                <w:szCs w:val="20"/>
                <w:bdr w:val="none" w:sz="0" w:space="0" w:color="auto"/>
                <w:vertAlign w:val="superscript"/>
                <w:lang w:eastAsia="en-NZ"/>
              </w:rPr>
              <w:t>***</w:t>
            </w:r>
          </w:p>
          <w:p w:rsidR="007C5E42" w:rsidRPr="004F4C26" w:rsidRDefault="007C5E42" w:rsidP="00A60D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sidRPr="004F4C26">
              <w:rPr>
                <w:color w:val="000000" w:themeColor="text1"/>
                <w:kern w:val="24"/>
                <w:sz w:val="20"/>
                <w:szCs w:val="20"/>
                <w:bdr w:val="none" w:sz="0" w:space="0" w:color="auto"/>
                <w:lang w:eastAsia="en-NZ"/>
              </w:rPr>
              <w:t>[0.040 0.183]</w:t>
            </w:r>
          </w:p>
          <w:p w:rsidR="007C5E42" w:rsidRPr="004F4C26" w:rsidRDefault="007C5E42" w:rsidP="00A60D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sidRPr="00021F2A">
              <w:rPr>
                <w:i/>
                <w:color w:val="000000" w:themeColor="text1"/>
                <w:kern w:val="24"/>
                <w:sz w:val="20"/>
                <w:szCs w:val="20"/>
                <w:bdr w:val="none" w:sz="0" w:space="0" w:color="auto"/>
                <w:lang w:eastAsia="en-NZ"/>
              </w:rPr>
              <w:t>p</w:t>
            </w:r>
            <w:r w:rsidRPr="004F4C26">
              <w:rPr>
                <w:color w:val="000000" w:themeColor="text1"/>
                <w:kern w:val="24"/>
                <w:sz w:val="20"/>
                <w:szCs w:val="20"/>
                <w:bdr w:val="none" w:sz="0" w:space="0" w:color="auto"/>
                <w:lang w:eastAsia="en-NZ"/>
              </w:rPr>
              <w:t xml:space="preserve"> = 0.002</w:t>
            </w:r>
          </w:p>
        </w:tc>
      </w:tr>
      <w:tr w:rsidR="007C5E42" w:rsidRPr="0043730F" w:rsidTr="00A60DC6">
        <w:trPr>
          <w:trHeight w:val="788"/>
          <w:jc w:val="center"/>
        </w:trPr>
        <w:tc>
          <w:tcPr>
            <w:tcW w:w="5565" w:type="dxa"/>
            <w:shd w:val="clear" w:color="auto" w:fill="auto"/>
            <w:tcMar>
              <w:top w:w="15" w:type="dxa"/>
              <w:left w:w="108" w:type="dxa"/>
              <w:bottom w:w="0" w:type="dxa"/>
              <w:right w:w="108" w:type="dxa"/>
            </w:tcMar>
            <w:vAlign w:val="center"/>
            <w:hideMark/>
          </w:tcPr>
          <w:p w:rsidR="007C5E42" w:rsidRPr="004F4C26" w:rsidRDefault="007C5E42" w:rsidP="00A60D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sidRPr="004F4C26">
              <w:rPr>
                <w:color w:val="000000" w:themeColor="text1"/>
                <w:kern w:val="24"/>
                <w:sz w:val="20"/>
                <w:szCs w:val="20"/>
                <w:bdr w:val="none" w:sz="0" w:space="0" w:color="auto"/>
                <w:lang w:eastAsia="en-NZ"/>
              </w:rPr>
              <w:t>School enrolled at conception</w:t>
            </w:r>
          </w:p>
        </w:tc>
        <w:tc>
          <w:tcPr>
            <w:tcW w:w="3912" w:type="dxa"/>
            <w:shd w:val="clear" w:color="auto" w:fill="auto"/>
            <w:tcMar>
              <w:top w:w="15" w:type="dxa"/>
              <w:left w:w="108" w:type="dxa"/>
              <w:bottom w:w="0" w:type="dxa"/>
              <w:right w:w="108" w:type="dxa"/>
            </w:tcMar>
            <w:vAlign w:val="center"/>
            <w:hideMark/>
          </w:tcPr>
          <w:p w:rsidR="007C5E42" w:rsidRPr="004F4C26" w:rsidRDefault="007C5E42" w:rsidP="00A60D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sidRPr="004F4C26">
              <w:rPr>
                <w:sz w:val="20"/>
                <w:szCs w:val="20"/>
              </w:rPr>
              <w:t xml:space="preserve"> </w:t>
            </w:r>
            <w:r w:rsidRPr="004F4C26">
              <w:rPr>
                <w:color w:val="000000" w:themeColor="text1"/>
                <w:kern w:val="24"/>
                <w:sz w:val="20"/>
                <w:szCs w:val="20"/>
                <w:bdr w:val="none" w:sz="0" w:space="0" w:color="auto"/>
                <w:lang w:eastAsia="en-NZ"/>
              </w:rPr>
              <w:t>265</w:t>
            </w:r>
            <w:r w:rsidRPr="00021F2A">
              <w:rPr>
                <w:color w:val="000000" w:themeColor="text1"/>
                <w:kern w:val="24"/>
                <w:sz w:val="20"/>
                <w:szCs w:val="20"/>
                <w:bdr w:val="none" w:sz="0" w:space="0" w:color="auto"/>
                <w:vertAlign w:val="superscript"/>
                <w:lang w:eastAsia="en-NZ"/>
              </w:rPr>
              <w:t>***</w:t>
            </w:r>
          </w:p>
          <w:p w:rsidR="007C5E42" w:rsidRPr="004F4C26" w:rsidRDefault="007C5E42" w:rsidP="00A60D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sidRPr="004F4C26">
              <w:rPr>
                <w:color w:val="000000" w:themeColor="text1"/>
                <w:kern w:val="24"/>
                <w:sz w:val="20"/>
                <w:szCs w:val="20"/>
                <w:bdr w:val="none" w:sz="0" w:space="0" w:color="auto"/>
                <w:lang w:eastAsia="en-NZ"/>
              </w:rPr>
              <w:t>[0.235  0.296]</w:t>
            </w:r>
          </w:p>
          <w:p w:rsidR="007C5E42" w:rsidRPr="004F4C26" w:rsidRDefault="007C5E42" w:rsidP="00A60D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sidRPr="00021F2A">
              <w:rPr>
                <w:i/>
                <w:color w:val="000000" w:themeColor="text1"/>
                <w:kern w:val="24"/>
                <w:sz w:val="20"/>
                <w:szCs w:val="20"/>
                <w:bdr w:val="none" w:sz="0" w:space="0" w:color="auto"/>
                <w:lang w:eastAsia="en-NZ"/>
              </w:rPr>
              <w:t>p</w:t>
            </w:r>
            <w:r w:rsidRPr="004F4C26">
              <w:rPr>
                <w:color w:val="000000" w:themeColor="text1"/>
                <w:kern w:val="24"/>
                <w:sz w:val="20"/>
                <w:szCs w:val="20"/>
                <w:bdr w:val="none" w:sz="0" w:space="0" w:color="auto"/>
                <w:lang w:eastAsia="en-NZ"/>
              </w:rPr>
              <w:t xml:space="preserve"> = 0.000</w:t>
            </w:r>
          </w:p>
        </w:tc>
      </w:tr>
      <w:tr w:rsidR="007C5E42" w:rsidRPr="0043730F" w:rsidTr="00A60DC6">
        <w:trPr>
          <w:trHeight w:val="397"/>
          <w:jc w:val="center"/>
        </w:trPr>
        <w:tc>
          <w:tcPr>
            <w:tcW w:w="5565" w:type="dxa"/>
            <w:shd w:val="clear" w:color="auto" w:fill="auto"/>
            <w:tcMar>
              <w:top w:w="15" w:type="dxa"/>
              <w:left w:w="108" w:type="dxa"/>
              <w:bottom w:w="0" w:type="dxa"/>
              <w:right w:w="108" w:type="dxa"/>
            </w:tcMar>
            <w:vAlign w:val="center"/>
            <w:hideMark/>
          </w:tcPr>
          <w:p w:rsidR="007C5E42" w:rsidRPr="00021F2A" w:rsidRDefault="007C5E42" w:rsidP="00A60D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i/>
                <w:sz w:val="20"/>
                <w:szCs w:val="20"/>
                <w:bdr w:val="none" w:sz="0" w:space="0" w:color="auto"/>
                <w:lang w:val="en-NZ" w:eastAsia="en-NZ"/>
              </w:rPr>
            </w:pPr>
            <w:r w:rsidRPr="00021F2A">
              <w:rPr>
                <w:i/>
                <w:color w:val="000000" w:themeColor="text1"/>
                <w:kern w:val="24"/>
                <w:sz w:val="20"/>
                <w:szCs w:val="20"/>
                <w:bdr w:val="none" w:sz="0" w:space="0" w:color="auto"/>
                <w:lang w:val="en-NZ" w:eastAsia="en-NZ"/>
              </w:rPr>
              <w:t>n</w:t>
            </w:r>
          </w:p>
        </w:tc>
        <w:tc>
          <w:tcPr>
            <w:tcW w:w="3912" w:type="dxa"/>
            <w:shd w:val="clear" w:color="auto" w:fill="auto"/>
            <w:tcMar>
              <w:top w:w="15" w:type="dxa"/>
              <w:left w:w="108" w:type="dxa"/>
              <w:bottom w:w="0" w:type="dxa"/>
              <w:right w:w="108" w:type="dxa"/>
            </w:tcMar>
            <w:vAlign w:val="center"/>
            <w:hideMark/>
          </w:tcPr>
          <w:p w:rsidR="007C5E42" w:rsidRPr="004F4C26" w:rsidRDefault="007C5E42" w:rsidP="00A60D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sidRPr="004F4C26">
              <w:rPr>
                <w:rFonts w:eastAsiaTheme="minorEastAsia"/>
                <w:color w:val="000000" w:themeColor="text1"/>
                <w:kern w:val="24"/>
                <w:sz w:val="20"/>
                <w:szCs w:val="20"/>
                <w:bdr w:val="none" w:sz="0" w:space="0" w:color="auto"/>
                <w:lang w:val="en-NZ" w:eastAsia="en-NZ"/>
              </w:rPr>
              <w:t>5,625</w:t>
            </w:r>
          </w:p>
        </w:tc>
      </w:tr>
    </w:tbl>
    <w:p w:rsidR="007C5E42" w:rsidRDefault="007C5E42" w:rsidP="007C5E42">
      <w:pPr>
        <w:widowControl w:val="0"/>
        <w:autoSpaceDE w:val="0"/>
        <w:autoSpaceDN w:val="0"/>
        <w:adjustRightInd w:val="0"/>
        <w:jc w:val="both"/>
        <w:rPr>
          <w:i/>
          <w:sz w:val="20"/>
          <w:szCs w:val="20"/>
        </w:rPr>
      </w:pPr>
    </w:p>
    <w:p w:rsidR="007C5E42" w:rsidRPr="008309BD" w:rsidRDefault="007C5E42" w:rsidP="007C5E42">
      <w:pPr>
        <w:widowControl w:val="0"/>
        <w:autoSpaceDE w:val="0"/>
        <w:autoSpaceDN w:val="0"/>
        <w:adjustRightInd w:val="0"/>
        <w:jc w:val="both"/>
        <w:rPr>
          <w:sz w:val="20"/>
          <w:szCs w:val="20"/>
          <w:lang w:val="en-NZ"/>
        </w:rPr>
      </w:pPr>
      <w:r w:rsidRPr="00994E2A">
        <w:rPr>
          <w:i/>
          <w:sz w:val="20"/>
          <w:szCs w:val="20"/>
        </w:rPr>
        <w:t>Notes</w:t>
      </w:r>
      <w:r w:rsidRPr="00994E2A">
        <w:rPr>
          <w:sz w:val="20"/>
          <w:szCs w:val="20"/>
        </w:rPr>
        <w:t xml:space="preserve">; </w:t>
      </w:r>
      <w:r w:rsidRPr="00021F2A">
        <w:rPr>
          <w:sz w:val="20"/>
          <w:szCs w:val="20"/>
          <w:vertAlign w:val="superscript"/>
        </w:rPr>
        <w:t>*</w:t>
      </w:r>
      <w:r w:rsidRPr="00994E2A">
        <w:rPr>
          <w:sz w:val="20"/>
          <w:szCs w:val="20"/>
        </w:rPr>
        <w:t xml:space="preserve"> </w:t>
      </w:r>
      <w:r w:rsidRPr="00994E2A">
        <w:rPr>
          <w:i/>
          <w:iCs/>
          <w:sz w:val="20"/>
          <w:szCs w:val="20"/>
        </w:rPr>
        <w:t>p</w:t>
      </w:r>
      <w:r w:rsidRPr="00994E2A">
        <w:rPr>
          <w:sz w:val="20"/>
          <w:szCs w:val="20"/>
        </w:rPr>
        <w:t xml:space="preserve"> &lt; 0.10, </w:t>
      </w:r>
      <w:r w:rsidRPr="00021F2A">
        <w:rPr>
          <w:sz w:val="20"/>
          <w:szCs w:val="20"/>
          <w:vertAlign w:val="superscript"/>
        </w:rPr>
        <w:t>**</w:t>
      </w:r>
      <w:r w:rsidRPr="00994E2A">
        <w:rPr>
          <w:sz w:val="20"/>
          <w:szCs w:val="20"/>
        </w:rPr>
        <w:t xml:space="preserve"> </w:t>
      </w:r>
      <w:r w:rsidRPr="00994E2A">
        <w:rPr>
          <w:i/>
          <w:iCs/>
          <w:sz w:val="20"/>
          <w:szCs w:val="20"/>
        </w:rPr>
        <w:t>p</w:t>
      </w:r>
      <w:r w:rsidRPr="00994E2A">
        <w:rPr>
          <w:sz w:val="20"/>
          <w:szCs w:val="20"/>
        </w:rPr>
        <w:t xml:space="preserve"> &lt; 0.05, </w:t>
      </w:r>
      <w:r w:rsidRPr="00021F2A">
        <w:rPr>
          <w:sz w:val="20"/>
          <w:szCs w:val="20"/>
          <w:vertAlign w:val="superscript"/>
        </w:rPr>
        <w:t>***</w:t>
      </w:r>
      <w:r w:rsidRPr="00994E2A">
        <w:rPr>
          <w:sz w:val="20"/>
          <w:szCs w:val="20"/>
        </w:rPr>
        <w:t xml:space="preserve"> </w:t>
      </w:r>
      <w:r w:rsidRPr="00994E2A">
        <w:rPr>
          <w:i/>
          <w:iCs/>
          <w:sz w:val="20"/>
          <w:szCs w:val="20"/>
        </w:rPr>
        <w:t>p</w:t>
      </w:r>
      <w:r w:rsidRPr="00994E2A">
        <w:rPr>
          <w:sz w:val="20"/>
          <w:szCs w:val="20"/>
        </w:rPr>
        <w:t xml:space="preserve"> &lt; 0.01. </w:t>
      </w:r>
      <w:r>
        <w:rPr>
          <w:sz w:val="20"/>
          <w:szCs w:val="20"/>
        </w:rPr>
        <w:t xml:space="preserve">Study sample of </w:t>
      </w:r>
      <w:r w:rsidRPr="00971CC5">
        <w:rPr>
          <w:sz w:val="20"/>
          <w:szCs w:val="20"/>
        </w:rPr>
        <w:t>young wom</w:t>
      </w:r>
      <w:r w:rsidR="005B08D4">
        <w:rPr>
          <w:sz w:val="20"/>
          <w:szCs w:val="20"/>
        </w:rPr>
        <w:t>e</w:t>
      </w:r>
      <w:r w:rsidRPr="00971CC5">
        <w:rPr>
          <w:sz w:val="20"/>
          <w:szCs w:val="20"/>
        </w:rPr>
        <w:t xml:space="preserve">n </w:t>
      </w:r>
      <w:r>
        <w:rPr>
          <w:sz w:val="20"/>
          <w:szCs w:val="20"/>
        </w:rPr>
        <w:t xml:space="preserve">in cohorts born </w:t>
      </w:r>
      <w:r w:rsidRPr="00971CC5">
        <w:rPr>
          <w:sz w:val="20"/>
          <w:szCs w:val="20"/>
        </w:rPr>
        <w:t>between 1 Jan 1991 and 31 December 1994 and enrolled in a New Zealand school for at least one day between the start of ENROL in 2006 and 1 January 2008</w:t>
      </w:r>
      <w:r>
        <w:rPr>
          <w:sz w:val="20"/>
          <w:szCs w:val="20"/>
        </w:rPr>
        <w:t xml:space="preserve"> and who recorded a live birth between 13</w:t>
      </w:r>
      <w:r w:rsidRPr="00043454">
        <w:rPr>
          <w:sz w:val="20"/>
          <w:szCs w:val="20"/>
          <w:vertAlign w:val="superscript"/>
        </w:rPr>
        <w:t>th</w:t>
      </w:r>
      <w:r>
        <w:rPr>
          <w:sz w:val="20"/>
          <w:szCs w:val="20"/>
        </w:rPr>
        <w:t xml:space="preserve"> and 19</w:t>
      </w:r>
      <w:r w:rsidRPr="00043454">
        <w:rPr>
          <w:sz w:val="20"/>
          <w:szCs w:val="20"/>
          <w:vertAlign w:val="superscript"/>
        </w:rPr>
        <w:t>th</w:t>
      </w:r>
      <w:r>
        <w:rPr>
          <w:sz w:val="20"/>
          <w:szCs w:val="20"/>
        </w:rPr>
        <w:t xml:space="preserve"> birthday in the MoH maternity data. </w:t>
      </w:r>
      <w:r w:rsidRPr="009156BF">
        <w:rPr>
          <w:sz w:val="20"/>
          <w:szCs w:val="20"/>
        </w:rPr>
        <w:t>Individuals whose distance from TPU is missing</w:t>
      </w:r>
      <w:r>
        <w:rPr>
          <w:sz w:val="20"/>
          <w:szCs w:val="20"/>
        </w:rPr>
        <w:t xml:space="preserve"> (n = 954) and where MoE local office is missing (n = 123) and age of mother predicts perfectly (n = 9) were</w:t>
      </w:r>
      <w:r w:rsidRPr="009156BF">
        <w:rPr>
          <w:sz w:val="20"/>
          <w:szCs w:val="20"/>
        </w:rPr>
        <w:t xml:space="preserve"> excluded from the </w:t>
      </w:r>
      <w:r>
        <w:rPr>
          <w:sz w:val="20"/>
          <w:szCs w:val="20"/>
        </w:rPr>
        <w:t>regression</w:t>
      </w:r>
      <w:r w:rsidRPr="009156BF">
        <w:rPr>
          <w:sz w:val="20"/>
          <w:szCs w:val="20"/>
        </w:rPr>
        <w:t xml:space="preserve">. Other controls are ethnicity, cohort, rurality, </w:t>
      </w:r>
      <w:r>
        <w:rPr>
          <w:sz w:val="20"/>
          <w:szCs w:val="20"/>
        </w:rPr>
        <w:t xml:space="preserve">age of mother at birth of first child, MoE </w:t>
      </w:r>
      <w:r w:rsidRPr="009156BF">
        <w:rPr>
          <w:sz w:val="20"/>
          <w:szCs w:val="20"/>
        </w:rPr>
        <w:t xml:space="preserve">local office, </w:t>
      </w:r>
      <w:r>
        <w:rPr>
          <w:sz w:val="20"/>
          <w:szCs w:val="20"/>
        </w:rPr>
        <w:t xml:space="preserve">indicators of CYF placement prior to birth of child and CYF Youth Justice referral prior to birth of child, </w:t>
      </w:r>
      <w:r w:rsidRPr="009156BF">
        <w:rPr>
          <w:sz w:val="20"/>
          <w:szCs w:val="20"/>
        </w:rPr>
        <w:t xml:space="preserve">total days on benefit </w:t>
      </w:r>
      <w:r>
        <w:rPr>
          <w:sz w:val="20"/>
          <w:szCs w:val="20"/>
        </w:rPr>
        <w:t>in first</w:t>
      </w:r>
      <w:r w:rsidRPr="009156BF">
        <w:rPr>
          <w:sz w:val="20"/>
          <w:szCs w:val="20"/>
        </w:rPr>
        <w:t xml:space="preserve"> 5 years</w:t>
      </w:r>
      <w:r>
        <w:rPr>
          <w:sz w:val="20"/>
          <w:szCs w:val="20"/>
        </w:rPr>
        <w:t xml:space="preserve"> of life</w:t>
      </w:r>
      <w:r w:rsidRPr="009156BF">
        <w:rPr>
          <w:sz w:val="20"/>
          <w:szCs w:val="20"/>
        </w:rPr>
        <w:t>, school size</w:t>
      </w:r>
      <w:r>
        <w:rPr>
          <w:sz w:val="20"/>
          <w:szCs w:val="20"/>
        </w:rPr>
        <w:t>, and school decile ranking (equaling 1 to 3 vs. 4 or greater</w:t>
      </w:r>
      <w:r w:rsidRPr="008309BD">
        <w:rPr>
          <w:sz w:val="20"/>
          <w:szCs w:val="20"/>
        </w:rPr>
        <w:t>).  This table only reports some of the key findings from this analysis.</w:t>
      </w:r>
      <w:r w:rsidRPr="008309BD">
        <w:rPr>
          <w:rFonts w:eastAsiaTheme="minorEastAsia"/>
          <w:color w:val="000000" w:themeColor="text1"/>
          <w:kern w:val="24"/>
          <w:sz w:val="20"/>
          <w:szCs w:val="20"/>
          <w:bdr w:val="none" w:sz="0" w:space="0" w:color="auto"/>
          <w:lang w:val="en-NZ" w:eastAsia="en-NZ"/>
        </w:rPr>
        <w:t xml:space="preserve"> A full set of regression results can be found in </w:t>
      </w:r>
      <w:r>
        <w:rPr>
          <w:rFonts w:eastAsiaTheme="minorEastAsia"/>
          <w:color w:val="000000" w:themeColor="text1"/>
          <w:kern w:val="24"/>
          <w:sz w:val="20"/>
          <w:szCs w:val="20"/>
          <w:bdr w:val="none" w:sz="0" w:space="0" w:color="auto"/>
          <w:lang w:val="en-NZ" w:eastAsia="en-NZ"/>
        </w:rPr>
        <w:t xml:space="preserve">Appendix </w:t>
      </w:r>
      <w:r w:rsidRPr="008309BD">
        <w:rPr>
          <w:rFonts w:eastAsiaTheme="minorEastAsia"/>
          <w:color w:val="000000" w:themeColor="text1"/>
          <w:kern w:val="24"/>
          <w:sz w:val="20"/>
          <w:szCs w:val="20"/>
          <w:bdr w:val="none" w:sz="0" w:space="0" w:color="auto"/>
          <w:lang w:val="en-NZ" w:eastAsia="en-NZ"/>
        </w:rPr>
        <w:t xml:space="preserve">Table </w:t>
      </w:r>
      <w:r>
        <w:rPr>
          <w:rFonts w:eastAsiaTheme="minorEastAsia"/>
          <w:color w:val="000000" w:themeColor="text1"/>
          <w:kern w:val="24"/>
          <w:sz w:val="20"/>
          <w:szCs w:val="20"/>
          <w:bdr w:val="none" w:sz="0" w:space="0" w:color="auto"/>
          <w:lang w:val="en-NZ" w:eastAsia="en-NZ"/>
        </w:rPr>
        <w:t>2</w:t>
      </w:r>
      <w:r w:rsidRPr="008309BD">
        <w:rPr>
          <w:rFonts w:eastAsiaTheme="minorEastAsia"/>
          <w:color w:val="000000" w:themeColor="text1"/>
          <w:kern w:val="24"/>
          <w:sz w:val="20"/>
          <w:szCs w:val="20"/>
          <w:bdr w:val="none" w:sz="0" w:space="0" w:color="auto"/>
          <w:lang w:val="en-NZ" w:eastAsia="en-NZ"/>
        </w:rPr>
        <w:t>.</w:t>
      </w:r>
    </w:p>
    <w:p w:rsidR="002220E4" w:rsidRDefault="007C5E42" w:rsidP="00673FB8">
      <w:pPr>
        <w:spacing w:line="360" w:lineRule="auto"/>
        <w:jc w:val="both"/>
      </w:pPr>
      <w:bookmarkStart w:id="32" w:name="_Ref453079983"/>
      <w:r>
        <w:br w:type="page"/>
      </w:r>
      <w:bookmarkEnd w:id="32"/>
      <w:r w:rsidR="005C6C22" w:rsidRPr="005C6C22">
        <w:fldChar w:fldCharType="begin"/>
      </w:r>
      <w:r w:rsidR="005C6C22" w:rsidRPr="005C6C22">
        <w:instrText xml:space="preserve"> REF _Ref453079983 \h  \* MERGEFORMAT </w:instrText>
      </w:r>
      <w:r w:rsidR="005C6C22" w:rsidRPr="005C6C22">
        <w:fldChar w:fldCharType="separate"/>
      </w:r>
      <w:r w:rsidR="00C508A3" w:rsidRPr="00D57003">
        <w:rPr>
          <w:noProof/>
        </w:rPr>
        <w:t>Table</w:t>
      </w:r>
      <w:r w:rsidR="00C508A3" w:rsidRPr="00D57003">
        <w:t xml:space="preserve"> </w:t>
      </w:r>
      <w:r w:rsidR="00C508A3">
        <w:rPr>
          <w:noProof/>
        </w:rPr>
        <w:t>8</w:t>
      </w:r>
      <w:r w:rsidR="005C6C22" w:rsidRPr="005C6C22">
        <w:fldChar w:fldCharType="end"/>
      </w:r>
      <w:r w:rsidR="005C6C22" w:rsidRPr="005C6C22">
        <w:t xml:space="preserve"> </w:t>
      </w:r>
      <w:r w:rsidR="00477044" w:rsidRPr="005C6C22">
        <w:t>reports</w:t>
      </w:r>
      <w:r w:rsidR="00477044" w:rsidRPr="00B12C8E">
        <w:t xml:space="preserve"> on the </w:t>
      </w:r>
      <w:r w:rsidR="006817EC">
        <w:t xml:space="preserve">key </w:t>
      </w:r>
      <w:r w:rsidR="00477044" w:rsidRPr="00B12C8E">
        <w:t xml:space="preserve">regression results </w:t>
      </w:r>
      <w:r w:rsidR="006131DC" w:rsidRPr="00B12C8E">
        <w:t xml:space="preserve">for </w:t>
      </w:r>
      <w:r w:rsidR="00673FB8">
        <w:t xml:space="preserve">estimated </w:t>
      </w:r>
      <w:r w:rsidR="006131DC" w:rsidRPr="00B12C8E">
        <w:t xml:space="preserve">completion of </w:t>
      </w:r>
      <w:r w:rsidR="00DB075E" w:rsidRPr="00B12C8E">
        <w:t>NCEA</w:t>
      </w:r>
      <w:r w:rsidR="005A323F" w:rsidRPr="00B12C8E">
        <w:t xml:space="preserve"> </w:t>
      </w:r>
      <w:r w:rsidR="00144554">
        <w:t>L</w:t>
      </w:r>
      <w:r w:rsidR="0069078A">
        <w:t xml:space="preserve">evel 1 </w:t>
      </w:r>
      <w:r w:rsidR="00E71FCD">
        <w:t xml:space="preserve">and </w:t>
      </w:r>
      <w:r w:rsidR="0069078A">
        <w:t xml:space="preserve">2 </w:t>
      </w:r>
      <w:r w:rsidR="00E71FCD">
        <w:t xml:space="preserve">qualifications </w:t>
      </w:r>
      <w:r w:rsidR="005A323F" w:rsidRPr="00B12C8E">
        <w:t>by the end of the year in which the young woman turned 19</w:t>
      </w:r>
      <w:r w:rsidR="00DB075E" w:rsidRPr="00B12C8E">
        <w:t xml:space="preserve">. We only consider young women who </w:t>
      </w:r>
      <w:r w:rsidR="0095165C" w:rsidRPr="00B12C8E">
        <w:t xml:space="preserve">had not </w:t>
      </w:r>
      <w:r w:rsidR="007E2364" w:rsidRPr="00B12C8E">
        <w:t xml:space="preserve">yet </w:t>
      </w:r>
      <w:r w:rsidR="00154C57" w:rsidRPr="00B12C8E">
        <w:t>attained sufficient credits to gain the</w:t>
      </w:r>
      <w:r w:rsidR="00E71FCD">
        <w:t>se</w:t>
      </w:r>
      <w:r w:rsidR="00DB075E" w:rsidRPr="00B12C8E">
        <w:t xml:space="preserve"> qualification</w:t>
      </w:r>
      <w:r w:rsidR="00E71FCD">
        <w:t>s</w:t>
      </w:r>
      <w:r w:rsidR="00DB075E" w:rsidRPr="00B12C8E">
        <w:t xml:space="preserve"> </w:t>
      </w:r>
      <w:r w:rsidR="00AB143F">
        <w:t>by the e</w:t>
      </w:r>
      <w:r w:rsidR="00BD449F">
        <w:t>n</w:t>
      </w:r>
      <w:r w:rsidR="00AB143F">
        <w:t xml:space="preserve">d of </w:t>
      </w:r>
      <w:r w:rsidR="00154C57" w:rsidRPr="00B12C8E">
        <w:t xml:space="preserve">the year in which </w:t>
      </w:r>
      <w:r w:rsidR="00D24AFE">
        <w:t>they</w:t>
      </w:r>
      <w:r w:rsidR="00D24AFE" w:rsidRPr="00B12C8E">
        <w:t xml:space="preserve"> </w:t>
      </w:r>
      <w:r w:rsidR="00154C57" w:rsidRPr="00B12C8E">
        <w:t>gave</w:t>
      </w:r>
      <w:r w:rsidR="00477044" w:rsidRPr="00B12C8E">
        <w:t xml:space="preserve"> birth.</w:t>
      </w:r>
      <w:r w:rsidR="00673FB8">
        <w:rPr>
          <w:rStyle w:val="FootnoteReference"/>
        </w:rPr>
        <w:footnoteReference w:id="21"/>
      </w:r>
      <w:r w:rsidR="002220E4" w:rsidRPr="00B12C8E">
        <w:t xml:space="preserve"> </w:t>
      </w:r>
    </w:p>
    <w:p w:rsidR="00673FB8" w:rsidRDefault="00673FB8" w:rsidP="00673FB8">
      <w:pPr>
        <w:spacing w:line="360" w:lineRule="auto"/>
        <w:jc w:val="both"/>
      </w:pPr>
    </w:p>
    <w:p w:rsidR="007C5E42" w:rsidRPr="00D57003" w:rsidRDefault="007C5E42" w:rsidP="007C5E42">
      <w:pPr>
        <w:pStyle w:val="Caption"/>
        <w:keepNext/>
        <w:spacing w:after="120"/>
        <w:jc w:val="center"/>
        <w:rPr>
          <w:i/>
          <w:szCs w:val="24"/>
        </w:rPr>
      </w:pPr>
      <w:bookmarkStart w:id="33" w:name="_Toc462736180"/>
      <w:bookmarkStart w:id="34" w:name="_Toc475430720"/>
      <w:r w:rsidRPr="00D57003">
        <w:t xml:space="preserve">Table </w:t>
      </w:r>
      <w:r>
        <w:fldChar w:fldCharType="begin"/>
      </w:r>
      <w:r>
        <w:instrText xml:space="preserve"> SEQ Table \* ARABIC </w:instrText>
      </w:r>
      <w:r>
        <w:fldChar w:fldCharType="separate"/>
      </w:r>
      <w:r>
        <w:rPr>
          <w:noProof/>
        </w:rPr>
        <w:t>8</w:t>
      </w:r>
      <w:r>
        <w:fldChar w:fldCharType="end"/>
      </w:r>
      <w:r w:rsidRPr="00D57003">
        <w:t xml:space="preserve">: </w:t>
      </w:r>
      <w:r w:rsidRPr="00D57003">
        <w:rPr>
          <w:szCs w:val="24"/>
        </w:rPr>
        <w:t xml:space="preserve">Marginal effects on probability of </w:t>
      </w:r>
      <w:r>
        <w:rPr>
          <w:szCs w:val="24"/>
        </w:rPr>
        <w:t xml:space="preserve">teen mothers </w:t>
      </w:r>
      <w:r w:rsidRPr="00D57003">
        <w:rPr>
          <w:szCs w:val="24"/>
        </w:rPr>
        <w:t xml:space="preserve">completing NCEA Level 1 </w:t>
      </w:r>
      <w:r>
        <w:rPr>
          <w:szCs w:val="24"/>
        </w:rPr>
        <w:t xml:space="preserve">and </w:t>
      </w:r>
      <w:r w:rsidRPr="00D57003">
        <w:rPr>
          <w:szCs w:val="24"/>
        </w:rPr>
        <w:t>2</w:t>
      </w:r>
      <w:r>
        <w:rPr>
          <w:szCs w:val="24"/>
        </w:rPr>
        <w:t xml:space="preserve"> qualifications</w:t>
      </w:r>
      <w:r w:rsidRPr="00D57003">
        <w:rPr>
          <w:szCs w:val="24"/>
        </w:rPr>
        <w:t>, sub-samples without the qualification before the end of the year of their first birth</w:t>
      </w:r>
      <w:bookmarkEnd w:id="33"/>
      <w:bookmarkEnd w:id="34"/>
    </w:p>
    <w:tbl>
      <w:tblPr>
        <w:tblStyle w:val="TableGrid"/>
        <w:tblW w:w="7650" w:type="dxa"/>
        <w:jc w:val="center"/>
        <w:tblBorders>
          <w:left w:val="none" w:sz="0" w:space="0" w:color="auto"/>
          <w:right w:val="none" w:sz="0" w:space="0" w:color="auto"/>
        </w:tblBorders>
        <w:tblLook w:val="0600" w:firstRow="0" w:lastRow="0" w:firstColumn="0" w:lastColumn="0" w:noHBand="1" w:noVBand="1"/>
      </w:tblPr>
      <w:tblGrid>
        <w:gridCol w:w="3627"/>
        <w:gridCol w:w="1898"/>
        <w:gridCol w:w="2125"/>
      </w:tblGrid>
      <w:tr w:rsidR="007C5E42" w:rsidRPr="00CD0F1E" w:rsidTr="00A60DC6">
        <w:trPr>
          <w:trHeight w:val="579"/>
          <w:jc w:val="center"/>
        </w:trPr>
        <w:tc>
          <w:tcPr>
            <w:tcW w:w="3627" w:type="dxa"/>
            <w:vAlign w:val="bottom"/>
            <w:hideMark/>
          </w:tcPr>
          <w:p w:rsidR="007C5E42" w:rsidRPr="004F4C26" w:rsidRDefault="007C5E42" w:rsidP="00A60DC6">
            <w:pPr>
              <w:widowControl w:val="0"/>
              <w:autoSpaceDE w:val="0"/>
              <w:autoSpaceDN w:val="0"/>
              <w:adjustRightInd w:val="0"/>
              <w:spacing w:before="120"/>
              <w:rPr>
                <w:color w:val="000000" w:themeColor="text1"/>
                <w:kern w:val="24"/>
                <w:sz w:val="20"/>
                <w:szCs w:val="20"/>
                <w:bdr w:val="none" w:sz="0" w:space="0" w:color="auto"/>
                <w:lang w:eastAsia="en-NZ"/>
              </w:rPr>
            </w:pPr>
            <w:r w:rsidRPr="004F4C26">
              <w:rPr>
                <w:color w:val="000000" w:themeColor="text1"/>
                <w:kern w:val="24"/>
                <w:sz w:val="20"/>
                <w:szCs w:val="20"/>
                <w:bdr w:val="none" w:sz="0" w:space="0" w:color="auto"/>
                <w:lang w:eastAsia="en-NZ"/>
              </w:rPr>
              <w:t> </w:t>
            </w:r>
          </w:p>
        </w:tc>
        <w:tc>
          <w:tcPr>
            <w:tcW w:w="1898" w:type="dxa"/>
            <w:vAlign w:val="bottom"/>
            <w:hideMark/>
          </w:tcPr>
          <w:p w:rsidR="007C5E42" w:rsidRPr="004F4C26" w:rsidRDefault="007C5E42" w:rsidP="00A60DC6">
            <w:pPr>
              <w:widowControl w:val="0"/>
              <w:autoSpaceDE w:val="0"/>
              <w:autoSpaceDN w:val="0"/>
              <w:adjustRightInd w:val="0"/>
              <w:spacing w:before="120"/>
              <w:jc w:val="center"/>
              <w:rPr>
                <w:color w:val="000000" w:themeColor="text1"/>
                <w:kern w:val="24"/>
                <w:sz w:val="20"/>
                <w:szCs w:val="20"/>
                <w:bdr w:val="none" w:sz="0" w:space="0" w:color="auto"/>
                <w:lang w:eastAsia="en-NZ"/>
              </w:rPr>
            </w:pPr>
            <w:r w:rsidRPr="004F4C26">
              <w:rPr>
                <w:color w:val="000000" w:themeColor="text1"/>
                <w:kern w:val="24"/>
                <w:sz w:val="20"/>
                <w:szCs w:val="20"/>
                <w:bdr w:val="none" w:sz="0" w:space="0" w:color="auto"/>
                <w:lang w:eastAsia="en-NZ"/>
              </w:rPr>
              <w:t>NCEA Level 1</w:t>
            </w:r>
          </w:p>
        </w:tc>
        <w:tc>
          <w:tcPr>
            <w:tcW w:w="2125" w:type="dxa"/>
            <w:vAlign w:val="bottom"/>
          </w:tcPr>
          <w:p w:rsidR="007C5E42" w:rsidRPr="004F4C26" w:rsidRDefault="007C5E42" w:rsidP="00A60DC6">
            <w:pPr>
              <w:widowControl w:val="0"/>
              <w:autoSpaceDE w:val="0"/>
              <w:autoSpaceDN w:val="0"/>
              <w:adjustRightInd w:val="0"/>
              <w:spacing w:before="120"/>
              <w:jc w:val="center"/>
              <w:rPr>
                <w:color w:val="000000" w:themeColor="text1"/>
                <w:kern w:val="24"/>
                <w:sz w:val="20"/>
                <w:szCs w:val="20"/>
                <w:bdr w:val="none" w:sz="0" w:space="0" w:color="auto"/>
                <w:lang w:eastAsia="en-NZ"/>
              </w:rPr>
            </w:pPr>
            <w:r w:rsidRPr="004F4C26">
              <w:rPr>
                <w:color w:val="000000" w:themeColor="text1"/>
                <w:kern w:val="24"/>
                <w:sz w:val="20"/>
                <w:szCs w:val="20"/>
                <w:bdr w:val="none" w:sz="0" w:space="0" w:color="auto"/>
                <w:lang w:eastAsia="en-NZ"/>
              </w:rPr>
              <w:t>NCEA Level 2</w:t>
            </w:r>
          </w:p>
        </w:tc>
      </w:tr>
      <w:tr w:rsidR="007C5E42" w:rsidRPr="00CD0F1E" w:rsidTr="00A60DC6">
        <w:trPr>
          <w:trHeight w:val="1077"/>
          <w:jc w:val="center"/>
        </w:trPr>
        <w:tc>
          <w:tcPr>
            <w:tcW w:w="3627" w:type="dxa"/>
            <w:vAlign w:val="center"/>
            <w:hideMark/>
          </w:tcPr>
          <w:p w:rsidR="007C5E42" w:rsidRPr="004F4C26" w:rsidRDefault="007C5E42" w:rsidP="00A60DC6">
            <w:pPr>
              <w:widowControl w:val="0"/>
              <w:autoSpaceDE w:val="0"/>
              <w:autoSpaceDN w:val="0"/>
              <w:adjustRightInd w:val="0"/>
              <w:spacing w:before="120"/>
              <w:jc w:val="center"/>
              <w:rPr>
                <w:color w:val="000000" w:themeColor="text1"/>
                <w:kern w:val="24"/>
                <w:sz w:val="20"/>
                <w:szCs w:val="20"/>
                <w:bdr w:val="none" w:sz="0" w:space="0" w:color="auto"/>
                <w:lang w:eastAsia="en-NZ"/>
              </w:rPr>
            </w:pPr>
            <w:r w:rsidRPr="004F4C26">
              <w:rPr>
                <w:color w:val="000000" w:themeColor="text1"/>
                <w:kern w:val="24"/>
                <w:sz w:val="20"/>
                <w:szCs w:val="20"/>
                <w:bdr w:val="none" w:sz="0" w:space="0" w:color="auto"/>
                <w:lang w:eastAsia="en-NZ"/>
              </w:rPr>
              <w:t xml:space="preserve">Distance of young woman’s pre-conception school to TPU&lt;20 km </w:t>
            </w:r>
            <m:oMath>
              <m:r>
                <m:rPr>
                  <m:sty m:val="p"/>
                </m:rPr>
                <w:rPr>
                  <w:rFonts w:ascii="Cambria Math" w:hAnsi="Cambria Math"/>
                  <w:color w:val="000000" w:themeColor="text1"/>
                  <w:kern w:val="24"/>
                  <w:sz w:val="20"/>
                  <w:szCs w:val="20"/>
                  <w:bdr w:val="none" w:sz="0" w:space="0" w:color="auto"/>
                  <w:lang w:eastAsia="en-NZ"/>
                </w:rPr>
                <m:t>(</m:t>
              </m:r>
              <m:r>
                <m:rPr>
                  <m:sty m:val="p"/>
                </m:rPr>
                <w:rPr>
                  <w:rFonts w:ascii="Cambria Math" w:hAnsi="Cambria Math" w:hint="eastAsia"/>
                  <w:color w:val="000000" w:themeColor="text1"/>
                  <w:kern w:val="24"/>
                  <w:sz w:val="20"/>
                  <w:szCs w:val="20"/>
                  <w:bdr w:val="none" w:sz="0" w:space="0" w:color="auto"/>
                  <w:lang w:eastAsia="en-NZ"/>
                </w:rPr>
                <m:t> </m:t>
              </m:r>
              <m:r>
                <w:rPr>
                  <w:rFonts w:ascii="Cambria Math" w:hAnsi="Cambria Math"/>
                  <w:color w:val="000000" w:themeColor="text1"/>
                  <w:kern w:val="24"/>
                  <w:sz w:val="20"/>
                  <w:szCs w:val="20"/>
                  <w:bdr w:val="none" w:sz="0" w:space="0" w:color="auto"/>
                  <w:lang w:eastAsia="en-NZ"/>
                </w:rPr>
                <m:t>TP</m:t>
              </m:r>
              <m:sSub>
                <m:sSubPr>
                  <m:ctrlPr>
                    <w:rPr>
                      <w:rFonts w:ascii="Cambria Math" w:hAnsi="Cambria Math"/>
                      <w:color w:val="000000" w:themeColor="text1"/>
                      <w:kern w:val="24"/>
                      <w:sz w:val="20"/>
                      <w:szCs w:val="20"/>
                      <w:bdr w:val="none" w:sz="0" w:space="0" w:color="auto"/>
                      <w:lang w:eastAsia="en-NZ"/>
                    </w:rPr>
                  </m:ctrlPr>
                </m:sSubPr>
                <m:e>
                  <m:r>
                    <w:rPr>
                      <w:rFonts w:ascii="Cambria Math" w:hAnsi="Cambria Math"/>
                      <w:color w:val="000000" w:themeColor="text1"/>
                      <w:kern w:val="24"/>
                      <w:sz w:val="20"/>
                      <w:szCs w:val="20"/>
                      <w:bdr w:val="none" w:sz="0" w:space="0" w:color="auto"/>
                      <w:lang w:eastAsia="en-NZ"/>
                    </w:rPr>
                    <m:t>U</m:t>
                  </m:r>
                </m:e>
                <m:sub>
                  <m:r>
                    <m:rPr>
                      <m:sty m:val="p"/>
                    </m:rPr>
                    <w:rPr>
                      <w:rFonts w:ascii="Cambria Math" w:hAnsi="Cambria Math"/>
                      <w:color w:val="000000" w:themeColor="text1"/>
                      <w:kern w:val="24"/>
                      <w:sz w:val="20"/>
                      <w:szCs w:val="20"/>
                      <w:bdr w:val="none" w:sz="0" w:space="0" w:color="auto"/>
                      <w:lang w:eastAsia="en-NZ"/>
                    </w:rPr>
                    <m:t>20</m:t>
                  </m:r>
                  <m:r>
                    <w:rPr>
                      <w:rFonts w:ascii="Cambria Math" w:hAnsi="Cambria Math"/>
                      <w:color w:val="000000" w:themeColor="text1"/>
                      <w:kern w:val="24"/>
                      <w:sz w:val="20"/>
                      <w:szCs w:val="20"/>
                      <w:bdr w:val="none" w:sz="0" w:space="0" w:color="auto"/>
                      <w:lang w:eastAsia="en-NZ"/>
                    </w:rPr>
                    <m:t>KM</m:t>
                  </m:r>
                </m:sub>
              </m:sSub>
              <m:r>
                <m:rPr>
                  <m:sty m:val="p"/>
                </m:rPr>
                <w:rPr>
                  <w:rFonts w:ascii="Cambria Math" w:hAnsi="Cambria Math"/>
                  <w:color w:val="000000" w:themeColor="text1"/>
                  <w:kern w:val="24"/>
                  <w:sz w:val="20"/>
                  <w:szCs w:val="20"/>
                  <w:bdr w:val="none" w:sz="0" w:space="0" w:color="auto"/>
                  <w:lang w:eastAsia="en-NZ"/>
                </w:rPr>
                <m:t>)</m:t>
              </m:r>
            </m:oMath>
          </w:p>
        </w:tc>
        <w:tc>
          <w:tcPr>
            <w:tcW w:w="1898" w:type="dxa"/>
            <w:vAlign w:val="center"/>
            <w:hideMark/>
          </w:tcPr>
          <w:p w:rsidR="007C5E42" w:rsidRDefault="007C5E42" w:rsidP="00A60DC6">
            <w:pPr>
              <w:widowControl w:val="0"/>
              <w:autoSpaceDE w:val="0"/>
              <w:autoSpaceDN w:val="0"/>
              <w:adjustRightInd w:val="0"/>
              <w:jc w:val="center"/>
              <w:rPr>
                <w:color w:val="000000"/>
                <w:sz w:val="20"/>
                <w:szCs w:val="20"/>
              </w:rPr>
            </w:pPr>
            <w:r w:rsidRPr="004F4C26">
              <w:rPr>
                <w:color w:val="000000"/>
                <w:sz w:val="20"/>
                <w:szCs w:val="20"/>
              </w:rPr>
              <w:t>-0.016</w:t>
            </w:r>
            <w:r w:rsidRPr="004F4C26">
              <w:rPr>
                <w:color w:val="000000"/>
                <w:sz w:val="20"/>
                <w:szCs w:val="20"/>
              </w:rPr>
              <w:br/>
            </w:r>
            <w:r>
              <w:rPr>
                <w:color w:val="000000"/>
                <w:sz w:val="20"/>
                <w:szCs w:val="20"/>
              </w:rPr>
              <w:t xml:space="preserve">[-0.052 </w:t>
            </w:r>
            <w:r w:rsidRPr="004F4C26">
              <w:rPr>
                <w:color w:val="000000"/>
                <w:sz w:val="20"/>
                <w:szCs w:val="20"/>
              </w:rPr>
              <w:t>0.020]</w:t>
            </w:r>
          </w:p>
          <w:p w:rsidR="007C5E42" w:rsidRPr="004F4C26" w:rsidRDefault="007C5E42" w:rsidP="00A60DC6">
            <w:pPr>
              <w:widowControl w:val="0"/>
              <w:autoSpaceDE w:val="0"/>
              <w:autoSpaceDN w:val="0"/>
              <w:adjustRightInd w:val="0"/>
              <w:jc w:val="center"/>
              <w:rPr>
                <w:color w:val="000000" w:themeColor="text1"/>
                <w:kern w:val="24"/>
                <w:sz w:val="20"/>
                <w:szCs w:val="20"/>
                <w:bdr w:val="none" w:sz="0" w:space="0" w:color="auto"/>
                <w:lang w:eastAsia="en-NZ"/>
              </w:rPr>
            </w:pPr>
            <w:r w:rsidRPr="00E41870">
              <w:rPr>
                <w:i/>
                <w:color w:val="000000"/>
                <w:sz w:val="20"/>
                <w:szCs w:val="20"/>
              </w:rPr>
              <w:t>p</w:t>
            </w:r>
            <w:r>
              <w:rPr>
                <w:color w:val="000000"/>
                <w:sz w:val="20"/>
                <w:szCs w:val="20"/>
              </w:rPr>
              <w:t xml:space="preserve"> </w:t>
            </w:r>
            <w:r w:rsidRPr="004F4C26">
              <w:rPr>
                <w:color w:val="000000"/>
                <w:sz w:val="20"/>
                <w:szCs w:val="20"/>
              </w:rPr>
              <w:t>=</w:t>
            </w:r>
            <w:r>
              <w:rPr>
                <w:color w:val="000000"/>
                <w:sz w:val="20"/>
                <w:szCs w:val="20"/>
              </w:rPr>
              <w:t xml:space="preserve"> </w:t>
            </w:r>
            <w:r w:rsidRPr="004F4C26">
              <w:rPr>
                <w:color w:val="000000"/>
                <w:sz w:val="20"/>
                <w:szCs w:val="20"/>
              </w:rPr>
              <w:t>0.39</w:t>
            </w:r>
            <w:r>
              <w:rPr>
                <w:color w:val="000000"/>
                <w:sz w:val="20"/>
                <w:szCs w:val="20"/>
              </w:rPr>
              <w:t>0</w:t>
            </w:r>
          </w:p>
        </w:tc>
        <w:tc>
          <w:tcPr>
            <w:tcW w:w="2125" w:type="dxa"/>
            <w:vAlign w:val="center"/>
          </w:tcPr>
          <w:p w:rsidR="007C5E42" w:rsidRDefault="007C5E42" w:rsidP="00A60DC6">
            <w:pPr>
              <w:widowControl w:val="0"/>
              <w:autoSpaceDE w:val="0"/>
              <w:autoSpaceDN w:val="0"/>
              <w:adjustRightInd w:val="0"/>
              <w:jc w:val="center"/>
              <w:rPr>
                <w:color w:val="000000"/>
                <w:sz w:val="20"/>
                <w:szCs w:val="20"/>
              </w:rPr>
            </w:pPr>
            <w:r w:rsidRPr="004F4C26">
              <w:rPr>
                <w:color w:val="000000"/>
                <w:sz w:val="20"/>
                <w:szCs w:val="20"/>
              </w:rPr>
              <w:t>-0.004</w:t>
            </w:r>
            <w:r w:rsidRPr="004F4C26">
              <w:rPr>
                <w:color w:val="000000"/>
                <w:sz w:val="20"/>
                <w:szCs w:val="20"/>
              </w:rPr>
              <w:br/>
            </w:r>
            <w:r>
              <w:rPr>
                <w:color w:val="000000"/>
                <w:sz w:val="20"/>
                <w:szCs w:val="20"/>
              </w:rPr>
              <w:t xml:space="preserve">[-0.032 </w:t>
            </w:r>
            <w:r w:rsidRPr="004F4C26">
              <w:rPr>
                <w:color w:val="000000"/>
                <w:sz w:val="20"/>
                <w:szCs w:val="20"/>
              </w:rPr>
              <w:t>0.025]</w:t>
            </w:r>
          </w:p>
          <w:p w:rsidR="007C5E42" w:rsidRPr="004F4C26" w:rsidRDefault="007C5E42" w:rsidP="00A60DC6">
            <w:pPr>
              <w:widowControl w:val="0"/>
              <w:autoSpaceDE w:val="0"/>
              <w:autoSpaceDN w:val="0"/>
              <w:adjustRightInd w:val="0"/>
              <w:jc w:val="center"/>
              <w:rPr>
                <w:color w:val="000000" w:themeColor="text1"/>
                <w:kern w:val="24"/>
                <w:sz w:val="20"/>
                <w:szCs w:val="20"/>
                <w:bdr w:val="none" w:sz="0" w:space="0" w:color="auto"/>
                <w:lang w:eastAsia="en-NZ"/>
              </w:rPr>
            </w:pPr>
            <w:r w:rsidRPr="00E41870">
              <w:rPr>
                <w:i/>
                <w:color w:val="000000"/>
                <w:sz w:val="20"/>
                <w:szCs w:val="20"/>
              </w:rPr>
              <w:t>p</w:t>
            </w:r>
            <w:r>
              <w:rPr>
                <w:color w:val="000000"/>
                <w:sz w:val="20"/>
                <w:szCs w:val="20"/>
              </w:rPr>
              <w:t xml:space="preserve"> </w:t>
            </w:r>
            <w:r w:rsidRPr="004F4C26">
              <w:rPr>
                <w:color w:val="000000"/>
                <w:sz w:val="20"/>
                <w:szCs w:val="20"/>
              </w:rPr>
              <w:t>=</w:t>
            </w:r>
            <w:r>
              <w:rPr>
                <w:color w:val="000000"/>
                <w:sz w:val="20"/>
                <w:szCs w:val="20"/>
              </w:rPr>
              <w:t xml:space="preserve"> 0.807</w:t>
            </w:r>
          </w:p>
        </w:tc>
      </w:tr>
      <w:tr w:rsidR="007C5E42" w:rsidRPr="00CD0F1E" w:rsidTr="00A60DC6">
        <w:trPr>
          <w:trHeight w:val="1077"/>
          <w:jc w:val="center"/>
        </w:trPr>
        <w:tc>
          <w:tcPr>
            <w:tcW w:w="3627" w:type="dxa"/>
            <w:vAlign w:val="center"/>
            <w:hideMark/>
          </w:tcPr>
          <w:p w:rsidR="007C5E42" w:rsidRPr="004F4C26" w:rsidRDefault="007C5E42" w:rsidP="00A60DC6">
            <w:pPr>
              <w:widowControl w:val="0"/>
              <w:autoSpaceDE w:val="0"/>
              <w:autoSpaceDN w:val="0"/>
              <w:adjustRightInd w:val="0"/>
              <w:spacing w:before="120"/>
              <w:jc w:val="center"/>
              <w:rPr>
                <w:color w:val="000000" w:themeColor="text1"/>
                <w:kern w:val="24"/>
                <w:sz w:val="20"/>
                <w:szCs w:val="20"/>
                <w:bdr w:val="none" w:sz="0" w:space="0" w:color="auto"/>
                <w:lang w:eastAsia="en-NZ"/>
              </w:rPr>
            </w:pPr>
            <w:r w:rsidRPr="004F4C26">
              <w:rPr>
                <w:color w:val="000000" w:themeColor="text1"/>
                <w:kern w:val="24"/>
                <w:sz w:val="20"/>
                <w:szCs w:val="20"/>
                <w:bdr w:val="none" w:sz="0" w:space="0" w:color="auto"/>
                <w:lang w:eastAsia="en-NZ"/>
              </w:rPr>
              <w:t xml:space="preserve">TPU </w:t>
            </w:r>
            <w:r w:rsidR="00673FB8">
              <w:rPr>
                <w:color w:val="000000" w:themeColor="text1"/>
                <w:kern w:val="24"/>
                <w:sz w:val="20"/>
                <w:szCs w:val="20"/>
                <w:bdr w:val="none" w:sz="0" w:space="0" w:color="auto"/>
                <w:lang w:eastAsia="en-NZ"/>
              </w:rPr>
              <w:t xml:space="preserve">governing school </w:t>
            </w:r>
            <w:r w:rsidRPr="004F4C26">
              <w:rPr>
                <w:color w:val="000000" w:themeColor="text1"/>
                <w:kern w:val="24"/>
                <w:sz w:val="20"/>
                <w:szCs w:val="20"/>
                <w:bdr w:val="none" w:sz="0" w:space="0" w:color="auto"/>
                <w:lang w:eastAsia="en-NZ"/>
              </w:rPr>
              <w:t>enrolled at conception (</w:t>
            </w:r>
            <m:oMath>
              <m:r>
                <m:rPr>
                  <m:sty m:val="p"/>
                </m:rPr>
                <w:rPr>
                  <w:rFonts w:ascii="Cambria Math" w:hAnsi="Cambria Math" w:hint="eastAsia"/>
                  <w:color w:val="000000" w:themeColor="text1"/>
                  <w:kern w:val="24"/>
                  <w:sz w:val="20"/>
                  <w:szCs w:val="20"/>
                  <w:bdr w:val="none" w:sz="0" w:space="0" w:color="auto"/>
                  <w:lang w:eastAsia="en-NZ"/>
                </w:rPr>
                <m:t> </m:t>
              </m:r>
              <m:r>
                <w:rPr>
                  <w:rFonts w:ascii="Cambria Math" w:hAnsi="Cambria Math"/>
                  <w:color w:val="000000" w:themeColor="text1"/>
                  <w:kern w:val="24"/>
                  <w:sz w:val="20"/>
                  <w:szCs w:val="20"/>
                  <w:bdr w:val="none" w:sz="0" w:space="0" w:color="auto"/>
                  <w:lang w:eastAsia="en-NZ"/>
                </w:rPr>
                <m:t>TP</m:t>
              </m:r>
              <m:sSub>
                <m:sSubPr>
                  <m:ctrlPr>
                    <w:rPr>
                      <w:rFonts w:ascii="Cambria Math" w:hAnsi="Cambria Math"/>
                      <w:color w:val="000000" w:themeColor="text1"/>
                      <w:kern w:val="24"/>
                      <w:sz w:val="20"/>
                      <w:szCs w:val="20"/>
                      <w:bdr w:val="none" w:sz="0" w:space="0" w:color="auto"/>
                      <w:lang w:eastAsia="en-NZ"/>
                    </w:rPr>
                  </m:ctrlPr>
                </m:sSubPr>
                <m:e>
                  <m:r>
                    <w:rPr>
                      <w:rFonts w:ascii="Cambria Math" w:hAnsi="Cambria Math"/>
                      <w:color w:val="000000" w:themeColor="text1"/>
                      <w:kern w:val="24"/>
                      <w:sz w:val="20"/>
                      <w:szCs w:val="20"/>
                      <w:bdr w:val="none" w:sz="0" w:space="0" w:color="auto"/>
                      <w:lang w:eastAsia="en-NZ"/>
                    </w:rPr>
                    <m:t>U</m:t>
                  </m:r>
                </m:e>
                <m:sub>
                  <m:r>
                    <w:rPr>
                      <w:rFonts w:ascii="Cambria Math" w:hAnsi="Cambria Math"/>
                      <w:color w:val="000000" w:themeColor="text1"/>
                      <w:kern w:val="24"/>
                      <w:sz w:val="20"/>
                      <w:szCs w:val="20"/>
                      <w:bdr w:val="none" w:sz="0" w:space="0" w:color="auto"/>
                      <w:lang w:eastAsia="en-NZ"/>
                    </w:rPr>
                    <m:t>Pre</m:t>
                  </m:r>
                  <m:r>
                    <m:rPr>
                      <m:sty m:val="p"/>
                    </m:rPr>
                    <w:rPr>
                      <w:rFonts w:ascii="Cambria Math" w:hAnsi="Cambria Math"/>
                      <w:color w:val="000000" w:themeColor="text1"/>
                      <w:kern w:val="24"/>
                      <w:sz w:val="20"/>
                      <w:szCs w:val="20"/>
                      <w:bdr w:val="none" w:sz="0" w:space="0" w:color="auto"/>
                      <w:lang w:eastAsia="en-NZ"/>
                    </w:rPr>
                    <m:t>-</m:t>
                  </m:r>
                  <m:r>
                    <w:rPr>
                      <w:rFonts w:ascii="Cambria Math" w:hAnsi="Cambria Math"/>
                      <w:color w:val="000000" w:themeColor="text1"/>
                      <w:kern w:val="24"/>
                      <w:sz w:val="20"/>
                      <w:szCs w:val="20"/>
                      <w:bdr w:val="none" w:sz="0" w:space="0" w:color="auto"/>
                      <w:lang w:eastAsia="en-NZ"/>
                    </w:rPr>
                    <m:t>Birth</m:t>
                  </m:r>
                </m:sub>
              </m:sSub>
              <m:r>
                <m:rPr>
                  <m:sty m:val="p"/>
                </m:rPr>
                <w:rPr>
                  <w:rFonts w:ascii="Cambria Math" w:hAnsi="Cambria Math"/>
                  <w:color w:val="000000" w:themeColor="text1"/>
                  <w:kern w:val="24"/>
                  <w:sz w:val="20"/>
                  <w:szCs w:val="20"/>
                  <w:bdr w:val="none" w:sz="0" w:space="0" w:color="auto"/>
                  <w:lang w:eastAsia="en-NZ"/>
                </w:rPr>
                <m:t>)</m:t>
              </m:r>
            </m:oMath>
          </w:p>
        </w:tc>
        <w:tc>
          <w:tcPr>
            <w:tcW w:w="1898" w:type="dxa"/>
            <w:vAlign w:val="center"/>
            <w:hideMark/>
          </w:tcPr>
          <w:p w:rsidR="007C5E42" w:rsidRDefault="007C5E42" w:rsidP="00A60DC6">
            <w:pPr>
              <w:widowControl w:val="0"/>
              <w:autoSpaceDE w:val="0"/>
              <w:autoSpaceDN w:val="0"/>
              <w:adjustRightInd w:val="0"/>
              <w:jc w:val="center"/>
              <w:rPr>
                <w:i/>
                <w:color w:val="000000"/>
                <w:sz w:val="20"/>
                <w:szCs w:val="20"/>
              </w:rPr>
            </w:pPr>
            <w:r>
              <w:rPr>
                <w:color w:val="000000"/>
                <w:sz w:val="20"/>
                <w:szCs w:val="20"/>
              </w:rPr>
              <w:t xml:space="preserve">      </w:t>
            </w:r>
            <w:r w:rsidRPr="004F4C26">
              <w:rPr>
                <w:color w:val="000000"/>
                <w:sz w:val="20"/>
                <w:szCs w:val="20"/>
              </w:rPr>
              <w:t>0.097</w:t>
            </w:r>
            <w:r w:rsidRPr="008F732D">
              <w:rPr>
                <w:color w:val="000000"/>
                <w:sz w:val="20"/>
                <w:szCs w:val="20"/>
                <w:vertAlign w:val="superscript"/>
              </w:rPr>
              <w:t>***</w:t>
            </w:r>
            <w:r w:rsidRPr="004F4C26">
              <w:rPr>
                <w:color w:val="000000"/>
                <w:sz w:val="20"/>
                <w:szCs w:val="20"/>
              </w:rPr>
              <w:br/>
            </w:r>
            <w:r>
              <w:rPr>
                <w:color w:val="000000"/>
                <w:sz w:val="20"/>
                <w:szCs w:val="20"/>
              </w:rPr>
              <w:t xml:space="preserve">[0.025 </w:t>
            </w:r>
            <w:r w:rsidRPr="004F4C26">
              <w:rPr>
                <w:color w:val="000000"/>
                <w:sz w:val="20"/>
                <w:szCs w:val="20"/>
              </w:rPr>
              <w:t>0.169]</w:t>
            </w:r>
          </w:p>
          <w:p w:rsidR="007C5E42" w:rsidRPr="004F4C26" w:rsidRDefault="007C5E42" w:rsidP="00A60DC6">
            <w:pPr>
              <w:widowControl w:val="0"/>
              <w:autoSpaceDE w:val="0"/>
              <w:autoSpaceDN w:val="0"/>
              <w:adjustRightInd w:val="0"/>
              <w:jc w:val="center"/>
              <w:rPr>
                <w:color w:val="000000" w:themeColor="text1"/>
                <w:kern w:val="24"/>
                <w:sz w:val="20"/>
                <w:szCs w:val="20"/>
                <w:bdr w:val="none" w:sz="0" w:space="0" w:color="auto"/>
                <w:lang w:eastAsia="en-NZ"/>
              </w:rPr>
            </w:pPr>
            <w:r w:rsidRPr="00E41870">
              <w:rPr>
                <w:i/>
                <w:color w:val="000000"/>
                <w:sz w:val="20"/>
                <w:szCs w:val="20"/>
              </w:rPr>
              <w:t>p</w:t>
            </w:r>
            <w:r>
              <w:rPr>
                <w:color w:val="000000"/>
                <w:sz w:val="20"/>
                <w:szCs w:val="20"/>
              </w:rPr>
              <w:t xml:space="preserve"> </w:t>
            </w:r>
            <w:r w:rsidRPr="004F4C26">
              <w:rPr>
                <w:color w:val="000000"/>
                <w:sz w:val="20"/>
                <w:szCs w:val="20"/>
              </w:rPr>
              <w:t>=</w:t>
            </w:r>
            <w:r>
              <w:rPr>
                <w:color w:val="000000"/>
                <w:sz w:val="20"/>
                <w:szCs w:val="20"/>
              </w:rPr>
              <w:t xml:space="preserve"> 0.009</w:t>
            </w:r>
          </w:p>
        </w:tc>
        <w:tc>
          <w:tcPr>
            <w:tcW w:w="2125" w:type="dxa"/>
            <w:vAlign w:val="center"/>
          </w:tcPr>
          <w:p w:rsidR="007C5E42" w:rsidRDefault="007C5E42" w:rsidP="00A60DC6">
            <w:pPr>
              <w:widowControl w:val="0"/>
              <w:autoSpaceDE w:val="0"/>
              <w:autoSpaceDN w:val="0"/>
              <w:adjustRightInd w:val="0"/>
              <w:jc w:val="center"/>
              <w:rPr>
                <w:i/>
                <w:color w:val="000000"/>
                <w:sz w:val="20"/>
                <w:szCs w:val="20"/>
              </w:rPr>
            </w:pPr>
            <w:r>
              <w:rPr>
                <w:color w:val="000000"/>
                <w:sz w:val="20"/>
                <w:szCs w:val="20"/>
              </w:rPr>
              <w:t xml:space="preserve">     </w:t>
            </w:r>
            <w:r w:rsidRPr="004F4C26">
              <w:rPr>
                <w:color w:val="000000"/>
                <w:sz w:val="20"/>
                <w:szCs w:val="20"/>
              </w:rPr>
              <w:t>0.055</w:t>
            </w:r>
            <w:r w:rsidRPr="008F732D">
              <w:rPr>
                <w:color w:val="000000"/>
                <w:sz w:val="20"/>
                <w:szCs w:val="20"/>
                <w:vertAlign w:val="superscript"/>
              </w:rPr>
              <w:t>**</w:t>
            </w:r>
            <w:r w:rsidRPr="004F4C26">
              <w:rPr>
                <w:color w:val="000000"/>
                <w:sz w:val="20"/>
                <w:szCs w:val="20"/>
              </w:rPr>
              <w:br/>
            </w:r>
            <w:r>
              <w:rPr>
                <w:color w:val="000000"/>
                <w:sz w:val="20"/>
                <w:szCs w:val="20"/>
              </w:rPr>
              <w:t xml:space="preserve">[0.001 </w:t>
            </w:r>
            <w:r w:rsidRPr="004F4C26">
              <w:rPr>
                <w:color w:val="000000"/>
                <w:sz w:val="20"/>
                <w:szCs w:val="20"/>
              </w:rPr>
              <w:t>0.109]</w:t>
            </w:r>
          </w:p>
          <w:p w:rsidR="007C5E42" w:rsidRPr="004F4C26" w:rsidRDefault="007C5E42" w:rsidP="00A60DC6">
            <w:pPr>
              <w:widowControl w:val="0"/>
              <w:autoSpaceDE w:val="0"/>
              <w:autoSpaceDN w:val="0"/>
              <w:adjustRightInd w:val="0"/>
              <w:jc w:val="center"/>
              <w:rPr>
                <w:color w:val="000000" w:themeColor="text1"/>
                <w:kern w:val="24"/>
                <w:sz w:val="20"/>
                <w:szCs w:val="20"/>
                <w:bdr w:val="none" w:sz="0" w:space="0" w:color="auto"/>
                <w:lang w:eastAsia="en-NZ"/>
              </w:rPr>
            </w:pPr>
            <w:r w:rsidRPr="00E41870">
              <w:rPr>
                <w:i/>
                <w:color w:val="000000"/>
                <w:sz w:val="20"/>
                <w:szCs w:val="20"/>
              </w:rPr>
              <w:t>p</w:t>
            </w:r>
            <w:r>
              <w:rPr>
                <w:color w:val="000000"/>
                <w:sz w:val="20"/>
                <w:szCs w:val="20"/>
              </w:rPr>
              <w:t xml:space="preserve"> </w:t>
            </w:r>
            <w:r w:rsidRPr="004F4C26">
              <w:rPr>
                <w:color w:val="000000"/>
                <w:sz w:val="20"/>
                <w:szCs w:val="20"/>
              </w:rPr>
              <w:t>=</w:t>
            </w:r>
            <w:r>
              <w:rPr>
                <w:color w:val="000000"/>
                <w:sz w:val="20"/>
                <w:szCs w:val="20"/>
              </w:rPr>
              <w:t xml:space="preserve"> 0.047</w:t>
            </w:r>
          </w:p>
        </w:tc>
      </w:tr>
      <w:tr w:rsidR="007C5E42" w:rsidRPr="00CD0F1E" w:rsidTr="00A60DC6">
        <w:trPr>
          <w:trHeight w:val="1077"/>
          <w:jc w:val="center"/>
        </w:trPr>
        <w:tc>
          <w:tcPr>
            <w:tcW w:w="3627" w:type="dxa"/>
            <w:vAlign w:val="center"/>
            <w:hideMark/>
          </w:tcPr>
          <w:p w:rsidR="007C5E42" w:rsidRPr="004F4C26" w:rsidRDefault="007C5E42" w:rsidP="00A60DC6">
            <w:pPr>
              <w:widowControl w:val="0"/>
              <w:autoSpaceDE w:val="0"/>
              <w:autoSpaceDN w:val="0"/>
              <w:adjustRightInd w:val="0"/>
              <w:spacing w:before="120"/>
              <w:jc w:val="center"/>
              <w:rPr>
                <w:color w:val="000000" w:themeColor="text1"/>
                <w:kern w:val="24"/>
                <w:sz w:val="20"/>
                <w:szCs w:val="20"/>
                <w:bdr w:val="none" w:sz="0" w:space="0" w:color="auto"/>
                <w:lang w:eastAsia="en-NZ"/>
              </w:rPr>
            </w:pPr>
            <w:r w:rsidRPr="004F4C26">
              <w:rPr>
                <w:color w:val="000000" w:themeColor="text1"/>
                <w:kern w:val="24"/>
                <w:sz w:val="20"/>
                <w:szCs w:val="20"/>
                <w:bdr w:val="none" w:sz="0" w:space="0" w:color="auto"/>
                <w:lang w:eastAsia="en-NZ"/>
              </w:rPr>
              <w:t>School enrolled at conception</w:t>
            </w:r>
          </w:p>
        </w:tc>
        <w:tc>
          <w:tcPr>
            <w:tcW w:w="1898" w:type="dxa"/>
            <w:vAlign w:val="center"/>
            <w:hideMark/>
          </w:tcPr>
          <w:p w:rsidR="007C5E42" w:rsidRDefault="007C5E42" w:rsidP="00A60DC6">
            <w:pPr>
              <w:widowControl w:val="0"/>
              <w:autoSpaceDE w:val="0"/>
              <w:autoSpaceDN w:val="0"/>
              <w:adjustRightInd w:val="0"/>
              <w:jc w:val="center"/>
              <w:rPr>
                <w:i/>
                <w:color w:val="000000"/>
                <w:sz w:val="20"/>
                <w:szCs w:val="20"/>
              </w:rPr>
            </w:pPr>
            <w:r>
              <w:rPr>
                <w:color w:val="000000"/>
                <w:sz w:val="20"/>
                <w:szCs w:val="20"/>
              </w:rPr>
              <w:t xml:space="preserve">      </w:t>
            </w:r>
            <w:r w:rsidRPr="004F4C26">
              <w:rPr>
                <w:color w:val="000000"/>
                <w:sz w:val="20"/>
                <w:szCs w:val="20"/>
              </w:rPr>
              <w:t>0.244</w:t>
            </w:r>
            <w:r w:rsidRPr="008F732D">
              <w:rPr>
                <w:color w:val="000000"/>
                <w:sz w:val="20"/>
                <w:szCs w:val="20"/>
                <w:vertAlign w:val="superscript"/>
              </w:rPr>
              <w:t>***</w:t>
            </w:r>
            <w:r w:rsidRPr="004F4C26">
              <w:rPr>
                <w:color w:val="000000"/>
                <w:sz w:val="20"/>
                <w:szCs w:val="20"/>
              </w:rPr>
              <w:br/>
              <w:t>[0.208</w:t>
            </w:r>
            <w:r>
              <w:rPr>
                <w:color w:val="000000"/>
                <w:sz w:val="20"/>
                <w:szCs w:val="20"/>
              </w:rPr>
              <w:t xml:space="preserve"> </w:t>
            </w:r>
            <w:r w:rsidRPr="004F4C26">
              <w:rPr>
                <w:color w:val="000000"/>
                <w:sz w:val="20"/>
                <w:szCs w:val="20"/>
              </w:rPr>
              <w:t>0.281]</w:t>
            </w:r>
          </w:p>
          <w:p w:rsidR="007C5E42" w:rsidRPr="004F4C26" w:rsidRDefault="007C5E42" w:rsidP="00A60DC6">
            <w:pPr>
              <w:widowControl w:val="0"/>
              <w:autoSpaceDE w:val="0"/>
              <w:autoSpaceDN w:val="0"/>
              <w:adjustRightInd w:val="0"/>
              <w:jc w:val="center"/>
              <w:rPr>
                <w:color w:val="000000" w:themeColor="text1"/>
                <w:kern w:val="24"/>
                <w:sz w:val="20"/>
                <w:szCs w:val="20"/>
                <w:bdr w:val="none" w:sz="0" w:space="0" w:color="auto"/>
                <w:lang w:eastAsia="en-NZ"/>
              </w:rPr>
            </w:pPr>
            <w:r w:rsidRPr="00E41870">
              <w:rPr>
                <w:i/>
                <w:color w:val="000000"/>
                <w:sz w:val="20"/>
                <w:szCs w:val="20"/>
              </w:rPr>
              <w:t xml:space="preserve">p </w:t>
            </w:r>
            <w:r w:rsidRPr="004F4C26">
              <w:rPr>
                <w:color w:val="000000"/>
                <w:sz w:val="20"/>
                <w:szCs w:val="20"/>
              </w:rPr>
              <w:t>=</w:t>
            </w:r>
            <w:r>
              <w:rPr>
                <w:color w:val="000000"/>
                <w:sz w:val="20"/>
                <w:szCs w:val="20"/>
              </w:rPr>
              <w:t xml:space="preserve"> </w:t>
            </w:r>
            <w:r w:rsidRPr="004F4C26">
              <w:rPr>
                <w:color w:val="000000"/>
                <w:sz w:val="20"/>
                <w:szCs w:val="20"/>
              </w:rPr>
              <w:t>0.000</w:t>
            </w:r>
          </w:p>
        </w:tc>
        <w:tc>
          <w:tcPr>
            <w:tcW w:w="2125" w:type="dxa"/>
            <w:vAlign w:val="center"/>
          </w:tcPr>
          <w:p w:rsidR="007C5E42" w:rsidRDefault="007C5E42" w:rsidP="00A60DC6">
            <w:pPr>
              <w:widowControl w:val="0"/>
              <w:autoSpaceDE w:val="0"/>
              <w:autoSpaceDN w:val="0"/>
              <w:adjustRightInd w:val="0"/>
              <w:jc w:val="center"/>
              <w:rPr>
                <w:i/>
                <w:color w:val="000000"/>
                <w:sz w:val="20"/>
                <w:szCs w:val="20"/>
              </w:rPr>
            </w:pPr>
            <w:r>
              <w:rPr>
                <w:color w:val="000000"/>
                <w:sz w:val="20"/>
                <w:szCs w:val="20"/>
              </w:rPr>
              <w:t xml:space="preserve">      </w:t>
            </w:r>
            <w:r w:rsidRPr="00D974AC">
              <w:rPr>
                <w:color w:val="000000"/>
                <w:sz w:val="20"/>
                <w:szCs w:val="20"/>
              </w:rPr>
              <w:t>0.19</w:t>
            </w:r>
            <w:r>
              <w:rPr>
                <w:color w:val="000000"/>
                <w:sz w:val="20"/>
                <w:szCs w:val="20"/>
              </w:rPr>
              <w:t>6</w:t>
            </w:r>
            <w:r w:rsidRPr="008F732D">
              <w:rPr>
                <w:color w:val="000000"/>
                <w:sz w:val="20"/>
                <w:szCs w:val="20"/>
                <w:vertAlign w:val="superscript"/>
              </w:rPr>
              <w:t>***</w:t>
            </w:r>
            <w:r w:rsidRPr="004F4C26">
              <w:rPr>
                <w:color w:val="000000"/>
                <w:sz w:val="20"/>
                <w:szCs w:val="20"/>
              </w:rPr>
              <w:br/>
            </w:r>
            <w:r>
              <w:rPr>
                <w:color w:val="000000"/>
                <w:sz w:val="20"/>
                <w:szCs w:val="20"/>
              </w:rPr>
              <w:t xml:space="preserve">[0.167 </w:t>
            </w:r>
            <w:r w:rsidRPr="004F4C26">
              <w:rPr>
                <w:color w:val="000000"/>
                <w:sz w:val="20"/>
                <w:szCs w:val="20"/>
              </w:rPr>
              <w:t>0.224]</w:t>
            </w:r>
          </w:p>
          <w:p w:rsidR="007C5E42" w:rsidRPr="004F4C26" w:rsidRDefault="007C5E42" w:rsidP="00A60DC6">
            <w:pPr>
              <w:widowControl w:val="0"/>
              <w:autoSpaceDE w:val="0"/>
              <w:autoSpaceDN w:val="0"/>
              <w:adjustRightInd w:val="0"/>
              <w:jc w:val="center"/>
              <w:rPr>
                <w:color w:val="000000" w:themeColor="text1"/>
                <w:kern w:val="24"/>
                <w:sz w:val="20"/>
                <w:szCs w:val="20"/>
                <w:bdr w:val="none" w:sz="0" w:space="0" w:color="auto"/>
                <w:lang w:eastAsia="en-NZ"/>
              </w:rPr>
            </w:pPr>
            <w:r w:rsidRPr="00E41870">
              <w:rPr>
                <w:i/>
                <w:color w:val="000000"/>
                <w:sz w:val="20"/>
                <w:szCs w:val="20"/>
              </w:rPr>
              <w:t>p</w:t>
            </w:r>
            <w:r>
              <w:rPr>
                <w:color w:val="000000"/>
                <w:sz w:val="20"/>
                <w:szCs w:val="20"/>
              </w:rPr>
              <w:t xml:space="preserve"> </w:t>
            </w:r>
            <w:r w:rsidRPr="004F4C26">
              <w:rPr>
                <w:color w:val="000000"/>
                <w:sz w:val="20"/>
                <w:szCs w:val="20"/>
              </w:rPr>
              <w:t>=</w:t>
            </w:r>
            <w:r>
              <w:rPr>
                <w:color w:val="000000"/>
                <w:sz w:val="20"/>
                <w:szCs w:val="20"/>
              </w:rPr>
              <w:t xml:space="preserve"> </w:t>
            </w:r>
            <w:r w:rsidRPr="004F4C26">
              <w:rPr>
                <w:color w:val="000000"/>
                <w:sz w:val="20"/>
                <w:szCs w:val="20"/>
              </w:rPr>
              <w:t>0</w:t>
            </w:r>
            <w:r>
              <w:rPr>
                <w:color w:val="000000"/>
                <w:sz w:val="20"/>
                <w:szCs w:val="20"/>
              </w:rPr>
              <w:t>.000</w:t>
            </w:r>
          </w:p>
        </w:tc>
      </w:tr>
      <w:tr w:rsidR="007C5E42" w:rsidRPr="00CD0F1E" w:rsidTr="00A60DC6">
        <w:trPr>
          <w:trHeight w:val="680"/>
          <w:jc w:val="center"/>
        </w:trPr>
        <w:tc>
          <w:tcPr>
            <w:tcW w:w="3627" w:type="dxa"/>
            <w:vAlign w:val="center"/>
            <w:hideMark/>
          </w:tcPr>
          <w:p w:rsidR="007C5E42" w:rsidRPr="00EE2772" w:rsidRDefault="007C5E42" w:rsidP="00A60DC6">
            <w:pPr>
              <w:widowControl w:val="0"/>
              <w:autoSpaceDE w:val="0"/>
              <w:autoSpaceDN w:val="0"/>
              <w:adjustRightInd w:val="0"/>
              <w:jc w:val="center"/>
              <w:rPr>
                <w:i/>
                <w:color w:val="000000" w:themeColor="text1"/>
                <w:kern w:val="24"/>
                <w:sz w:val="20"/>
                <w:szCs w:val="20"/>
                <w:bdr w:val="none" w:sz="0" w:space="0" w:color="auto"/>
                <w:lang w:eastAsia="en-NZ"/>
              </w:rPr>
            </w:pPr>
            <w:r w:rsidRPr="00EE2772">
              <w:rPr>
                <w:i/>
                <w:color w:val="000000" w:themeColor="text1"/>
                <w:kern w:val="24"/>
                <w:sz w:val="20"/>
                <w:szCs w:val="20"/>
                <w:bdr w:val="none" w:sz="0" w:space="0" w:color="auto"/>
                <w:lang w:eastAsia="en-NZ"/>
              </w:rPr>
              <w:t>n</w:t>
            </w:r>
          </w:p>
          <w:p w:rsidR="007C5E42" w:rsidRPr="004F4C26" w:rsidRDefault="007C5E42" w:rsidP="00A60DC6">
            <w:pPr>
              <w:widowControl w:val="0"/>
              <w:autoSpaceDE w:val="0"/>
              <w:autoSpaceDN w:val="0"/>
              <w:adjustRightInd w:val="0"/>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Sample m</w:t>
            </w:r>
            <w:r w:rsidRPr="004F4C26">
              <w:rPr>
                <w:color w:val="000000" w:themeColor="text1"/>
                <w:kern w:val="24"/>
                <w:sz w:val="20"/>
                <w:szCs w:val="20"/>
                <w:bdr w:val="none" w:sz="0" w:space="0" w:color="auto"/>
                <w:lang w:eastAsia="en-NZ"/>
              </w:rPr>
              <w:t>ean outcome</w:t>
            </w:r>
            <w:r>
              <w:rPr>
                <w:color w:val="000000" w:themeColor="text1"/>
                <w:kern w:val="24"/>
                <w:sz w:val="20"/>
                <w:szCs w:val="20"/>
                <w:bdr w:val="none" w:sz="0" w:space="0" w:color="auto"/>
                <w:lang w:eastAsia="en-NZ"/>
              </w:rPr>
              <w:t>s</w:t>
            </w:r>
          </w:p>
        </w:tc>
        <w:tc>
          <w:tcPr>
            <w:tcW w:w="1898" w:type="dxa"/>
            <w:vAlign w:val="center"/>
            <w:hideMark/>
          </w:tcPr>
          <w:p w:rsidR="007C5E42" w:rsidRPr="004F4C26" w:rsidRDefault="007C5E42" w:rsidP="00A60DC6">
            <w:pPr>
              <w:widowControl w:val="0"/>
              <w:autoSpaceDE w:val="0"/>
              <w:autoSpaceDN w:val="0"/>
              <w:adjustRightInd w:val="0"/>
              <w:jc w:val="center"/>
              <w:rPr>
                <w:color w:val="000000" w:themeColor="text1"/>
                <w:kern w:val="24"/>
                <w:sz w:val="20"/>
                <w:szCs w:val="20"/>
                <w:bdr w:val="none" w:sz="0" w:space="0" w:color="auto"/>
                <w:lang w:eastAsia="en-NZ"/>
              </w:rPr>
            </w:pPr>
            <w:r w:rsidRPr="004F4C26">
              <w:rPr>
                <w:color w:val="000000" w:themeColor="text1"/>
                <w:kern w:val="24"/>
                <w:sz w:val="20"/>
                <w:szCs w:val="20"/>
                <w:bdr w:val="none" w:sz="0" w:space="0" w:color="auto"/>
                <w:lang w:eastAsia="en-NZ"/>
              </w:rPr>
              <w:t>3,849</w:t>
            </w:r>
          </w:p>
          <w:p w:rsidR="007C5E42" w:rsidRPr="004F4C26" w:rsidRDefault="007C5E42" w:rsidP="00A60DC6">
            <w:pPr>
              <w:widowControl w:val="0"/>
              <w:autoSpaceDE w:val="0"/>
              <w:autoSpaceDN w:val="0"/>
              <w:adjustRightInd w:val="0"/>
              <w:jc w:val="center"/>
              <w:rPr>
                <w:color w:val="000000" w:themeColor="text1"/>
                <w:kern w:val="24"/>
                <w:sz w:val="20"/>
                <w:szCs w:val="20"/>
                <w:bdr w:val="none" w:sz="0" w:space="0" w:color="auto"/>
                <w:lang w:eastAsia="en-NZ"/>
              </w:rPr>
            </w:pPr>
            <w:r w:rsidRPr="004F4C26">
              <w:rPr>
                <w:color w:val="000000" w:themeColor="text1"/>
                <w:kern w:val="24"/>
                <w:sz w:val="20"/>
                <w:szCs w:val="20"/>
                <w:bdr w:val="none" w:sz="0" w:space="0" w:color="auto"/>
                <w:lang w:eastAsia="en-NZ"/>
              </w:rPr>
              <w:t>0.27</w:t>
            </w:r>
          </w:p>
        </w:tc>
        <w:tc>
          <w:tcPr>
            <w:tcW w:w="2125" w:type="dxa"/>
            <w:vAlign w:val="center"/>
          </w:tcPr>
          <w:p w:rsidR="007C5E42" w:rsidRPr="004F4C26" w:rsidRDefault="007C5E42" w:rsidP="00A60DC6">
            <w:pPr>
              <w:widowControl w:val="0"/>
              <w:autoSpaceDE w:val="0"/>
              <w:autoSpaceDN w:val="0"/>
              <w:adjustRightInd w:val="0"/>
              <w:jc w:val="center"/>
              <w:rPr>
                <w:color w:val="000000" w:themeColor="text1"/>
                <w:kern w:val="24"/>
                <w:sz w:val="20"/>
                <w:szCs w:val="20"/>
                <w:bdr w:val="none" w:sz="0" w:space="0" w:color="auto"/>
                <w:lang w:eastAsia="en-NZ"/>
              </w:rPr>
            </w:pPr>
            <w:r w:rsidRPr="004F4C26">
              <w:rPr>
                <w:color w:val="000000" w:themeColor="text1"/>
                <w:kern w:val="24"/>
                <w:sz w:val="20"/>
                <w:szCs w:val="20"/>
                <w:bdr w:val="none" w:sz="0" w:space="0" w:color="auto"/>
                <w:lang w:eastAsia="en-NZ"/>
              </w:rPr>
              <w:t>4,914</w:t>
            </w:r>
          </w:p>
          <w:p w:rsidR="007C5E42" w:rsidRPr="004F4C26" w:rsidRDefault="007C5E42" w:rsidP="00A60DC6">
            <w:pPr>
              <w:widowControl w:val="0"/>
              <w:autoSpaceDE w:val="0"/>
              <w:autoSpaceDN w:val="0"/>
              <w:adjustRightInd w:val="0"/>
              <w:jc w:val="center"/>
              <w:rPr>
                <w:color w:val="000000" w:themeColor="text1"/>
                <w:kern w:val="24"/>
                <w:sz w:val="20"/>
                <w:szCs w:val="20"/>
                <w:bdr w:val="none" w:sz="0" w:space="0" w:color="auto"/>
                <w:lang w:eastAsia="en-NZ"/>
              </w:rPr>
            </w:pPr>
            <w:r w:rsidRPr="004F4C26">
              <w:rPr>
                <w:color w:val="000000" w:themeColor="text1"/>
                <w:kern w:val="24"/>
                <w:sz w:val="20"/>
                <w:szCs w:val="20"/>
                <w:bdr w:val="none" w:sz="0" w:space="0" w:color="auto"/>
                <w:lang w:eastAsia="en-NZ"/>
              </w:rPr>
              <w:t>0.21</w:t>
            </w:r>
          </w:p>
        </w:tc>
      </w:tr>
    </w:tbl>
    <w:p w:rsidR="007C5E42" w:rsidRPr="008309BD" w:rsidRDefault="007C5E42" w:rsidP="007C5E42">
      <w:pPr>
        <w:widowControl w:val="0"/>
        <w:autoSpaceDE w:val="0"/>
        <w:autoSpaceDN w:val="0"/>
        <w:adjustRightInd w:val="0"/>
        <w:jc w:val="both"/>
        <w:rPr>
          <w:sz w:val="20"/>
          <w:szCs w:val="20"/>
          <w:lang w:val="en-NZ"/>
        </w:rPr>
      </w:pPr>
      <w:r w:rsidRPr="00994E2A">
        <w:rPr>
          <w:i/>
          <w:sz w:val="20"/>
          <w:szCs w:val="20"/>
        </w:rPr>
        <w:t>Notes</w:t>
      </w:r>
      <w:r w:rsidRPr="00994E2A">
        <w:rPr>
          <w:sz w:val="20"/>
          <w:szCs w:val="20"/>
        </w:rPr>
        <w:t xml:space="preserve">; </w:t>
      </w:r>
      <w:r w:rsidRPr="008F732D">
        <w:rPr>
          <w:sz w:val="20"/>
          <w:szCs w:val="20"/>
          <w:vertAlign w:val="superscript"/>
        </w:rPr>
        <w:t>*</w:t>
      </w:r>
      <w:r w:rsidRPr="00994E2A">
        <w:rPr>
          <w:sz w:val="20"/>
          <w:szCs w:val="20"/>
        </w:rPr>
        <w:t xml:space="preserve"> </w:t>
      </w:r>
      <w:r w:rsidRPr="00994E2A">
        <w:rPr>
          <w:i/>
          <w:iCs/>
          <w:sz w:val="20"/>
          <w:szCs w:val="20"/>
        </w:rPr>
        <w:t>p</w:t>
      </w:r>
      <w:r w:rsidRPr="00994E2A">
        <w:rPr>
          <w:sz w:val="20"/>
          <w:szCs w:val="20"/>
        </w:rPr>
        <w:t xml:space="preserve"> &lt; 0.10, </w:t>
      </w:r>
      <w:r w:rsidRPr="008F732D">
        <w:rPr>
          <w:sz w:val="20"/>
          <w:szCs w:val="20"/>
          <w:vertAlign w:val="superscript"/>
        </w:rPr>
        <w:t>**</w:t>
      </w:r>
      <w:r w:rsidRPr="00994E2A">
        <w:rPr>
          <w:sz w:val="20"/>
          <w:szCs w:val="20"/>
        </w:rPr>
        <w:t xml:space="preserve"> </w:t>
      </w:r>
      <w:r w:rsidRPr="00994E2A">
        <w:rPr>
          <w:i/>
          <w:iCs/>
          <w:sz w:val="20"/>
          <w:szCs w:val="20"/>
        </w:rPr>
        <w:t>p</w:t>
      </w:r>
      <w:r w:rsidRPr="00994E2A">
        <w:rPr>
          <w:sz w:val="20"/>
          <w:szCs w:val="20"/>
        </w:rPr>
        <w:t xml:space="preserve"> &lt; 0.05, </w:t>
      </w:r>
      <w:r w:rsidRPr="008F732D">
        <w:rPr>
          <w:sz w:val="20"/>
          <w:szCs w:val="20"/>
          <w:vertAlign w:val="superscript"/>
        </w:rPr>
        <w:t>***</w:t>
      </w:r>
      <w:r w:rsidRPr="00994E2A">
        <w:rPr>
          <w:sz w:val="20"/>
          <w:szCs w:val="20"/>
        </w:rPr>
        <w:t xml:space="preserve"> </w:t>
      </w:r>
      <w:r w:rsidRPr="00994E2A">
        <w:rPr>
          <w:i/>
          <w:iCs/>
          <w:sz w:val="20"/>
          <w:szCs w:val="20"/>
        </w:rPr>
        <w:t>p</w:t>
      </w:r>
      <w:r w:rsidRPr="00994E2A">
        <w:rPr>
          <w:sz w:val="20"/>
          <w:szCs w:val="20"/>
        </w:rPr>
        <w:t xml:space="preserve"> &lt; 0.01. </w:t>
      </w:r>
      <w:r>
        <w:rPr>
          <w:sz w:val="20"/>
          <w:szCs w:val="20"/>
        </w:rPr>
        <w:t xml:space="preserve">Study sample of </w:t>
      </w:r>
      <w:r w:rsidRPr="00971CC5">
        <w:rPr>
          <w:sz w:val="20"/>
          <w:szCs w:val="20"/>
        </w:rPr>
        <w:t xml:space="preserve">young </w:t>
      </w:r>
      <w:r w:rsidR="00E11FD5" w:rsidRPr="00971CC5">
        <w:rPr>
          <w:sz w:val="20"/>
          <w:szCs w:val="20"/>
        </w:rPr>
        <w:t>wom</w:t>
      </w:r>
      <w:r w:rsidR="00E11FD5">
        <w:rPr>
          <w:sz w:val="20"/>
          <w:szCs w:val="20"/>
        </w:rPr>
        <w:t>e</w:t>
      </w:r>
      <w:r w:rsidR="00E11FD5" w:rsidRPr="00971CC5">
        <w:rPr>
          <w:sz w:val="20"/>
          <w:szCs w:val="20"/>
        </w:rPr>
        <w:t xml:space="preserve">n </w:t>
      </w:r>
      <w:r>
        <w:rPr>
          <w:sz w:val="20"/>
          <w:szCs w:val="20"/>
        </w:rPr>
        <w:t xml:space="preserve">in cohorts </w:t>
      </w:r>
      <w:r w:rsidRPr="00971CC5">
        <w:rPr>
          <w:sz w:val="20"/>
          <w:szCs w:val="20"/>
        </w:rPr>
        <w:t>between 1 Jan 1991 and 31 December 1994 and enrolled in a New Zealand school for at least one day between the start of ENROL in 2006 and 1 January 2008</w:t>
      </w:r>
      <w:r>
        <w:rPr>
          <w:sz w:val="20"/>
          <w:szCs w:val="20"/>
        </w:rPr>
        <w:t xml:space="preserve"> and who recorded a live birth between 13</w:t>
      </w:r>
      <w:r w:rsidRPr="00043454">
        <w:rPr>
          <w:sz w:val="20"/>
          <w:szCs w:val="20"/>
          <w:vertAlign w:val="superscript"/>
        </w:rPr>
        <w:t>th</w:t>
      </w:r>
      <w:r>
        <w:rPr>
          <w:sz w:val="20"/>
          <w:szCs w:val="20"/>
        </w:rPr>
        <w:t xml:space="preserve"> and 19</w:t>
      </w:r>
      <w:r w:rsidRPr="00043454">
        <w:rPr>
          <w:sz w:val="20"/>
          <w:szCs w:val="20"/>
          <w:vertAlign w:val="superscript"/>
        </w:rPr>
        <w:t>th</w:t>
      </w:r>
      <w:r>
        <w:rPr>
          <w:sz w:val="20"/>
          <w:szCs w:val="20"/>
        </w:rPr>
        <w:t xml:space="preserve"> birthday in the MOH maternity data. </w:t>
      </w:r>
      <w:r w:rsidRPr="009156BF">
        <w:rPr>
          <w:sz w:val="20"/>
          <w:szCs w:val="20"/>
        </w:rPr>
        <w:t>Individuals whose distance from TPU is missing</w:t>
      </w:r>
      <w:r>
        <w:rPr>
          <w:sz w:val="20"/>
          <w:szCs w:val="20"/>
        </w:rPr>
        <w:t xml:space="preserve"> (n = 954) and where MoE local office is missing (n = 123) and age of mother predicts perfectly (n = 9) were</w:t>
      </w:r>
      <w:r w:rsidRPr="009156BF">
        <w:rPr>
          <w:sz w:val="20"/>
          <w:szCs w:val="20"/>
        </w:rPr>
        <w:t xml:space="preserve"> excluded from the </w:t>
      </w:r>
      <w:r>
        <w:rPr>
          <w:sz w:val="20"/>
          <w:szCs w:val="20"/>
        </w:rPr>
        <w:t>regression</w:t>
      </w:r>
      <w:r w:rsidRPr="009156BF">
        <w:rPr>
          <w:sz w:val="20"/>
          <w:szCs w:val="20"/>
        </w:rPr>
        <w:t xml:space="preserve">. Other controls are ethnicity, cohort, rurality, </w:t>
      </w:r>
      <w:r>
        <w:rPr>
          <w:sz w:val="20"/>
          <w:szCs w:val="20"/>
        </w:rPr>
        <w:t xml:space="preserve">age of mother at birth, MoE </w:t>
      </w:r>
      <w:r w:rsidRPr="009156BF">
        <w:rPr>
          <w:sz w:val="20"/>
          <w:szCs w:val="20"/>
        </w:rPr>
        <w:t xml:space="preserve">local office, </w:t>
      </w:r>
      <w:r>
        <w:rPr>
          <w:sz w:val="20"/>
          <w:szCs w:val="20"/>
        </w:rPr>
        <w:t xml:space="preserve">indicators of CYF placement prior to birth of child and CYF Youth Justice referral prior to birth of child, </w:t>
      </w:r>
      <w:r w:rsidRPr="009156BF">
        <w:rPr>
          <w:sz w:val="20"/>
          <w:szCs w:val="20"/>
        </w:rPr>
        <w:t xml:space="preserve">total days on benefit </w:t>
      </w:r>
      <w:r>
        <w:rPr>
          <w:sz w:val="20"/>
          <w:szCs w:val="20"/>
        </w:rPr>
        <w:t>in first</w:t>
      </w:r>
      <w:r w:rsidRPr="009156BF">
        <w:rPr>
          <w:sz w:val="20"/>
          <w:szCs w:val="20"/>
        </w:rPr>
        <w:t xml:space="preserve"> 5 years</w:t>
      </w:r>
      <w:r>
        <w:rPr>
          <w:sz w:val="20"/>
          <w:szCs w:val="20"/>
        </w:rPr>
        <w:t xml:space="preserve"> of life</w:t>
      </w:r>
      <w:r w:rsidRPr="009156BF">
        <w:rPr>
          <w:sz w:val="20"/>
          <w:szCs w:val="20"/>
        </w:rPr>
        <w:t>, school size</w:t>
      </w:r>
      <w:r>
        <w:rPr>
          <w:sz w:val="20"/>
          <w:szCs w:val="20"/>
        </w:rPr>
        <w:t xml:space="preserve">, and school decile ranking (=1-3 vs. not). </w:t>
      </w:r>
      <w:r w:rsidRPr="009156BF">
        <w:rPr>
          <w:rFonts w:asciiTheme="minorHAnsi" w:eastAsiaTheme="minorEastAsia" w:hAnsi="Calibri" w:cstheme="minorBidi"/>
          <w:color w:val="000000" w:themeColor="text1"/>
          <w:kern w:val="24"/>
          <w:sz w:val="20"/>
          <w:szCs w:val="20"/>
          <w:bdr w:val="none" w:sz="0" w:space="0" w:color="auto"/>
          <w:lang w:val="en-NZ" w:eastAsia="en-NZ"/>
        </w:rPr>
        <w:t xml:space="preserve"> </w:t>
      </w:r>
      <w:r w:rsidRPr="008309BD">
        <w:rPr>
          <w:sz w:val="20"/>
          <w:szCs w:val="20"/>
        </w:rPr>
        <w:t>This table only reports some of these key findings from this analysis.</w:t>
      </w:r>
      <w:r w:rsidRPr="008309BD">
        <w:rPr>
          <w:rFonts w:eastAsiaTheme="minorEastAsia"/>
          <w:color w:val="000000" w:themeColor="text1"/>
          <w:kern w:val="24"/>
          <w:sz w:val="20"/>
          <w:szCs w:val="20"/>
          <w:bdr w:val="none" w:sz="0" w:space="0" w:color="auto"/>
          <w:lang w:val="en-NZ" w:eastAsia="en-NZ"/>
        </w:rPr>
        <w:t xml:space="preserve"> A full set of regression results can be found </w:t>
      </w:r>
      <w:r>
        <w:rPr>
          <w:rFonts w:eastAsiaTheme="minorEastAsia"/>
          <w:color w:val="000000" w:themeColor="text1"/>
          <w:kern w:val="24"/>
          <w:sz w:val="20"/>
          <w:szCs w:val="20"/>
          <w:bdr w:val="none" w:sz="0" w:space="0" w:color="auto"/>
          <w:lang w:val="en-NZ" w:eastAsia="en-NZ"/>
        </w:rPr>
        <w:t>in Appendix Table 3</w:t>
      </w:r>
      <w:r w:rsidRPr="008309BD">
        <w:rPr>
          <w:rFonts w:eastAsiaTheme="minorEastAsia"/>
          <w:color w:val="000000" w:themeColor="text1"/>
          <w:kern w:val="24"/>
          <w:sz w:val="20"/>
          <w:szCs w:val="20"/>
          <w:bdr w:val="none" w:sz="0" w:space="0" w:color="auto"/>
          <w:lang w:val="en-NZ" w:eastAsia="en-NZ"/>
        </w:rPr>
        <w:t>.</w:t>
      </w:r>
    </w:p>
    <w:p w:rsidR="00673FB8" w:rsidRDefault="00144554" w:rsidP="003417EB">
      <w:pPr>
        <w:pStyle w:val="Body"/>
        <w:jc w:val="both"/>
      </w:pPr>
      <w:r>
        <w:t>There</w:t>
      </w:r>
      <w:r w:rsidR="00AC1ADB" w:rsidRPr="00B12C8E">
        <w:t xml:space="preserve"> appears to be </w:t>
      </w:r>
      <w:r w:rsidR="00341F4B">
        <w:t xml:space="preserve">an increased likelihood of completing NCEA </w:t>
      </w:r>
      <w:r>
        <w:t>L</w:t>
      </w:r>
      <w:r w:rsidR="00341F4B">
        <w:t xml:space="preserve">evel 1 if the young woman was enrolled in a TPU </w:t>
      </w:r>
      <w:r w:rsidR="00E80C0E">
        <w:t xml:space="preserve">governing school </w:t>
      </w:r>
      <w:r w:rsidR="00341F4B">
        <w:t>at conception</w:t>
      </w:r>
      <w:r w:rsidR="001308D1">
        <w:t xml:space="preserve"> </w:t>
      </w:r>
      <w:r w:rsidR="00673FB8">
        <w:t xml:space="preserve">— </w:t>
      </w:r>
      <w:r w:rsidR="001308D1">
        <w:t xml:space="preserve">as she is </w:t>
      </w:r>
      <w:r w:rsidR="00E80C0E">
        <w:t>9.7 percentag</w:t>
      </w:r>
      <w:r w:rsidR="00AB143F">
        <w:t>e points</w:t>
      </w:r>
      <w:r w:rsidR="001308D1">
        <w:t xml:space="preserve"> more likely to complete NCEA </w:t>
      </w:r>
      <w:r>
        <w:t>L</w:t>
      </w:r>
      <w:r w:rsidR="001308D1">
        <w:t>evel 1</w:t>
      </w:r>
      <w:r w:rsidR="00AB143F">
        <w:t xml:space="preserve"> by the end of the year she turns 19</w:t>
      </w:r>
      <w:r w:rsidR="001308D1">
        <w:t xml:space="preserve">. </w:t>
      </w:r>
      <w:r w:rsidR="00E80C0E">
        <w:t xml:space="preserve">This estimated effect is statistically significant at better than a 1 percent level. </w:t>
      </w:r>
      <w:r w:rsidR="001308D1">
        <w:t xml:space="preserve">Given that the rate </w:t>
      </w:r>
      <w:r w:rsidR="00E43180">
        <w:t>of completion</w:t>
      </w:r>
      <w:r w:rsidR="00753008">
        <w:t xml:space="preserve"> of NCEA </w:t>
      </w:r>
      <w:r>
        <w:t>L</w:t>
      </w:r>
      <w:r w:rsidR="00753008">
        <w:t xml:space="preserve">evel 1 </w:t>
      </w:r>
      <w:r w:rsidR="00AB143F">
        <w:t xml:space="preserve">by this age for teen mothers in the sample overall </w:t>
      </w:r>
      <w:r w:rsidR="00753008">
        <w:t xml:space="preserve">is </w:t>
      </w:r>
      <w:r w:rsidR="00D94EF6">
        <w:t>only 27</w:t>
      </w:r>
      <w:r>
        <w:t xml:space="preserve"> percent</w:t>
      </w:r>
      <w:r w:rsidR="00D94EF6">
        <w:t xml:space="preserve">, this represents a </w:t>
      </w:r>
      <w:r w:rsidR="00E80C0E">
        <w:t xml:space="preserve">substantial impact </w:t>
      </w:r>
      <w:r w:rsidR="00D94EF6">
        <w:t xml:space="preserve">on </w:t>
      </w:r>
      <w:r w:rsidR="00E80C0E">
        <w:t xml:space="preserve">this </w:t>
      </w:r>
      <w:r w:rsidR="00D94EF6">
        <w:t>school qualification rate</w:t>
      </w:r>
      <w:r w:rsidR="00E80C0E">
        <w:t xml:space="preserve"> (an increase of more than one-third)</w:t>
      </w:r>
      <w:r w:rsidR="00341F4B">
        <w:t>.</w:t>
      </w:r>
      <w:r w:rsidR="00002747">
        <w:t xml:space="preserve"> There is no additional impact on the completion of NCEA </w:t>
      </w:r>
      <w:r>
        <w:t>L</w:t>
      </w:r>
      <w:r w:rsidR="00002747">
        <w:t>evel 1</w:t>
      </w:r>
      <w:r w:rsidR="00492860">
        <w:t xml:space="preserve"> </w:t>
      </w:r>
      <w:r w:rsidR="00002747">
        <w:t xml:space="preserve">from </w:t>
      </w:r>
      <w:r>
        <w:t xml:space="preserve">the young woman </w:t>
      </w:r>
      <w:r w:rsidR="00002747">
        <w:t xml:space="preserve">being close to a TPU when </w:t>
      </w:r>
      <w:r>
        <w:t>she</w:t>
      </w:r>
      <w:r w:rsidR="00002747">
        <w:t xml:space="preserve"> conceived. </w:t>
      </w:r>
    </w:p>
    <w:p w:rsidR="00AC1ADB" w:rsidRDefault="000C3CED" w:rsidP="003417EB">
      <w:pPr>
        <w:pStyle w:val="Body"/>
        <w:jc w:val="both"/>
      </w:pPr>
      <w:r>
        <w:t xml:space="preserve">A similar effect, but smaller in magnitude, is found for the probability of </w:t>
      </w:r>
      <w:r w:rsidR="00002747">
        <w:t>complet</w:t>
      </w:r>
      <w:r>
        <w:t xml:space="preserve">ing </w:t>
      </w:r>
      <w:r w:rsidR="00002747">
        <w:t xml:space="preserve">NCEA </w:t>
      </w:r>
      <w:r w:rsidR="003A5830">
        <w:t>L</w:t>
      </w:r>
      <w:r w:rsidR="00002747">
        <w:t>evel 2</w:t>
      </w:r>
      <w:r>
        <w:t xml:space="preserve"> qualifications by age 19</w:t>
      </w:r>
      <w:r w:rsidR="00002747">
        <w:t xml:space="preserve">. </w:t>
      </w:r>
      <w:r>
        <w:t>Being enrolled in a TPU governing school at conception increases the probability of completing NCEA Level 2 by 5.5 percentage points. This estimated effect is statistically significant at better than a 5 percent level. Again, there is no additional impact on the completion of the NCEA Level 2 from being close to a TPU governing school at conception.</w:t>
      </w:r>
    </w:p>
    <w:p w:rsidR="0094785A" w:rsidRPr="004F4C26" w:rsidRDefault="0094785A" w:rsidP="003417EB">
      <w:pPr>
        <w:pStyle w:val="Body"/>
        <w:jc w:val="both"/>
        <w:rPr>
          <w:lang w:val="en-US"/>
        </w:rPr>
      </w:pPr>
      <w:r>
        <w:t xml:space="preserve">An additional interesting result is the large impact on school qualification rates of being enrolled in </w:t>
      </w:r>
      <w:r w:rsidRPr="004F4C26">
        <w:rPr>
          <w:i/>
        </w:rPr>
        <w:t>any school</w:t>
      </w:r>
      <w:r>
        <w:t xml:space="preserve"> at the time of conception. </w:t>
      </w:r>
      <w:r w:rsidR="00A9669B">
        <w:t>Young women who conceive</w:t>
      </w:r>
      <w:r w:rsidR="00E13386">
        <w:t>d</w:t>
      </w:r>
      <w:r w:rsidR="00A9669B">
        <w:t xml:space="preserve"> while enrolled in school are 2</w:t>
      </w:r>
      <w:r w:rsidR="00E13386">
        <w:t>4.4</w:t>
      </w:r>
      <w:r w:rsidR="00A9669B">
        <w:t xml:space="preserve"> percentage points more likely to complete </w:t>
      </w:r>
      <w:r w:rsidR="00E13386">
        <w:t xml:space="preserve">a </w:t>
      </w:r>
      <w:r w:rsidR="00A9669B">
        <w:t xml:space="preserve">NCEA </w:t>
      </w:r>
      <w:r w:rsidR="00AE3193">
        <w:t>L</w:t>
      </w:r>
      <w:r w:rsidR="00A9669B">
        <w:t xml:space="preserve">evel 1 </w:t>
      </w:r>
      <w:r w:rsidR="00E13386">
        <w:t xml:space="preserve">qualification, </w:t>
      </w:r>
      <w:r w:rsidR="00A9669B">
        <w:t>and 19</w:t>
      </w:r>
      <w:r w:rsidR="00E13386">
        <w:t>.6</w:t>
      </w:r>
      <w:r w:rsidR="00A9669B">
        <w:t xml:space="preserve"> percentage points more likely to complete </w:t>
      </w:r>
      <w:r w:rsidR="00B96616">
        <w:t xml:space="preserve">a </w:t>
      </w:r>
      <w:r w:rsidR="00A9669B">
        <w:t xml:space="preserve">NCEA </w:t>
      </w:r>
      <w:r w:rsidR="00AE3193">
        <w:t>L</w:t>
      </w:r>
      <w:r w:rsidR="00A9669B">
        <w:t>evel 2</w:t>
      </w:r>
      <w:r w:rsidR="00E13386">
        <w:t xml:space="preserve"> qualification by age 19</w:t>
      </w:r>
      <w:r w:rsidR="00A9669B">
        <w:t xml:space="preserve">. </w:t>
      </w:r>
      <w:r w:rsidR="00C04C77">
        <w:rPr>
          <w:rStyle w:val="FootnoteReference"/>
        </w:rPr>
        <w:footnoteReference w:id="22"/>
      </w:r>
    </w:p>
    <w:p w:rsidR="00E05949" w:rsidRPr="009126F2" w:rsidRDefault="007360B1">
      <w:pPr>
        <w:pStyle w:val="Heading2"/>
        <w:rPr>
          <w:sz w:val="24"/>
          <w:szCs w:val="24"/>
        </w:rPr>
      </w:pPr>
      <w:bookmarkStart w:id="35" w:name="_Toc473803313"/>
      <w:r w:rsidRPr="009126F2">
        <w:rPr>
          <w:sz w:val="24"/>
          <w:szCs w:val="24"/>
        </w:rPr>
        <w:t xml:space="preserve">Selection into Birth and Access to </w:t>
      </w:r>
      <w:r w:rsidR="00636986" w:rsidRPr="009126F2">
        <w:rPr>
          <w:sz w:val="24"/>
          <w:szCs w:val="24"/>
        </w:rPr>
        <w:t xml:space="preserve">a </w:t>
      </w:r>
      <w:r w:rsidR="009A1012" w:rsidRPr="009126F2">
        <w:rPr>
          <w:sz w:val="24"/>
          <w:szCs w:val="24"/>
        </w:rPr>
        <w:t>TPU</w:t>
      </w:r>
      <w:bookmarkEnd w:id="35"/>
      <w:r w:rsidR="009A1012" w:rsidRPr="009126F2">
        <w:rPr>
          <w:sz w:val="24"/>
          <w:szCs w:val="24"/>
        </w:rPr>
        <w:t xml:space="preserve"> </w:t>
      </w:r>
    </w:p>
    <w:p w:rsidR="00E05949" w:rsidRPr="00B12C8E" w:rsidRDefault="009A1012" w:rsidP="00BD384F">
      <w:pPr>
        <w:pStyle w:val="Body"/>
        <w:jc w:val="both"/>
      </w:pPr>
      <w:r w:rsidRPr="00B12C8E">
        <w:t xml:space="preserve">New Zealand has fairly permissive abortion laws. </w:t>
      </w:r>
      <w:r w:rsidR="00DC46C4" w:rsidRPr="00B12C8E">
        <w:rPr>
          <w:lang w:val="en-US"/>
        </w:rPr>
        <w:t>It</w:t>
      </w:r>
      <w:r w:rsidR="00DC4845">
        <w:rPr>
          <w:lang w:val="en-US"/>
        </w:rPr>
        <w:t>’</w:t>
      </w:r>
      <w:r w:rsidR="00DC46C4" w:rsidRPr="00B12C8E">
        <w:rPr>
          <w:lang w:val="en-US"/>
        </w:rPr>
        <w:t>s estimated that the proportion of teen pregnancies that end in abortion in New Zealand range</w:t>
      </w:r>
      <w:r w:rsidR="007E2364" w:rsidRPr="00B12C8E">
        <w:rPr>
          <w:lang w:val="en-US"/>
        </w:rPr>
        <w:t>s</w:t>
      </w:r>
      <w:r w:rsidR="0024398F">
        <w:rPr>
          <w:lang w:val="en-US"/>
        </w:rPr>
        <w:t xml:space="preserve"> from 65</w:t>
      </w:r>
      <w:r w:rsidR="009E267A">
        <w:rPr>
          <w:lang w:val="en-US"/>
        </w:rPr>
        <w:t xml:space="preserve"> percent</w:t>
      </w:r>
      <w:r w:rsidR="001115D0">
        <w:rPr>
          <w:lang w:val="en-US"/>
        </w:rPr>
        <w:t xml:space="preserve"> </w:t>
      </w:r>
      <w:r w:rsidR="00DC46C4" w:rsidRPr="00B12C8E">
        <w:rPr>
          <w:lang w:val="en-US"/>
        </w:rPr>
        <w:t xml:space="preserve">among females </w:t>
      </w:r>
      <w:r w:rsidR="00AD0116">
        <w:rPr>
          <w:lang w:val="en-US"/>
        </w:rPr>
        <w:t xml:space="preserve">aged </w:t>
      </w:r>
      <w:r w:rsidR="00DC46C4" w:rsidRPr="00B12C8E">
        <w:rPr>
          <w:lang w:val="en-US"/>
        </w:rPr>
        <w:t>10</w:t>
      </w:r>
      <w:r w:rsidR="00DC4845">
        <w:rPr>
          <w:lang w:val="en-US"/>
        </w:rPr>
        <w:t xml:space="preserve"> to</w:t>
      </w:r>
      <w:r w:rsidR="00AD0116">
        <w:rPr>
          <w:lang w:val="en-US"/>
        </w:rPr>
        <w:t xml:space="preserve"> </w:t>
      </w:r>
      <w:r w:rsidR="00DC46C4" w:rsidRPr="00B12C8E">
        <w:rPr>
          <w:lang w:val="en-US"/>
        </w:rPr>
        <w:t xml:space="preserve">14 years old </w:t>
      </w:r>
      <w:r w:rsidR="0077009C">
        <w:rPr>
          <w:lang w:val="en-US"/>
        </w:rPr>
        <w:t>to</w:t>
      </w:r>
      <w:r w:rsidR="00DC46C4" w:rsidRPr="00B12C8E">
        <w:rPr>
          <w:lang w:val="en-US"/>
        </w:rPr>
        <w:t xml:space="preserve"> 36</w:t>
      </w:r>
      <w:r w:rsidR="009E267A">
        <w:rPr>
          <w:lang w:val="en-US"/>
        </w:rPr>
        <w:t xml:space="preserve"> percent</w:t>
      </w:r>
      <w:r w:rsidR="00DC46C4" w:rsidRPr="00B12C8E">
        <w:rPr>
          <w:lang w:val="en-US"/>
        </w:rPr>
        <w:t xml:space="preserve"> among females </w:t>
      </w:r>
      <w:r w:rsidR="00AD0116">
        <w:rPr>
          <w:lang w:val="en-US"/>
        </w:rPr>
        <w:t xml:space="preserve">aged </w:t>
      </w:r>
      <w:r w:rsidR="00DC46C4" w:rsidRPr="00B12C8E">
        <w:rPr>
          <w:lang w:val="en-US"/>
        </w:rPr>
        <w:t>15</w:t>
      </w:r>
      <w:r w:rsidR="00DC4845">
        <w:rPr>
          <w:lang w:val="en-US"/>
        </w:rPr>
        <w:t xml:space="preserve"> to </w:t>
      </w:r>
      <w:r w:rsidR="00DC46C4" w:rsidRPr="00B12C8E">
        <w:rPr>
          <w:lang w:val="en-US"/>
        </w:rPr>
        <w:t>19 years old</w:t>
      </w:r>
      <w:r w:rsidR="00E109CF">
        <w:rPr>
          <w:lang w:val="en-US"/>
        </w:rPr>
        <w:t xml:space="preserve"> (Sedgh et al., 2015)</w:t>
      </w:r>
      <w:r w:rsidR="00DC46C4" w:rsidRPr="00B12C8E">
        <w:rPr>
          <w:lang w:val="en-US"/>
        </w:rPr>
        <w:t xml:space="preserve">.  </w:t>
      </w:r>
      <w:r w:rsidRPr="00B12C8E">
        <w:t xml:space="preserve">This poses a threat to the validity of our empirical </w:t>
      </w:r>
      <w:r w:rsidR="00152BF5" w:rsidRPr="00B12C8E">
        <w:t>strategy</w:t>
      </w:r>
      <w:r w:rsidRPr="00B12C8E">
        <w:t xml:space="preserve">, because young women who live in areas without TPUs </w:t>
      </w:r>
      <w:r w:rsidR="00BC2883" w:rsidRPr="00B12C8E">
        <w:t xml:space="preserve">face </w:t>
      </w:r>
      <w:r w:rsidR="00D52153" w:rsidRPr="00B12C8E">
        <w:t xml:space="preserve">different </w:t>
      </w:r>
      <w:r w:rsidR="00B332AA">
        <w:t xml:space="preserve">educational </w:t>
      </w:r>
      <w:r w:rsidR="004B44B7">
        <w:t>penalt</w:t>
      </w:r>
      <w:r w:rsidR="00DC4845">
        <w:t>ies</w:t>
      </w:r>
      <w:r w:rsidR="004B44B7">
        <w:t xml:space="preserve"> </w:t>
      </w:r>
      <w:r w:rsidR="00BC2883" w:rsidRPr="00B12C8E">
        <w:t xml:space="preserve">from </w:t>
      </w:r>
      <w:r w:rsidR="0024398F">
        <w:t>carrying their pregnancy to term</w:t>
      </w:r>
      <w:r w:rsidR="00D52153" w:rsidRPr="00B12C8E">
        <w:t xml:space="preserve"> </w:t>
      </w:r>
      <w:r w:rsidR="00BC2883" w:rsidRPr="00B12C8E">
        <w:t xml:space="preserve">to those with ready access to TPUs. </w:t>
      </w:r>
      <w:r w:rsidR="0044111C" w:rsidRPr="00B12C8E">
        <w:t xml:space="preserve">In particular, those with access to TPUs have </w:t>
      </w:r>
      <w:r w:rsidR="006018EA" w:rsidRPr="00B12C8E">
        <w:t xml:space="preserve">better post-birth schooling options. </w:t>
      </w:r>
    </w:p>
    <w:p w:rsidR="00E05949" w:rsidRPr="00B12C8E" w:rsidRDefault="009A1012">
      <w:pPr>
        <w:pStyle w:val="Body"/>
        <w:spacing w:before="100" w:after="0"/>
        <w:jc w:val="both"/>
        <w:rPr>
          <w:lang w:val="en-US"/>
        </w:rPr>
      </w:pPr>
      <w:r w:rsidRPr="00B12C8E">
        <w:rPr>
          <w:lang w:val="en-US"/>
        </w:rPr>
        <w:t>Unfortunately, we do not have any information on pregnancies or terminations</w:t>
      </w:r>
      <w:r w:rsidR="007E2364" w:rsidRPr="00B12C8E">
        <w:rPr>
          <w:lang w:val="en-US"/>
        </w:rPr>
        <w:t xml:space="preserve"> in the data available to us</w:t>
      </w:r>
      <w:r w:rsidRPr="00B12C8E">
        <w:rPr>
          <w:lang w:val="en-US"/>
        </w:rPr>
        <w:t xml:space="preserve">, and therefore we are unable to </w:t>
      </w:r>
      <w:r w:rsidR="00914026" w:rsidRPr="00B12C8E">
        <w:rPr>
          <w:lang w:val="en-US"/>
        </w:rPr>
        <w:t xml:space="preserve">directly test </w:t>
      </w:r>
      <w:r w:rsidR="00636986">
        <w:rPr>
          <w:lang w:val="en-US"/>
        </w:rPr>
        <w:t>whether access to a TPU has an impact on whether pregnancies are carried to term</w:t>
      </w:r>
      <w:r w:rsidRPr="00B12C8E">
        <w:rPr>
          <w:lang w:val="en-US"/>
        </w:rPr>
        <w:t xml:space="preserve">. However, </w:t>
      </w:r>
      <w:r w:rsidR="00F805BC" w:rsidRPr="00B12C8E">
        <w:rPr>
          <w:lang w:val="en-US"/>
        </w:rPr>
        <w:t xml:space="preserve">an indirect </w:t>
      </w:r>
      <w:r w:rsidRPr="00B12C8E">
        <w:rPr>
          <w:lang w:val="en-US"/>
        </w:rPr>
        <w:t xml:space="preserve">test </w:t>
      </w:r>
      <w:r w:rsidR="00F805BC" w:rsidRPr="00B12C8E">
        <w:rPr>
          <w:lang w:val="en-US"/>
        </w:rPr>
        <w:t xml:space="preserve">can be undertaken by estimating </w:t>
      </w:r>
      <w:r w:rsidRPr="00B12C8E">
        <w:rPr>
          <w:lang w:val="en-US"/>
        </w:rPr>
        <w:t xml:space="preserve">the following model </w:t>
      </w:r>
      <w:r w:rsidR="003D2E01" w:rsidRPr="00B12C8E">
        <w:rPr>
          <w:lang w:val="en-US"/>
        </w:rPr>
        <w:t xml:space="preserve">for </w:t>
      </w:r>
      <w:r w:rsidRPr="00B12C8E">
        <w:rPr>
          <w:lang w:val="en-US"/>
        </w:rPr>
        <w:t xml:space="preserve">all young women who were enrolled at </w:t>
      </w:r>
      <w:r w:rsidR="001C6158">
        <w:rPr>
          <w:lang w:val="en-US"/>
        </w:rPr>
        <w:t xml:space="preserve">age </w:t>
      </w:r>
      <w:r w:rsidRPr="00B12C8E">
        <w:rPr>
          <w:lang w:val="en-US"/>
        </w:rPr>
        <w:t xml:space="preserve">14. </w:t>
      </w:r>
    </w:p>
    <w:p w:rsidR="00FD3876" w:rsidRPr="00B12C8E" w:rsidRDefault="00525B66" w:rsidP="00525B66">
      <w:pPr>
        <w:pStyle w:val="Body"/>
      </w:pPr>
      <w:r w:rsidRPr="00B12C8E">
        <w:t>(</w:t>
      </w:r>
      <w:r w:rsidR="00DC1C8C">
        <w:t>3</w:t>
      </w:r>
      <w:r w:rsidRPr="00B12C8E">
        <w:t>)</w:t>
      </w:r>
      <w:r w:rsidRPr="00B12C8E">
        <w:tab/>
      </w:r>
      <w:r w:rsidR="00DC1C8C">
        <w:t xml:space="preserve">   </w:t>
      </w:r>
      <w:r w:rsidRPr="00B12C8E">
        <w:tab/>
      </w:r>
      <w:r w:rsidR="00DC1C8C">
        <w:t xml:space="preserve">     </w:t>
      </w:r>
      <w:r w:rsidR="00DC4845">
        <w:t xml:space="preserve">       </w:t>
      </w:r>
      <w:r w:rsidR="00DC1C8C">
        <w:t xml:space="preserve"> </w:t>
      </w:r>
      <m:oMath>
        <m:func>
          <m:funcPr>
            <m:ctrlPr>
              <w:rPr>
                <w:rFonts w:ascii="Cambria Math" w:hAnsi="Cambria Math"/>
              </w:rPr>
            </m:ctrlPr>
          </m:funcPr>
          <m:fName>
            <m:r>
              <w:rPr>
                <w:rFonts w:ascii="Cambria Math" w:hAnsi="Cambria Math"/>
              </w:rPr>
              <m:t>Pr</m:t>
            </m:r>
          </m:fName>
          <m:e>
            <m:d>
              <m:dPr>
                <m:ctrlPr>
                  <w:rPr>
                    <w:rFonts w:ascii="Cambria Math" w:hAnsi="Cambria Math"/>
                  </w:rPr>
                </m:ctrlPr>
              </m:dPr>
              <m:e>
                <m:r>
                  <w:rPr>
                    <w:rFonts w:ascii="Cambria Math" w:hAnsi="Cambria Math"/>
                  </w:rPr>
                  <m:t>BIRTH</m:t>
                </m:r>
                <m:r>
                  <m:rPr>
                    <m:sty m:val="p"/>
                  </m:rPr>
                  <w:rPr>
                    <w:rFonts w:ascii="Cambria Math" w:hAnsi="Cambria Math"/>
                  </w:rPr>
                  <m:t>=1</m:t>
                </m:r>
              </m:e>
            </m:d>
          </m:e>
        </m:func>
        <m:r>
          <m:rPr>
            <m:sty m:val="p"/>
          </m:rPr>
          <w:rPr>
            <w:rFonts w:ascii="Cambria Math" w:hAnsi="Cambria Math"/>
          </w:rPr>
          <m:t>=Φ</m:t>
        </m:r>
        <m:d>
          <m:dPr>
            <m:ctrlPr>
              <w:rPr>
                <w:rFonts w:ascii="Cambria Math" w:hAnsi="Cambria Math"/>
                <w:iCs/>
                <w:lang w:val="en-NZ"/>
              </w:rPr>
            </m:ctrlPr>
          </m:dPr>
          <m:e>
            <m:sSub>
              <m:sSubPr>
                <m:ctrlPr>
                  <w:rPr>
                    <w:rFonts w:ascii="Cambria Math" w:hAnsi="Cambria Math"/>
                    <w:iCs/>
                    <w:lang w:val="en-NZ"/>
                  </w:rPr>
                </m:ctrlPr>
              </m:sSubPr>
              <m:e>
                <m:r>
                  <w:rPr>
                    <w:rFonts w:ascii="Cambria Math" w:hAnsi="Cambria Math"/>
                  </w:rPr>
                  <m:t>γ</m:t>
                </m:r>
              </m:e>
              <m:sub>
                <m:r>
                  <m:rPr>
                    <m:sty m:val="p"/>
                  </m:rPr>
                  <w:rPr>
                    <w:rFonts w:ascii="Cambria Math" w:hAnsi="Cambria Math"/>
                  </w:rPr>
                  <m:t>0</m:t>
                </m:r>
              </m:sub>
            </m:sSub>
            <m:r>
              <m:rPr>
                <m:sty m:val="p"/>
              </m:rPr>
              <w:rPr>
                <w:rFonts w:ascii="Cambria Math" w:hAnsi="Cambria Math"/>
              </w:rPr>
              <m:t>+</m:t>
            </m:r>
            <m:sSub>
              <m:sSubPr>
                <m:ctrlPr>
                  <w:rPr>
                    <w:rFonts w:ascii="Cambria Math" w:hAnsi="Cambria Math"/>
                    <w:iCs/>
                    <w:lang w:val="en-NZ"/>
                  </w:rPr>
                </m:ctrlPr>
              </m:sSubPr>
              <m:e>
                <m:r>
                  <w:rPr>
                    <w:rFonts w:ascii="Cambria Math" w:hAnsi="Cambria Math"/>
                  </w:rPr>
                  <m:t>γ</m:t>
                </m:r>
              </m:e>
              <m:sub>
                <m:r>
                  <m:rPr>
                    <m:sty m:val="p"/>
                  </m:rPr>
                  <w:rPr>
                    <w:rFonts w:ascii="Cambria Math" w:hAnsi="Cambria Math"/>
                  </w:rPr>
                  <m:t>1</m:t>
                </m:r>
              </m:sub>
            </m:sSub>
            <m:r>
              <w:rPr>
                <w:rFonts w:ascii="Cambria Math" w:hAnsi="Cambria Math"/>
              </w:rPr>
              <m:t>Z</m:t>
            </m:r>
            <m:r>
              <m:rPr>
                <m:sty m:val="p"/>
              </m:rPr>
              <w:rPr>
                <w:rFonts w:ascii="Cambria Math" w:hAnsi="Cambria Math"/>
              </w:rPr>
              <m:t>+</m:t>
            </m:r>
            <m:sSub>
              <m:sSubPr>
                <m:ctrlPr>
                  <w:rPr>
                    <w:rFonts w:ascii="Cambria Math" w:hAnsi="Cambria Math"/>
                    <w:iCs/>
                    <w:lang w:val="en-NZ"/>
                  </w:rPr>
                </m:ctrlPr>
              </m:sSubPr>
              <m:e>
                <m:r>
                  <w:rPr>
                    <w:rFonts w:ascii="Cambria Math" w:hAnsi="Cambria Math"/>
                  </w:rPr>
                  <m:t>γ</m:t>
                </m:r>
              </m:e>
              <m:sub>
                <m:r>
                  <m:rPr>
                    <m:sty m:val="p"/>
                  </m:rPr>
                  <w:rPr>
                    <w:rFonts w:ascii="Cambria Math" w:hAnsi="Cambria Math"/>
                  </w:rPr>
                  <m:t>2</m:t>
                </m:r>
              </m:sub>
            </m:sSub>
            <m:r>
              <w:rPr>
                <w:rFonts w:ascii="Cambria Math" w:hAnsi="Cambria Math"/>
              </w:rPr>
              <m:t>TP</m:t>
            </m:r>
            <m:sSub>
              <m:sSubPr>
                <m:ctrlPr>
                  <w:rPr>
                    <w:rFonts w:ascii="Cambria Math" w:hAnsi="Cambria Math"/>
                  </w:rPr>
                </m:ctrlPr>
              </m:sSubPr>
              <m:e>
                <m:r>
                  <w:rPr>
                    <w:rFonts w:ascii="Cambria Math" w:hAnsi="Cambria Math"/>
                  </w:rPr>
                  <m:t>U</m:t>
                </m:r>
              </m:e>
              <m:sub>
                <m:r>
                  <w:rPr>
                    <w:rFonts w:ascii="Cambria Math" w:hAnsi="Cambria Math"/>
                  </w:rPr>
                  <m:t>age</m:t>
                </m:r>
                <m:r>
                  <m:rPr>
                    <m:sty m:val="p"/>
                  </m:rPr>
                  <w:rPr>
                    <w:rFonts w:ascii="Cambria Math" w:hAnsi="Cambria Math"/>
                  </w:rPr>
                  <m:t>=14</m:t>
                </m:r>
              </m:sub>
            </m:sSub>
          </m:e>
        </m:d>
      </m:oMath>
    </w:p>
    <w:p w:rsidR="00D732A8" w:rsidRDefault="009A1012" w:rsidP="00953DB3">
      <w:pPr>
        <w:pStyle w:val="Body"/>
        <w:jc w:val="both"/>
        <w:rPr>
          <w:lang w:val="en-US"/>
        </w:rPr>
      </w:pPr>
      <w:r w:rsidRPr="00B12C8E">
        <w:rPr>
          <w:lang w:val="en-US"/>
        </w:rPr>
        <w:t xml:space="preserve">where BIRTH indicates whether </w:t>
      </w:r>
      <w:r w:rsidR="00DC4845">
        <w:rPr>
          <w:lang w:val="en-US"/>
        </w:rPr>
        <w:t>or not a</w:t>
      </w:r>
      <w:r w:rsidRPr="00B12C8E">
        <w:rPr>
          <w:lang w:val="en-US"/>
        </w:rPr>
        <w:t xml:space="preserve"> young woman became a teen mother, </w:t>
      </w:r>
      <w:r w:rsidR="00E96D9B" w:rsidRPr="00B12C8E">
        <w:rPr>
          <w:i/>
          <w:lang w:val="en-US"/>
        </w:rPr>
        <w:t>Z</w:t>
      </w:r>
      <w:r w:rsidRPr="00B12C8E">
        <w:rPr>
          <w:i/>
          <w:lang w:val="en-US"/>
        </w:rPr>
        <w:t xml:space="preserve"> </w:t>
      </w:r>
      <w:r w:rsidR="00673FB8">
        <w:rPr>
          <w:lang w:val="en-US"/>
        </w:rPr>
        <w:t>is</w:t>
      </w:r>
      <w:r w:rsidRPr="00B12C8E">
        <w:rPr>
          <w:lang w:val="en-US"/>
        </w:rPr>
        <w:t xml:space="preserve"> a s</w:t>
      </w:r>
      <w:r w:rsidR="00134C93" w:rsidRPr="00B12C8E">
        <w:rPr>
          <w:lang w:val="en-US"/>
        </w:rPr>
        <w:t xml:space="preserve">et of control variables and </w:t>
      </w:r>
      <w:r w:rsidR="00134C93" w:rsidRPr="00B12C8E">
        <w:rPr>
          <w:i/>
          <w:lang w:val="en-US"/>
        </w:rPr>
        <w:t>TPU</w:t>
      </w:r>
      <w:r w:rsidR="00134C93" w:rsidRPr="00B12C8E">
        <w:rPr>
          <w:i/>
          <w:vertAlign w:val="subscript"/>
          <w:lang w:val="en-US"/>
        </w:rPr>
        <w:t>age=14</w:t>
      </w:r>
      <w:r w:rsidR="00134C93" w:rsidRPr="00B12C8E">
        <w:rPr>
          <w:vertAlign w:val="subscript"/>
          <w:lang w:val="en-US"/>
        </w:rPr>
        <w:t xml:space="preserve"> </w:t>
      </w:r>
      <w:r w:rsidRPr="00B12C8E">
        <w:rPr>
          <w:lang w:val="en-US"/>
        </w:rPr>
        <w:t xml:space="preserve">indicates whether the young woman was enrolled in a TPU </w:t>
      </w:r>
      <w:r w:rsidR="00566F2C">
        <w:rPr>
          <w:lang w:val="en-US"/>
        </w:rPr>
        <w:t>governing</w:t>
      </w:r>
      <w:r w:rsidRPr="00B12C8E">
        <w:rPr>
          <w:lang w:val="en-US"/>
        </w:rPr>
        <w:t xml:space="preserve"> school at age 14 (and prior to any conception). The sign of the coefficient </w:t>
      </w:r>
      <w:r w:rsidR="009176E0" w:rsidRPr="00B12C8E">
        <w:rPr>
          <w:rFonts w:cs="Times New Roman"/>
          <w:sz w:val="28"/>
          <w:lang w:val="en-US"/>
        </w:rPr>
        <w:t>γ</w:t>
      </w:r>
      <w:r w:rsidR="009176E0" w:rsidRPr="00B12C8E">
        <w:rPr>
          <w:vertAlign w:val="subscript"/>
          <w:lang w:val="en-US"/>
        </w:rPr>
        <w:t>2</w:t>
      </w:r>
      <w:r w:rsidRPr="00B12C8E">
        <w:rPr>
          <w:lang w:val="en-US"/>
        </w:rPr>
        <w:t xml:space="preserve"> is of interest </w:t>
      </w:r>
      <w:r w:rsidR="009176E0" w:rsidRPr="00B12C8E">
        <w:rPr>
          <w:lang w:val="en-US"/>
        </w:rPr>
        <w:t xml:space="preserve">to us as it </w:t>
      </w:r>
      <w:r w:rsidR="00AD17A3" w:rsidRPr="00B12C8E">
        <w:rPr>
          <w:lang w:val="en-US"/>
        </w:rPr>
        <w:t xml:space="preserve">indicates </w:t>
      </w:r>
      <w:r w:rsidRPr="00B12C8E">
        <w:rPr>
          <w:lang w:val="en-US"/>
        </w:rPr>
        <w:t>whether easy access to a TPU increase</w:t>
      </w:r>
      <w:r w:rsidR="00AF7BAC" w:rsidRPr="00B12C8E">
        <w:rPr>
          <w:lang w:val="en-US"/>
        </w:rPr>
        <w:t>s</w:t>
      </w:r>
      <w:r w:rsidRPr="00B12C8E">
        <w:rPr>
          <w:lang w:val="en-US"/>
        </w:rPr>
        <w:t xml:space="preserve"> </w:t>
      </w:r>
      <w:r w:rsidR="00F05F97">
        <w:rPr>
          <w:lang w:val="en-US"/>
        </w:rPr>
        <w:t xml:space="preserve">the </w:t>
      </w:r>
      <w:r w:rsidRPr="00B12C8E">
        <w:rPr>
          <w:lang w:val="en-US"/>
        </w:rPr>
        <w:t xml:space="preserve">teenage birth rate. </w:t>
      </w:r>
    </w:p>
    <w:p w:rsidR="00667B3E" w:rsidRDefault="009374A4" w:rsidP="00953DB3">
      <w:pPr>
        <w:pStyle w:val="Body"/>
        <w:jc w:val="both"/>
      </w:pPr>
      <w:r w:rsidRPr="009374A4">
        <w:rPr>
          <w:lang w:val="en-US"/>
        </w:rPr>
        <w:fldChar w:fldCharType="begin"/>
      </w:r>
      <w:r w:rsidRPr="009374A4">
        <w:rPr>
          <w:lang w:val="en-US"/>
        </w:rPr>
        <w:instrText xml:space="preserve"> REF _Ref453080871 \h  \* MERGEFORMAT </w:instrText>
      </w:r>
      <w:r w:rsidRPr="009374A4">
        <w:rPr>
          <w:lang w:val="en-US"/>
        </w:rPr>
      </w:r>
      <w:r w:rsidRPr="009374A4">
        <w:rPr>
          <w:lang w:val="en-US"/>
        </w:rPr>
        <w:fldChar w:fldCharType="separate"/>
      </w:r>
      <w:r w:rsidR="00C508A3" w:rsidRPr="00D57003">
        <w:rPr>
          <w:noProof/>
        </w:rPr>
        <w:t>Table</w:t>
      </w:r>
      <w:r w:rsidR="00C508A3" w:rsidRPr="00D57003">
        <w:t xml:space="preserve"> </w:t>
      </w:r>
      <w:r w:rsidR="00C508A3">
        <w:rPr>
          <w:noProof/>
        </w:rPr>
        <w:t>9</w:t>
      </w:r>
      <w:r w:rsidRPr="009374A4">
        <w:rPr>
          <w:lang w:val="en-US"/>
        </w:rPr>
        <w:fldChar w:fldCharType="end"/>
      </w:r>
      <w:r>
        <w:rPr>
          <w:lang w:val="en-US"/>
        </w:rPr>
        <w:t xml:space="preserve"> </w:t>
      </w:r>
      <w:r w:rsidR="009A1012" w:rsidRPr="00B12C8E">
        <w:rPr>
          <w:lang w:val="en-US"/>
        </w:rPr>
        <w:t xml:space="preserve">reports the </w:t>
      </w:r>
      <w:r w:rsidR="006817EC">
        <w:rPr>
          <w:lang w:val="en-US"/>
        </w:rPr>
        <w:t xml:space="preserve">key </w:t>
      </w:r>
      <w:r w:rsidR="009A1012" w:rsidRPr="00B12C8E">
        <w:rPr>
          <w:lang w:val="en-US"/>
        </w:rPr>
        <w:t>results of this regression.</w:t>
      </w:r>
      <w:r w:rsidR="00FB6CC6">
        <w:rPr>
          <w:rStyle w:val="FootnoteReference"/>
        </w:rPr>
        <w:footnoteReference w:id="23"/>
      </w:r>
      <w:r w:rsidR="00FB6CC6" w:rsidRPr="00B12C8E">
        <w:t xml:space="preserve"> </w:t>
      </w:r>
      <w:r w:rsidR="00CF2F73" w:rsidRPr="00B12C8E">
        <w:rPr>
          <w:lang w:val="en-US"/>
        </w:rPr>
        <w:t xml:space="preserve"> </w:t>
      </w:r>
      <w:r w:rsidR="009A1012" w:rsidRPr="00B12C8E">
        <w:rPr>
          <w:lang w:val="en-US"/>
        </w:rPr>
        <w:t xml:space="preserve">We find that being enrolled in a TPU </w:t>
      </w:r>
      <w:r w:rsidR="00566F2C">
        <w:rPr>
          <w:lang w:val="en-US"/>
        </w:rPr>
        <w:t>governing</w:t>
      </w:r>
      <w:r w:rsidR="009A1012" w:rsidRPr="00B12C8E">
        <w:rPr>
          <w:lang w:val="en-US"/>
        </w:rPr>
        <w:t xml:space="preserve"> school </w:t>
      </w:r>
      <w:r w:rsidR="00031C88" w:rsidRPr="00B12C8E">
        <w:rPr>
          <w:lang w:val="en-US"/>
        </w:rPr>
        <w:t xml:space="preserve">at age 14 </w:t>
      </w:r>
      <w:r w:rsidR="00DF661F">
        <w:rPr>
          <w:lang w:val="en-US"/>
        </w:rPr>
        <w:t>has no measura</w:t>
      </w:r>
      <w:r w:rsidR="00A96886">
        <w:rPr>
          <w:lang w:val="en-US"/>
        </w:rPr>
        <w:t>ble effect on the probability of giving birth before age 19</w:t>
      </w:r>
      <w:r w:rsidR="009A1012" w:rsidRPr="00B12C8E">
        <w:rPr>
          <w:lang w:val="en-US"/>
        </w:rPr>
        <w:t xml:space="preserve">. </w:t>
      </w:r>
      <w:r w:rsidR="00A96886">
        <w:rPr>
          <w:lang w:val="en-US"/>
        </w:rPr>
        <w:t xml:space="preserve">The estimated coefficient is positive, but statistically insignificant at conventional test levels.  </w:t>
      </w:r>
      <w:r w:rsidR="00031C88" w:rsidRPr="00B12C8E">
        <w:rPr>
          <w:lang w:val="en-US"/>
        </w:rPr>
        <w:t xml:space="preserve">This suggests that </w:t>
      </w:r>
      <w:r w:rsidR="00B97DA2" w:rsidRPr="00B12C8E">
        <w:rPr>
          <w:lang w:val="en-US"/>
        </w:rPr>
        <w:t>conditional on those risk</w:t>
      </w:r>
      <w:r w:rsidR="005A3A18">
        <w:rPr>
          <w:lang w:val="en-US"/>
        </w:rPr>
        <w:t xml:space="preserve"> </w:t>
      </w:r>
      <w:r w:rsidR="00B97DA2" w:rsidRPr="00B12C8E">
        <w:rPr>
          <w:lang w:val="en-US"/>
        </w:rPr>
        <w:t>factors included in</w:t>
      </w:r>
      <w:r w:rsidR="00A96886">
        <w:rPr>
          <w:lang w:val="en-US"/>
        </w:rPr>
        <w:t xml:space="preserve"> the vector</w:t>
      </w:r>
      <w:r w:rsidR="00B97DA2" w:rsidRPr="00B12C8E">
        <w:rPr>
          <w:lang w:val="en-US"/>
        </w:rPr>
        <w:t xml:space="preserve"> </w:t>
      </w:r>
      <w:r w:rsidR="0048075D">
        <w:rPr>
          <w:i/>
          <w:lang w:val="en-US"/>
        </w:rPr>
        <w:t>Z</w:t>
      </w:r>
      <w:r w:rsidR="00B97DA2" w:rsidRPr="00B12C8E">
        <w:rPr>
          <w:lang w:val="en-US"/>
        </w:rPr>
        <w:t xml:space="preserve">, </w:t>
      </w:r>
      <w:r w:rsidR="009A1012" w:rsidRPr="00B12C8E">
        <w:rPr>
          <w:lang w:val="en-US"/>
        </w:rPr>
        <w:t xml:space="preserve">there </w:t>
      </w:r>
      <w:r w:rsidR="007E2364" w:rsidRPr="00B12C8E">
        <w:rPr>
          <w:lang w:val="en-US"/>
        </w:rPr>
        <w:t xml:space="preserve">are </w:t>
      </w:r>
      <w:r w:rsidR="009A1012" w:rsidRPr="00B12C8E">
        <w:rPr>
          <w:lang w:val="en-US"/>
        </w:rPr>
        <w:t xml:space="preserve">no </w:t>
      </w:r>
      <w:r w:rsidR="00B97DA2" w:rsidRPr="00B12C8E">
        <w:rPr>
          <w:lang w:val="en-US"/>
        </w:rPr>
        <w:t>additional unobserved factors</w:t>
      </w:r>
      <w:r w:rsidR="00953DB3" w:rsidRPr="00953DB3">
        <w:t xml:space="preserve"> </w:t>
      </w:r>
      <w:r w:rsidR="00953DB3">
        <w:t>associated with enrolment in a TPU governing school at age 14 that influence the probability of having a teen birth.</w:t>
      </w:r>
    </w:p>
    <w:p w:rsidR="007C5E42" w:rsidRPr="00D57003" w:rsidRDefault="007C5E42" w:rsidP="007C5E42">
      <w:pPr>
        <w:pStyle w:val="Caption"/>
        <w:keepNext/>
        <w:spacing w:before="0" w:after="120"/>
        <w:jc w:val="center"/>
      </w:pPr>
      <w:bookmarkStart w:id="36" w:name="_Ref453080871"/>
      <w:bookmarkStart w:id="37" w:name="_Toc462736181"/>
      <w:bookmarkStart w:id="38" w:name="_Toc475430721"/>
      <w:r w:rsidRPr="00D57003">
        <w:t xml:space="preserve">Table </w:t>
      </w:r>
      <w:r>
        <w:fldChar w:fldCharType="begin"/>
      </w:r>
      <w:r>
        <w:instrText xml:space="preserve"> SEQ Table \* ARABIC </w:instrText>
      </w:r>
      <w:r>
        <w:fldChar w:fldCharType="separate"/>
      </w:r>
      <w:r>
        <w:rPr>
          <w:noProof/>
        </w:rPr>
        <w:t>9</w:t>
      </w:r>
      <w:r>
        <w:fldChar w:fldCharType="end"/>
      </w:r>
      <w:bookmarkEnd w:id="36"/>
      <w:r w:rsidRPr="00D57003">
        <w:t xml:space="preserve">: </w:t>
      </w:r>
      <w:r w:rsidRPr="00D57003">
        <w:rPr>
          <w:szCs w:val="24"/>
        </w:rPr>
        <w:t>E</w:t>
      </w:r>
      <w:r>
        <w:rPr>
          <w:szCs w:val="24"/>
        </w:rPr>
        <w:t>stimated e</w:t>
      </w:r>
      <w:r w:rsidRPr="00D57003">
        <w:rPr>
          <w:szCs w:val="24"/>
        </w:rPr>
        <w:t xml:space="preserve">ffect of TPU governing school enrolment </w:t>
      </w:r>
      <w:r>
        <w:rPr>
          <w:szCs w:val="24"/>
        </w:rPr>
        <w:t xml:space="preserve">for all young women </w:t>
      </w:r>
      <w:r w:rsidRPr="00D57003">
        <w:rPr>
          <w:szCs w:val="24"/>
        </w:rPr>
        <w:t>at age of 14 on the probability of birth</w:t>
      </w:r>
      <w:bookmarkEnd w:id="37"/>
      <w:bookmarkEnd w:id="38"/>
    </w:p>
    <w:tbl>
      <w:tblPr>
        <w:tblStyle w:val="TableGrid"/>
        <w:tblW w:w="6238" w:type="dxa"/>
        <w:jc w:val="center"/>
        <w:tblBorders>
          <w:left w:val="none" w:sz="0" w:space="0" w:color="auto"/>
          <w:right w:val="none" w:sz="0" w:space="0" w:color="auto"/>
        </w:tblBorders>
        <w:tblLook w:val="0600" w:firstRow="0" w:lastRow="0" w:firstColumn="0" w:lastColumn="0" w:noHBand="1" w:noVBand="1"/>
      </w:tblPr>
      <w:tblGrid>
        <w:gridCol w:w="4395"/>
        <w:gridCol w:w="1843"/>
      </w:tblGrid>
      <w:tr w:rsidR="007C5E42" w:rsidRPr="004262FF" w:rsidTr="00A60DC6">
        <w:trPr>
          <w:trHeight w:val="525"/>
          <w:jc w:val="center"/>
        </w:trPr>
        <w:tc>
          <w:tcPr>
            <w:tcW w:w="4395" w:type="dxa"/>
            <w:vAlign w:val="bottom"/>
            <w:hideMark/>
          </w:tcPr>
          <w:p w:rsidR="007C5E42" w:rsidRPr="004262FF" w:rsidRDefault="007C5E42" w:rsidP="00A60DC6">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val="en-NZ" w:eastAsia="en-NZ"/>
              </w:rPr>
            </w:pPr>
          </w:p>
        </w:tc>
        <w:tc>
          <w:tcPr>
            <w:tcW w:w="1843" w:type="dxa"/>
            <w:vAlign w:val="bottom"/>
            <w:hideMark/>
          </w:tcPr>
          <w:p w:rsidR="007C5E42" w:rsidRPr="004262FF" w:rsidRDefault="007C5E42" w:rsidP="00A60DC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36"/>
                <w:bdr w:val="none" w:sz="0" w:space="0" w:color="auto"/>
                <w:lang w:val="en-NZ" w:eastAsia="en-NZ"/>
              </w:rPr>
            </w:pPr>
            <w:r w:rsidRPr="004262FF">
              <w:rPr>
                <w:rFonts w:eastAsiaTheme="minorEastAsia"/>
                <w:color w:val="000000" w:themeColor="dark1"/>
                <w:kern w:val="24"/>
                <w:sz w:val="20"/>
                <w:szCs w:val="32"/>
                <w:bdr w:val="none" w:sz="0" w:space="0" w:color="auto"/>
                <w:lang w:eastAsia="en-NZ"/>
              </w:rPr>
              <w:t>Birth before age 19</w:t>
            </w:r>
          </w:p>
        </w:tc>
      </w:tr>
      <w:tr w:rsidR="007C5E42" w:rsidRPr="004262FF" w:rsidTr="00A60DC6">
        <w:trPr>
          <w:trHeight w:val="915"/>
          <w:jc w:val="center"/>
        </w:trPr>
        <w:tc>
          <w:tcPr>
            <w:tcW w:w="4395" w:type="dxa"/>
            <w:vAlign w:val="center"/>
            <w:hideMark/>
          </w:tcPr>
          <w:p w:rsidR="007C5E42" w:rsidRPr="004262FF" w:rsidRDefault="007C5E42" w:rsidP="00A60D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36"/>
                <w:bdr w:val="none" w:sz="0" w:space="0" w:color="auto"/>
                <w:lang w:val="en-NZ" w:eastAsia="en-NZ"/>
              </w:rPr>
            </w:pPr>
            <w:r w:rsidRPr="004262FF">
              <w:rPr>
                <w:rFonts w:eastAsia="Times New Roman"/>
                <w:color w:val="000000" w:themeColor="dark1"/>
                <w:kern w:val="24"/>
                <w:sz w:val="20"/>
                <w:szCs w:val="28"/>
                <w:bdr w:val="none" w:sz="0" w:space="0" w:color="auto"/>
                <w:lang w:eastAsia="en-NZ"/>
              </w:rPr>
              <w:t xml:space="preserve">TPU governing school enrolled at 14 </w:t>
            </w:r>
            <m:oMath>
              <m:d>
                <m:dPr>
                  <m:ctrlPr>
                    <w:rPr>
                      <w:rFonts w:ascii="Cambria Math" w:eastAsia="Times New Roman" w:hAnsi="Cambria Math"/>
                      <w:color w:val="000000" w:themeColor="dark1"/>
                      <w:kern w:val="24"/>
                      <w:sz w:val="20"/>
                      <w:szCs w:val="28"/>
                      <w:bdr w:val="none" w:sz="0" w:space="0" w:color="auto"/>
                      <w:lang w:eastAsia="en-NZ"/>
                    </w:rPr>
                  </m:ctrlPr>
                </m:dPr>
                <m:e>
                  <m:r>
                    <m:rPr>
                      <m:sty m:val="p"/>
                    </m:rPr>
                    <w:rPr>
                      <w:rFonts w:ascii="Cambria Math" w:eastAsia="Times New Roman" w:hAnsi="Cambria Math"/>
                      <w:color w:val="000000" w:themeColor="dark1"/>
                      <w:kern w:val="24"/>
                      <w:sz w:val="20"/>
                      <w:szCs w:val="28"/>
                      <w:bdr w:val="none" w:sz="0" w:space="0" w:color="auto"/>
                      <w:lang w:eastAsia="en-NZ"/>
                    </w:rPr>
                    <m:t>TP</m:t>
                  </m:r>
                  <m:sSub>
                    <m:sSubPr>
                      <m:ctrlPr>
                        <w:rPr>
                          <w:rFonts w:ascii="Cambria Math" w:eastAsia="Times New Roman" w:hAnsi="Cambria Math" w:cs="Arial"/>
                          <w:i/>
                          <w:iCs/>
                          <w:color w:val="000000" w:themeColor="dark1"/>
                          <w:kern w:val="24"/>
                          <w:sz w:val="20"/>
                          <w:szCs w:val="28"/>
                          <w:bdr w:val="none" w:sz="0" w:space="0" w:color="auto"/>
                          <w:lang w:val="en-NZ" w:eastAsia="en-NZ"/>
                        </w:rPr>
                      </m:ctrlPr>
                    </m:sSubPr>
                    <m:e>
                      <m:r>
                        <m:rPr>
                          <m:sty m:val="p"/>
                        </m:rPr>
                        <w:rPr>
                          <w:rFonts w:ascii="Cambria Math" w:eastAsia="Times New Roman" w:hAnsi="Cambria Math" w:cs="Arial"/>
                          <w:color w:val="000000" w:themeColor="dark1"/>
                          <w:kern w:val="24"/>
                          <w:sz w:val="20"/>
                          <w:szCs w:val="28"/>
                          <w:bdr w:val="none" w:sz="0" w:space="0" w:color="auto"/>
                          <w:lang w:eastAsia="en-NZ"/>
                        </w:rPr>
                        <m:t>U</m:t>
                      </m:r>
                    </m:e>
                    <m:sub>
                      <m:r>
                        <m:rPr>
                          <m:sty m:val="p"/>
                        </m:rPr>
                        <w:rPr>
                          <w:rFonts w:ascii="Cambria Math" w:eastAsia="Times New Roman" w:hAnsi="Cambria Math" w:cs="Arial"/>
                          <w:color w:val="000000" w:themeColor="dark1"/>
                          <w:kern w:val="24"/>
                          <w:sz w:val="20"/>
                          <w:szCs w:val="28"/>
                          <w:bdr w:val="none" w:sz="0" w:space="0" w:color="auto"/>
                          <w:lang w:eastAsia="en-NZ"/>
                        </w:rPr>
                        <m:t>age=14</m:t>
                      </m:r>
                    </m:sub>
                  </m:sSub>
                </m:e>
              </m:d>
            </m:oMath>
          </w:p>
        </w:tc>
        <w:tc>
          <w:tcPr>
            <w:tcW w:w="1843" w:type="dxa"/>
            <w:vAlign w:val="center"/>
            <w:hideMark/>
          </w:tcPr>
          <w:p w:rsidR="007C5E42" w:rsidRDefault="007C5E42" w:rsidP="00A60DC6">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themeColor="dark1"/>
                <w:kern w:val="24"/>
                <w:sz w:val="20"/>
                <w:szCs w:val="28"/>
                <w:bdr w:val="none" w:sz="0" w:space="0" w:color="auto"/>
                <w:lang w:eastAsia="en-NZ"/>
              </w:rPr>
            </w:pPr>
            <w:r>
              <w:rPr>
                <w:rFonts w:eastAsia="Times New Roman"/>
                <w:color w:val="000000" w:themeColor="dark1"/>
                <w:kern w:val="24"/>
                <w:sz w:val="20"/>
                <w:szCs w:val="28"/>
                <w:bdr w:val="none" w:sz="0" w:space="0" w:color="auto"/>
                <w:lang w:eastAsia="en-NZ"/>
              </w:rPr>
              <w:t>0.002</w:t>
            </w:r>
          </w:p>
          <w:p w:rsidR="007C5E42" w:rsidRPr="004262FF" w:rsidRDefault="007C5E42" w:rsidP="00A60D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36"/>
                <w:bdr w:val="none" w:sz="0" w:space="0" w:color="auto"/>
                <w:lang w:val="en-NZ" w:eastAsia="en-NZ"/>
              </w:rPr>
            </w:pPr>
            <w:r>
              <w:rPr>
                <w:rFonts w:eastAsia="Times New Roman"/>
                <w:color w:val="000000" w:themeColor="dark1"/>
                <w:kern w:val="24"/>
                <w:sz w:val="20"/>
                <w:szCs w:val="28"/>
                <w:bdr w:val="none" w:sz="0" w:space="0" w:color="auto"/>
                <w:lang w:eastAsia="en-NZ"/>
              </w:rPr>
              <w:t>[</w:t>
            </w:r>
            <w:r w:rsidRPr="001E46C5">
              <w:rPr>
                <w:rFonts w:eastAsia="Times New Roman"/>
                <w:color w:val="000000" w:themeColor="dark1"/>
                <w:kern w:val="24"/>
                <w:sz w:val="20"/>
                <w:szCs w:val="28"/>
                <w:bdr w:val="none" w:sz="0" w:space="0" w:color="auto"/>
                <w:lang w:eastAsia="en-NZ"/>
              </w:rPr>
              <w:t>-</w:t>
            </w:r>
            <w:r>
              <w:rPr>
                <w:rFonts w:eastAsia="Times New Roman"/>
                <w:color w:val="000000" w:themeColor="dark1"/>
                <w:kern w:val="24"/>
                <w:sz w:val="20"/>
                <w:szCs w:val="28"/>
                <w:bdr w:val="none" w:sz="0" w:space="0" w:color="auto"/>
                <w:lang w:eastAsia="en-NZ"/>
              </w:rPr>
              <w:t>0</w:t>
            </w:r>
            <w:r w:rsidRPr="001E46C5">
              <w:rPr>
                <w:rFonts w:eastAsia="Times New Roman"/>
                <w:color w:val="000000" w:themeColor="dark1"/>
                <w:kern w:val="24"/>
                <w:sz w:val="20"/>
                <w:szCs w:val="28"/>
                <w:bdr w:val="none" w:sz="0" w:space="0" w:color="auto"/>
                <w:lang w:eastAsia="en-NZ"/>
              </w:rPr>
              <w:t xml:space="preserve">.001  </w:t>
            </w:r>
            <w:r>
              <w:rPr>
                <w:rFonts w:eastAsia="Times New Roman"/>
                <w:color w:val="000000" w:themeColor="dark1"/>
                <w:kern w:val="24"/>
                <w:sz w:val="20"/>
                <w:szCs w:val="28"/>
                <w:bdr w:val="none" w:sz="0" w:space="0" w:color="auto"/>
                <w:lang w:eastAsia="en-NZ"/>
              </w:rPr>
              <w:t>0</w:t>
            </w:r>
            <w:r w:rsidRPr="001E46C5">
              <w:rPr>
                <w:rFonts w:eastAsia="Times New Roman"/>
                <w:color w:val="000000" w:themeColor="dark1"/>
                <w:kern w:val="24"/>
                <w:sz w:val="20"/>
                <w:szCs w:val="28"/>
                <w:bdr w:val="none" w:sz="0" w:space="0" w:color="auto"/>
                <w:lang w:eastAsia="en-NZ"/>
              </w:rPr>
              <w:t>.00</w:t>
            </w:r>
            <w:r>
              <w:rPr>
                <w:rFonts w:eastAsia="Times New Roman"/>
                <w:color w:val="000000" w:themeColor="dark1"/>
                <w:kern w:val="24"/>
                <w:sz w:val="20"/>
                <w:szCs w:val="28"/>
                <w:bdr w:val="none" w:sz="0" w:space="0" w:color="auto"/>
                <w:lang w:eastAsia="en-NZ"/>
              </w:rPr>
              <w:t>6</w:t>
            </w:r>
            <w:r w:rsidRPr="004262FF">
              <w:rPr>
                <w:rFonts w:eastAsia="Times New Roman"/>
                <w:color w:val="000000" w:themeColor="dark1"/>
                <w:kern w:val="24"/>
                <w:sz w:val="20"/>
                <w:szCs w:val="28"/>
                <w:bdr w:val="none" w:sz="0" w:space="0" w:color="auto"/>
                <w:lang w:eastAsia="en-NZ"/>
              </w:rPr>
              <w:t>]</w:t>
            </w:r>
          </w:p>
          <w:p w:rsidR="007C5E42" w:rsidRPr="004262FF" w:rsidRDefault="007C5E42" w:rsidP="00A60D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36"/>
                <w:bdr w:val="none" w:sz="0" w:space="0" w:color="auto"/>
                <w:lang w:val="en-NZ" w:eastAsia="en-NZ"/>
              </w:rPr>
            </w:pPr>
            <w:r w:rsidRPr="00E41870">
              <w:rPr>
                <w:rFonts w:eastAsia="Times New Roman"/>
                <w:i/>
                <w:color w:val="000000" w:themeColor="dark1"/>
                <w:kern w:val="24"/>
                <w:sz w:val="20"/>
                <w:szCs w:val="28"/>
                <w:bdr w:val="none" w:sz="0" w:space="0" w:color="auto"/>
                <w:lang w:eastAsia="en-NZ"/>
              </w:rPr>
              <w:t>p</w:t>
            </w:r>
            <w:r>
              <w:rPr>
                <w:rFonts w:eastAsia="Times New Roman"/>
                <w:color w:val="000000" w:themeColor="dark1"/>
                <w:kern w:val="24"/>
                <w:sz w:val="20"/>
                <w:szCs w:val="28"/>
                <w:bdr w:val="none" w:sz="0" w:space="0" w:color="auto"/>
                <w:lang w:eastAsia="en-NZ"/>
              </w:rPr>
              <w:t xml:space="preserve"> = 0.195</w:t>
            </w:r>
          </w:p>
        </w:tc>
      </w:tr>
      <w:tr w:rsidR="007C5E42" w:rsidRPr="004262FF" w:rsidTr="00A60DC6">
        <w:trPr>
          <w:trHeight w:val="545"/>
          <w:jc w:val="center"/>
        </w:trPr>
        <w:tc>
          <w:tcPr>
            <w:tcW w:w="4395" w:type="dxa"/>
            <w:vAlign w:val="center"/>
            <w:hideMark/>
          </w:tcPr>
          <w:p w:rsidR="007C5E42" w:rsidRPr="00EE2772" w:rsidRDefault="007C5E42" w:rsidP="00A60D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i/>
                <w:sz w:val="20"/>
                <w:szCs w:val="36"/>
                <w:bdr w:val="none" w:sz="0" w:space="0" w:color="auto"/>
                <w:lang w:val="en-NZ" w:eastAsia="en-NZ"/>
              </w:rPr>
            </w:pPr>
            <w:r w:rsidRPr="00EE2772">
              <w:rPr>
                <w:i/>
                <w:color w:val="000000" w:themeColor="dark1"/>
                <w:kern w:val="24"/>
                <w:sz w:val="20"/>
                <w:szCs w:val="28"/>
                <w:bdr w:val="none" w:sz="0" w:space="0" w:color="auto"/>
                <w:lang w:val="en-NZ" w:eastAsia="en-NZ"/>
              </w:rPr>
              <w:t>n</w:t>
            </w:r>
          </w:p>
        </w:tc>
        <w:tc>
          <w:tcPr>
            <w:tcW w:w="1843" w:type="dxa"/>
            <w:vAlign w:val="center"/>
            <w:hideMark/>
          </w:tcPr>
          <w:p w:rsidR="007C5E42" w:rsidRPr="004262FF" w:rsidRDefault="007C5E42" w:rsidP="00A60D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36"/>
                <w:bdr w:val="none" w:sz="0" w:space="0" w:color="auto"/>
                <w:lang w:val="en-NZ" w:eastAsia="en-NZ"/>
              </w:rPr>
            </w:pPr>
            <w:r w:rsidRPr="004262FF">
              <w:rPr>
                <w:color w:val="000000" w:themeColor="dark1"/>
                <w:kern w:val="24"/>
                <w:sz w:val="20"/>
                <w:szCs w:val="28"/>
                <w:bdr w:val="none" w:sz="0" w:space="0" w:color="auto"/>
                <w:lang w:val="en-NZ" w:eastAsia="en-NZ"/>
              </w:rPr>
              <w:t>81,129</w:t>
            </w:r>
          </w:p>
        </w:tc>
      </w:tr>
    </w:tbl>
    <w:p w:rsidR="007C5E42" w:rsidRPr="008309BD" w:rsidRDefault="007C5E42" w:rsidP="007C5E42">
      <w:pPr>
        <w:widowControl w:val="0"/>
        <w:autoSpaceDE w:val="0"/>
        <w:autoSpaceDN w:val="0"/>
        <w:adjustRightInd w:val="0"/>
        <w:spacing w:before="120"/>
        <w:jc w:val="both"/>
        <w:rPr>
          <w:sz w:val="20"/>
          <w:szCs w:val="20"/>
          <w:lang w:val="en-NZ"/>
        </w:rPr>
      </w:pPr>
      <w:r w:rsidRPr="00994E2A">
        <w:rPr>
          <w:i/>
          <w:sz w:val="20"/>
          <w:szCs w:val="20"/>
        </w:rPr>
        <w:t>Notes</w:t>
      </w:r>
      <w:r w:rsidRPr="00994E2A">
        <w:rPr>
          <w:sz w:val="20"/>
          <w:szCs w:val="20"/>
        </w:rPr>
        <w:t xml:space="preserve">; </w:t>
      </w:r>
      <w:r w:rsidRPr="008F732D">
        <w:rPr>
          <w:sz w:val="20"/>
          <w:szCs w:val="20"/>
          <w:vertAlign w:val="superscript"/>
        </w:rPr>
        <w:t>*</w:t>
      </w:r>
      <w:r w:rsidRPr="00994E2A">
        <w:rPr>
          <w:sz w:val="20"/>
          <w:szCs w:val="20"/>
        </w:rPr>
        <w:t xml:space="preserve"> </w:t>
      </w:r>
      <w:r w:rsidRPr="00994E2A">
        <w:rPr>
          <w:i/>
          <w:iCs/>
          <w:sz w:val="20"/>
          <w:szCs w:val="20"/>
        </w:rPr>
        <w:t>p</w:t>
      </w:r>
      <w:r w:rsidRPr="00994E2A">
        <w:rPr>
          <w:sz w:val="20"/>
          <w:szCs w:val="20"/>
        </w:rPr>
        <w:t xml:space="preserve"> &lt; 0.10, </w:t>
      </w:r>
      <w:r w:rsidRPr="008F732D">
        <w:rPr>
          <w:sz w:val="20"/>
          <w:szCs w:val="20"/>
          <w:vertAlign w:val="superscript"/>
        </w:rPr>
        <w:t>**</w:t>
      </w:r>
      <w:r w:rsidRPr="00994E2A">
        <w:rPr>
          <w:sz w:val="20"/>
          <w:szCs w:val="20"/>
        </w:rPr>
        <w:t xml:space="preserve"> </w:t>
      </w:r>
      <w:r w:rsidRPr="00994E2A">
        <w:rPr>
          <w:i/>
          <w:iCs/>
          <w:sz w:val="20"/>
          <w:szCs w:val="20"/>
        </w:rPr>
        <w:t>p</w:t>
      </w:r>
      <w:r w:rsidRPr="00994E2A">
        <w:rPr>
          <w:sz w:val="20"/>
          <w:szCs w:val="20"/>
        </w:rPr>
        <w:t xml:space="preserve"> &lt; 0.05, </w:t>
      </w:r>
      <w:r w:rsidRPr="008F732D">
        <w:rPr>
          <w:sz w:val="20"/>
          <w:szCs w:val="20"/>
          <w:vertAlign w:val="superscript"/>
        </w:rPr>
        <w:t>***</w:t>
      </w:r>
      <w:r w:rsidRPr="00994E2A">
        <w:rPr>
          <w:sz w:val="20"/>
          <w:szCs w:val="20"/>
        </w:rPr>
        <w:t xml:space="preserve"> </w:t>
      </w:r>
      <w:r w:rsidRPr="00994E2A">
        <w:rPr>
          <w:i/>
          <w:iCs/>
          <w:sz w:val="20"/>
          <w:szCs w:val="20"/>
        </w:rPr>
        <w:t>p</w:t>
      </w:r>
      <w:r w:rsidRPr="00994E2A">
        <w:rPr>
          <w:sz w:val="20"/>
          <w:szCs w:val="20"/>
        </w:rPr>
        <w:t xml:space="preserve"> &lt; 0.01. </w:t>
      </w:r>
      <w:r>
        <w:rPr>
          <w:sz w:val="20"/>
          <w:szCs w:val="20"/>
        </w:rPr>
        <w:t xml:space="preserve">Study sample of </w:t>
      </w:r>
      <w:r w:rsidRPr="00971CC5">
        <w:rPr>
          <w:sz w:val="20"/>
          <w:szCs w:val="20"/>
        </w:rPr>
        <w:t xml:space="preserve">young </w:t>
      </w:r>
      <w:r w:rsidR="00141FCA" w:rsidRPr="00971CC5">
        <w:rPr>
          <w:sz w:val="20"/>
          <w:szCs w:val="20"/>
        </w:rPr>
        <w:t>wom</w:t>
      </w:r>
      <w:r w:rsidR="00141FCA">
        <w:rPr>
          <w:sz w:val="20"/>
          <w:szCs w:val="20"/>
        </w:rPr>
        <w:t>e</w:t>
      </w:r>
      <w:r w:rsidR="00141FCA" w:rsidRPr="00971CC5">
        <w:rPr>
          <w:sz w:val="20"/>
          <w:szCs w:val="20"/>
        </w:rPr>
        <w:t xml:space="preserve">n </w:t>
      </w:r>
      <w:r>
        <w:rPr>
          <w:sz w:val="20"/>
          <w:szCs w:val="20"/>
        </w:rPr>
        <w:t xml:space="preserve">in cohorts </w:t>
      </w:r>
      <w:r w:rsidRPr="00971CC5">
        <w:rPr>
          <w:sz w:val="20"/>
          <w:szCs w:val="20"/>
        </w:rPr>
        <w:t xml:space="preserve">between 1 Jan 1991 and 31 December 1994 and enrolled in a New Zealand school for at least one day </w:t>
      </w:r>
      <w:r>
        <w:rPr>
          <w:sz w:val="20"/>
          <w:szCs w:val="20"/>
        </w:rPr>
        <w:t xml:space="preserve">at age 14. </w:t>
      </w:r>
      <w:r w:rsidRPr="009156BF">
        <w:rPr>
          <w:sz w:val="20"/>
          <w:szCs w:val="20"/>
        </w:rPr>
        <w:t xml:space="preserve">Individuals whose </w:t>
      </w:r>
      <w:r>
        <w:rPr>
          <w:sz w:val="20"/>
          <w:szCs w:val="20"/>
        </w:rPr>
        <w:t>MoE local office is missing (n = 123) were</w:t>
      </w:r>
      <w:r w:rsidRPr="009156BF">
        <w:rPr>
          <w:sz w:val="20"/>
          <w:szCs w:val="20"/>
        </w:rPr>
        <w:t xml:space="preserve"> excluded from the </w:t>
      </w:r>
      <w:r>
        <w:rPr>
          <w:sz w:val="20"/>
          <w:szCs w:val="20"/>
        </w:rPr>
        <w:t>regression</w:t>
      </w:r>
      <w:r w:rsidRPr="009156BF">
        <w:rPr>
          <w:sz w:val="20"/>
          <w:szCs w:val="20"/>
        </w:rPr>
        <w:t xml:space="preserve">. Other controls are </w:t>
      </w:r>
      <w:r>
        <w:rPr>
          <w:sz w:val="20"/>
          <w:szCs w:val="20"/>
        </w:rPr>
        <w:t xml:space="preserve">ethnicity, cohort, MoE </w:t>
      </w:r>
      <w:r w:rsidRPr="009156BF">
        <w:rPr>
          <w:sz w:val="20"/>
          <w:szCs w:val="20"/>
        </w:rPr>
        <w:t xml:space="preserve">local office, </w:t>
      </w:r>
      <w:r>
        <w:rPr>
          <w:sz w:val="20"/>
          <w:szCs w:val="20"/>
        </w:rPr>
        <w:t>indicators of CYF placement prior to birth of child and CYF Youth Justice referral prior to birth of child</w:t>
      </w:r>
      <w:r w:rsidRPr="00A603B2">
        <w:rPr>
          <w:sz w:val="20"/>
          <w:szCs w:val="20"/>
        </w:rPr>
        <w:t xml:space="preserve"> and school decile ranking (=1-3 vs. not) and each decile on its own.</w:t>
      </w:r>
      <w:r>
        <w:rPr>
          <w:sz w:val="20"/>
          <w:szCs w:val="20"/>
        </w:rPr>
        <w:t xml:space="preserve"> </w:t>
      </w:r>
      <w:r w:rsidRPr="008309BD">
        <w:rPr>
          <w:sz w:val="20"/>
          <w:szCs w:val="20"/>
        </w:rPr>
        <w:t>This table only reports some of these key findings from this analysis.</w:t>
      </w:r>
      <w:r w:rsidRPr="008309BD">
        <w:rPr>
          <w:rFonts w:eastAsiaTheme="minorEastAsia"/>
          <w:color w:val="000000" w:themeColor="text1"/>
          <w:kern w:val="24"/>
          <w:sz w:val="20"/>
          <w:szCs w:val="20"/>
          <w:bdr w:val="none" w:sz="0" w:space="0" w:color="auto"/>
          <w:lang w:val="en-NZ" w:eastAsia="en-NZ"/>
        </w:rPr>
        <w:t xml:space="preserve"> A full set of regression results can be found </w:t>
      </w:r>
      <w:r>
        <w:rPr>
          <w:rFonts w:eastAsiaTheme="minorEastAsia"/>
          <w:color w:val="000000" w:themeColor="text1"/>
          <w:kern w:val="24"/>
          <w:sz w:val="20"/>
          <w:szCs w:val="20"/>
          <w:bdr w:val="none" w:sz="0" w:space="0" w:color="auto"/>
          <w:lang w:val="en-NZ" w:eastAsia="en-NZ"/>
        </w:rPr>
        <w:t>in Appendix Table 4</w:t>
      </w:r>
      <w:r w:rsidRPr="008309BD">
        <w:rPr>
          <w:rFonts w:eastAsiaTheme="minorEastAsia"/>
          <w:color w:val="000000" w:themeColor="text1"/>
          <w:kern w:val="24"/>
          <w:sz w:val="20"/>
          <w:szCs w:val="20"/>
          <w:bdr w:val="none" w:sz="0" w:space="0" w:color="auto"/>
          <w:lang w:val="en-NZ" w:eastAsia="en-NZ"/>
        </w:rPr>
        <w:t>.</w:t>
      </w:r>
    </w:p>
    <w:p w:rsidR="007C5E42" w:rsidRDefault="007C5E42">
      <w:pPr>
        <w:rPr>
          <w:rFonts w:eastAsiaTheme="majorEastAsia"/>
          <w:bCs/>
          <w:sz w:val="36"/>
          <w:szCs w:val="28"/>
          <w:lang w:val="fr-FR"/>
        </w:rPr>
      </w:pPr>
      <w:r>
        <w:rPr>
          <w:lang w:val="fr-FR"/>
        </w:rPr>
        <w:br w:type="page"/>
      </w:r>
    </w:p>
    <w:p w:rsidR="00207589" w:rsidRPr="0021065A" w:rsidRDefault="004E0086" w:rsidP="0021065A">
      <w:pPr>
        <w:pStyle w:val="Heading1"/>
        <w:ind w:left="709" w:hanging="709"/>
        <w:rPr>
          <w:rFonts w:ascii="Times New Roman" w:hAnsi="Times New Roman" w:cs="Times New Roman"/>
          <w:lang w:val="fr-FR"/>
        </w:rPr>
      </w:pPr>
      <w:bookmarkStart w:id="39" w:name="_Toc473803314"/>
      <w:r w:rsidRPr="0021065A">
        <w:rPr>
          <w:rFonts w:ascii="Times New Roman" w:hAnsi="Times New Roman" w:cs="Times New Roman"/>
          <w:lang w:val="fr-FR"/>
        </w:rPr>
        <w:t xml:space="preserve">Impact of </w:t>
      </w:r>
      <w:r w:rsidR="00574A8B" w:rsidRPr="0021065A">
        <w:rPr>
          <w:rFonts w:ascii="Times New Roman" w:hAnsi="Times New Roman" w:cs="Times New Roman"/>
          <w:lang w:val="fr-FR"/>
        </w:rPr>
        <w:t>TPU</w:t>
      </w:r>
      <w:r w:rsidR="00181AAE">
        <w:rPr>
          <w:rFonts w:ascii="Times New Roman" w:hAnsi="Times New Roman" w:cs="Times New Roman"/>
          <w:lang w:val="fr-FR"/>
        </w:rPr>
        <w:t>s</w:t>
      </w:r>
      <w:r w:rsidR="00574A8B" w:rsidRPr="0021065A">
        <w:rPr>
          <w:rFonts w:ascii="Times New Roman" w:hAnsi="Times New Roman" w:cs="Times New Roman"/>
          <w:lang w:val="fr-FR"/>
        </w:rPr>
        <w:t xml:space="preserve"> </w:t>
      </w:r>
      <w:r w:rsidRPr="0021065A">
        <w:rPr>
          <w:rFonts w:ascii="Times New Roman" w:hAnsi="Times New Roman" w:cs="Times New Roman"/>
          <w:lang w:val="fr-FR"/>
        </w:rPr>
        <w:t>vs. Mainstream School</w:t>
      </w:r>
      <w:r w:rsidR="00A96886">
        <w:rPr>
          <w:rFonts w:ascii="Times New Roman" w:hAnsi="Times New Roman" w:cs="Times New Roman"/>
          <w:lang w:val="fr-FR"/>
        </w:rPr>
        <w:t>s</w:t>
      </w:r>
      <w:r w:rsidRPr="0021065A">
        <w:rPr>
          <w:rFonts w:ascii="Times New Roman" w:hAnsi="Times New Roman" w:cs="Times New Roman"/>
          <w:lang w:val="fr-FR"/>
        </w:rPr>
        <w:t xml:space="preserve"> </w:t>
      </w:r>
      <w:r w:rsidR="00A96886">
        <w:rPr>
          <w:rFonts w:ascii="Times New Roman" w:hAnsi="Times New Roman" w:cs="Times New Roman"/>
          <w:lang w:val="fr-FR"/>
        </w:rPr>
        <w:t>for the</w:t>
      </w:r>
      <w:r w:rsidRPr="0021065A">
        <w:rPr>
          <w:rFonts w:ascii="Times New Roman" w:hAnsi="Times New Roman" w:cs="Times New Roman"/>
          <w:lang w:val="fr-FR"/>
        </w:rPr>
        <w:t xml:space="preserve"> Enrolled Sample</w:t>
      </w:r>
      <w:bookmarkEnd w:id="39"/>
    </w:p>
    <w:p w:rsidR="00EA6A28" w:rsidRDefault="00DE7C06" w:rsidP="000A01F6">
      <w:pPr>
        <w:pStyle w:val="Body"/>
        <w:jc w:val="both"/>
        <w:rPr>
          <w:lang w:val="en-US"/>
        </w:rPr>
      </w:pPr>
      <w:r w:rsidRPr="00B12C8E">
        <w:rPr>
          <w:lang w:val="en-US"/>
        </w:rPr>
        <w:t xml:space="preserve">The previous section presented results </w:t>
      </w:r>
      <w:r w:rsidR="00FB6CC6">
        <w:rPr>
          <w:lang w:val="en-US"/>
        </w:rPr>
        <w:t>that</w:t>
      </w:r>
      <w:r w:rsidRPr="00B12C8E">
        <w:rPr>
          <w:lang w:val="en-US"/>
        </w:rPr>
        <w:t xml:space="preserve"> suggested that </w:t>
      </w:r>
      <w:r w:rsidR="00574A8B" w:rsidRPr="00B12C8E">
        <w:rPr>
          <w:lang w:val="en-US"/>
        </w:rPr>
        <w:t xml:space="preserve">access to </w:t>
      </w:r>
      <w:r w:rsidR="00982DC3" w:rsidRPr="00B12C8E">
        <w:rPr>
          <w:lang w:val="en-US"/>
        </w:rPr>
        <w:t xml:space="preserve">a </w:t>
      </w:r>
      <w:r w:rsidR="00574A8B" w:rsidRPr="00B12C8E">
        <w:rPr>
          <w:lang w:val="en-US"/>
        </w:rPr>
        <w:t xml:space="preserve">TPU </w:t>
      </w:r>
      <w:r w:rsidR="00A96886">
        <w:rPr>
          <w:lang w:val="en-US"/>
        </w:rPr>
        <w:t xml:space="preserve">governing school </w:t>
      </w:r>
      <w:r w:rsidR="00673FB8">
        <w:rPr>
          <w:lang w:val="en-US"/>
        </w:rPr>
        <w:t>has</w:t>
      </w:r>
      <w:r w:rsidR="00574A8B" w:rsidRPr="00B12C8E">
        <w:rPr>
          <w:lang w:val="en-US"/>
        </w:rPr>
        <w:t xml:space="preserve"> </w:t>
      </w:r>
      <w:r w:rsidR="00DF661F">
        <w:rPr>
          <w:lang w:val="en-US"/>
        </w:rPr>
        <w:t>measura</w:t>
      </w:r>
      <w:r w:rsidR="00A96886">
        <w:rPr>
          <w:lang w:val="en-US"/>
        </w:rPr>
        <w:t xml:space="preserve">ble effects </w:t>
      </w:r>
      <w:r w:rsidR="00574A8B" w:rsidRPr="00B12C8E">
        <w:rPr>
          <w:lang w:val="en-US"/>
        </w:rPr>
        <w:t xml:space="preserve">on </w:t>
      </w:r>
      <w:r w:rsidR="00595AEF" w:rsidRPr="00B12C8E">
        <w:rPr>
          <w:lang w:val="en-US"/>
        </w:rPr>
        <w:t>NCEA attainment</w:t>
      </w:r>
      <w:r w:rsidR="00021B41">
        <w:rPr>
          <w:lang w:val="en-US"/>
        </w:rPr>
        <w:t xml:space="preserve">. </w:t>
      </w:r>
      <w:r w:rsidR="009A1012" w:rsidRPr="00B12C8E">
        <w:rPr>
          <w:lang w:val="en-US"/>
        </w:rPr>
        <w:t xml:space="preserve">There are potentially two </w:t>
      </w:r>
      <w:r w:rsidR="00FB6CC6">
        <w:rPr>
          <w:lang w:val="en-US"/>
        </w:rPr>
        <w:t>ways in</w:t>
      </w:r>
      <w:r w:rsidR="009A1012" w:rsidRPr="00B12C8E">
        <w:rPr>
          <w:lang w:val="en-US"/>
        </w:rPr>
        <w:t xml:space="preserve"> which access to </w:t>
      </w:r>
      <w:r w:rsidR="00636986">
        <w:rPr>
          <w:lang w:val="en-US"/>
        </w:rPr>
        <w:t xml:space="preserve">a </w:t>
      </w:r>
      <w:r w:rsidR="009A1012" w:rsidRPr="00B12C8E">
        <w:rPr>
          <w:lang w:val="en-US"/>
        </w:rPr>
        <w:t xml:space="preserve">TPU could improve qualifications. One is that access to </w:t>
      </w:r>
      <w:r w:rsidR="00982DC3" w:rsidRPr="00B12C8E">
        <w:rPr>
          <w:lang w:val="en-US"/>
        </w:rPr>
        <w:t xml:space="preserve">a </w:t>
      </w:r>
      <w:r w:rsidR="009A1012" w:rsidRPr="00B12C8E">
        <w:rPr>
          <w:lang w:val="en-US"/>
        </w:rPr>
        <w:t xml:space="preserve">TPU </w:t>
      </w:r>
      <w:r w:rsidR="00953DB3">
        <w:rPr>
          <w:lang w:val="en-US"/>
        </w:rPr>
        <w:t xml:space="preserve">could </w:t>
      </w:r>
      <w:r w:rsidR="009A1012" w:rsidRPr="00B12C8E">
        <w:rPr>
          <w:lang w:val="en-US"/>
        </w:rPr>
        <w:t xml:space="preserve">result in </w:t>
      </w:r>
      <w:r w:rsidR="00982DC3" w:rsidRPr="00B12C8E">
        <w:rPr>
          <w:lang w:val="en-US"/>
        </w:rPr>
        <w:t xml:space="preserve">more </w:t>
      </w:r>
      <w:r w:rsidR="009A1012" w:rsidRPr="00B12C8E">
        <w:rPr>
          <w:lang w:val="en-US"/>
        </w:rPr>
        <w:t xml:space="preserve">young women </w:t>
      </w:r>
      <w:r w:rsidR="00982DC3" w:rsidRPr="00B12C8E">
        <w:rPr>
          <w:lang w:val="en-US"/>
        </w:rPr>
        <w:t>enrolling</w:t>
      </w:r>
      <w:r w:rsidR="009A1012" w:rsidRPr="00B12C8E">
        <w:rPr>
          <w:lang w:val="en-US"/>
        </w:rPr>
        <w:t xml:space="preserve"> after birth. The other is that once </w:t>
      </w:r>
      <w:r w:rsidR="00FB6CC6">
        <w:rPr>
          <w:lang w:val="en-US"/>
        </w:rPr>
        <w:t xml:space="preserve">teen mothers are </w:t>
      </w:r>
      <w:r w:rsidR="009A1012" w:rsidRPr="00B12C8E">
        <w:rPr>
          <w:lang w:val="en-US"/>
        </w:rPr>
        <w:t xml:space="preserve">enrolled, TPUs </w:t>
      </w:r>
      <w:r w:rsidR="00953DB3">
        <w:rPr>
          <w:lang w:val="en-US"/>
        </w:rPr>
        <w:t>might be</w:t>
      </w:r>
      <w:r w:rsidR="00953DB3" w:rsidRPr="00B12C8E">
        <w:rPr>
          <w:lang w:val="en-US"/>
        </w:rPr>
        <w:t xml:space="preserve"> </w:t>
      </w:r>
      <w:r w:rsidR="009A1012" w:rsidRPr="00B12C8E">
        <w:rPr>
          <w:lang w:val="en-US"/>
        </w:rPr>
        <w:t xml:space="preserve">more successful than mainstream schools at supporting </w:t>
      </w:r>
      <w:r w:rsidR="00FB6CC6">
        <w:rPr>
          <w:lang w:val="en-US"/>
        </w:rPr>
        <w:t>them</w:t>
      </w:r>
      <w:r w:rsidR="0050206B">
        <w:rPr>
          <w:lang w:val="en-US"/>
        </w:rPr>
        <w:t xml:space="preserve"> </w:t>
      </w:r>
      <w:r w:rsidR="00EA6A28">
        <w:rPr>
          <w:lang w:val="en-US"/>
        </w:rPr>
        <w:t>to achieve NCEA qualifications.</w:t>
      </w:r>
    </w:p>
    <w:p w:rsidR="00501974" w:rsidRDefault="00EA6A28" w:rsidP="00501974">
      <w:pPr>
        <w:pStyle w:val="Body"/>
        <w:jc w:val="both"/>
        <w:rPr>
          <w:lang w:val="en-US"/>
        </w:rPr>
      </w:pPr>
      <w:r>
        <w:rPr>
          <w:lang w:val="en-US"/>
        </w:rPr>
        <w:t xml:space="preserve">In this section, we consider the impact on NCEA achievement of enrolling in a </w:t>
      </w:r>
      <w:r w:rsidR="00501974">
        <w:rPr>
          <w:lang w:val="en-US"/>
        </w:rPr>
        <w:t xml:space="preserve">TPU </w:t>
      </w:r>
      <w:r w:rsidR="00F05F97">
        <w:rPr>
          <w:lang w:val="en-US"/>
        </w:rPr>
        <w:t xml:space="preserve">governing </w:t>
      </w:r>
      <w:r w:rsidR="00501974">
        <w:rPr>
          <w:lang w:val="en-US"/>
        </w:rPr>
        <w:t xml:space="preserve">school vs. </w:t>
      </w:r>
      <w:r w:rsidR="00673FB8">
        <w:rPr>
          <w:lang w:val="en-US"/>
        </w:rPr>
        <w:t xml:space="preserve">a </w:t>
      </w:r>
      <w:r w:rsidR="00501974">
        <w:rPr>
          <w:lang w:val="en-US"/>
        </w:rPr>
        <w:t xml:space="preserve">non-TPU school. However, </w:t>
      </w:r>
      <w:r w:rsidR="00A96886">
        <w:rPr>
          <w:lang w:val="en-US"/>
        </w:rPr>
        <w:t xml:space="preserve">this </w:t>
      </w:r>
      <w:r w:rsidR="00501974">
        <w:rPr>
          <w:lang w:val="en-US"/>
        </w:rPr>
        <w:t xml:space="preserve">is not straightforward as there are likely to be unobservable factors that have an impact on post-birth enrolment and on NCEA attainment. </w:t>
      </w:r>
    </w:p>
    <w:p w:rsidR="00501974" w:rsidRDefault="008F7F52" w:rsidP="00501974">
      <w:pPr>
        <w:pStyle w:val="Body"/>
        <w:jc w:val="both"/>
        <w:rPr>
          <w:lang w:val="en-US"/>
        </w:rPr>
      </w:pPr>
      <w:r>
        <w:rPr>
          <w:lang w:val="en-US"/>
        </w:rPr>
        <w:t xml:space="preserve">For </w:t>
      </w:r>
      <w:r w:rsidR="009F360E">
        <w:rPr>
          <w:lang w:val="en-US"/>
        </w:rPr>
        <w:t>example, consider estimating the</w:t>
      </w:r>
      <w:r>
        <w:rPr>
          <w:lang w:val="en-US"/>
        </w:rPr>
        <w:t xml:space="preserve"> following </w:t>
      </w:r>
      <w:r w:rsidR="00501974">
        <w:rPr>
          <w:lang w:val="en-US"/>
        </w:rPr>
        <w:t>simple regression model</w:t>
      </w:r>
      <w:r>
        <w:rPr>
          <w:lang w:val="en-US"/>
        </w:rPr>
        <w:t xml:space="preserve"> </w:t>
      </w:r>
      <w:r w:rsidR="00A25F17">
        <w:rPr>
          <w:lang w:val="en-US"/>
        </w:rPr>
        <w:t>on those young women who enrol in a school after they give birth</w:t>
      </w:r>
      <w:r w:rsidR="00501974">
        <w:rPr>
          <w:lang w:val="en-US"/>
        </w:rPr>
        <w:t>:</w:t>
      </w:r>
    </w:p>
    <w:p w:rsidR="004F4C26" w:rsidRPr="00B12C8E" w:rsidRDefault="004F4C26" w:rsidP="004F4C26">
      <w:pPr>
        <w:pStyle w:val="Body"/>
      </w:pPr>
      <w:r w:rsidRPr="00B12C8E">
        <w:t>(</w:t>
      </w:r>
      <w:r>
        <w:t>4</w:t>
      </w:r>
      <w:r w:rsidRPr="00B12C8E">
        <w:t>)</w:t>
      </w:r>
      <w:r w:rsidRPr="00B12C8E">
        <w:tab/>
      </w:r>
      <w:r>
        <w:t xml:space="preserve">   </w:t>
      </w:r>
      <w:r w:rsidRPr="00B12C8E">
        <w:tab/>
      </w:r>
      <w:r>
        <w:t xml:space="preserve">                         </w:t>
      </w:r>
      <m:oMath>
        <m:func>
          <m:funcPr>
            <m:ctrlPr>
              <w:rPr>
                <w:rFonts w:ascii="Cambria Math" w:hAnsi="Cambria Math"/>
              </w:rPr>
            </m:ctrlPr>
          </m:funcPr>
          <m:fName>
            <m:r>
              <w:rPr>
                <w:rFonts w:ascii="Cambria Math" w:hAnsi="Cambria Math"/>
              </w:rPr>
              <m:t>Pr</m:t>
            </m:r>
          </m:fName>
          <m:e>
            <m:d>
              <m:dPr>
                <m:ctrlPr>
                  <w:rPr>
                    <w:rFonts w:ascii="Cambria Math" w:hAnsi="Cambria Math"/>
                  </w:rPr>
                </m:ctrlPr>
              </m:dPr>
              <m:e>
                <m:r>
                  <w:rPr>
                    <w:rFonts w:ascii="Cambria Math" w:hAnsi="Cambria Math"/>
                  </w:rPr>
                  <m:t>NCEA</m:t>
                </m:r>
                <m:r>
                  <m:rPr>
                    <m:sty m:val="p"/>
                  </m:rPr>
                  <w:rPr>
                    <w:rFonts w:ascii="Cambria Math" w:hAnsi="Cambria Math"/>
                  </w:rPr>
                  <m:t>=1</m:t>
                </m:r>
              </m:e>
            </m:d>
          </m:e>
        </m:func>
        <m:r>
          <m:rPr>
            <m:sty m:val="p"/>
          </m:rPr>
          <w:rPr>
            <w:rFonts w:ascii="Cambria Math" w:hAnsi="Cambria Math"/>
          </w:rPr>
          <m:t>=Φ</m:t>
        </m:r>
        <m:d>
          <m:dPr>
            <m:ctrlPr>
              <w:rPr>
                <w:rFonts w:ascii="Cambria Math" w:hAnsi="Cambria Math"/>
                <w:iCs/>
                <w:lang w:val="en-NZ"/>
              </w:rPr>
            </m:ctrlPr>
          </m:dPr>
          <m:e>
            <m:sSub>
              <m:sSubPr>
                <m:ctrlPr>
                  <w:rPr>
                    <w:rFonts w:ascii="Cambria Math" w:hAnsi="Cambria Math"/>
                    <w:iCs/>
                    <w:lang w:val="en-NZ"/>
                  </w:rPr>
                </m:ctrlPr>
              </m:sSubPr>
              <m:e>
                <m:r>
                  <w:rPr>
                    <w:rFonts w:ascii="Cambria Math" w:hAnsi="Cambria Math"/>
                  </w:rPr>
                  <m:t>β</m:t>
                </m:r>
              </m:e>
              <m:sub>
                <m:r>
                  <m:rPr>
                    <m:sty m:val="p"/>
                  </m:rPr>
                  <w:rPr>
                    <w:rFonts w:ascii="Cambria Math" w:hAnsi="Cambria Math"/>
                  </w:rPr>
                  <m:t>1</m:t>
                </m:r>
              </m:sub>
            </m:sSub>
            <m:r>
              <m:rPr>
                <m:sty m:val="p"/>
              </m:rPr>
              <w:rPr>
                <w:rFonts w:ascii="Cambria Math" w:hAnsi="Cambria Math"/>
              </w:rPr>
              <m:t>+</m:t>
            </m:r>
            <m:sSub>
              <m:sSubPr>
                <m:ctrlPr>
                  <w:rPr>
                    <w:rFonts w:ascii="Cambria Math" w:hAnsi="Cambria Math"/>
                    <w:iCs/>
                    <w:lang w:val="en-NZ"/>
                  </w:rPr>
                </m:ctrlPr>
              </m:sSubPr>
              <m:e>
                <m:r>
                  <w:rPr>
                    <w:rFonts w:ascii="Cambria Math" w:hAnsi="Cambria Math"/>
                  </w:rPr>
                  <m:t>β</m:t>
                </m:r>
              </m:e>
              <m:sub>
                <m:r>
                  <m:rPr>
                    <m:sty m:val="p"/>
                  </m:rPr>
                  <w:rPr>
                    <w:rFonts w:ascii="Cambria Math" w:hAnsi="Cambria Math"/>
                  </w:rPr>
                  <m:t>2</m:t>
                </m:r>
              </m:sub>
            </m:sSub>
            <m:r>
              <w:rPr>
                <w:rFonts w:ascii="Cambria Math" w:hAnsi="Cambria Math"/>
              </w:rPr>
              <m:t>TPU</m:t>
            </m:r>
          </m:e>
        </m:d>
      </m:oMath>
    </w:p>
    <w:p w:rsidR="003B724E" w:rsidRPr="003B724E" w:rsidRDefault="003B724E" w:rsidP="006D7037">
      <w:pPr>
        <w:pStyle w:val="Body"/>
        <w:jc w:val="both"/>
      </w:pPr>
      <w:r>
        <w:rPr>
          <w:lang w:val="en-US"/>
        </w:rPr>
        <w:t xml:space="preserve">where </w:t>
      </w:r>
      <w:r>
        <w:rPr>
          <w:i/>
          <w:lang w:val="en-US"/>
        </w:rPr>
        <w:t xml:space="preserve">NCEA </w:t>
      </w:r>
      <w:r>
        <w:t xml:space="preserve">is the outcome of interest, and TPU is equal to </w:t>
      </w:r>
      <w:r w:rsidR="00953661">
        <w:t xml:space="preserve">1 </w:t>
      </w:r>
      <w:r>
        <w:t xml:space="preserve">if the young woman enrols in a TPU </w:t>
      </w:r>
      <w:r w:rsidR="005A3A18">
        <w:t xml:space="preserve">governing school </w:t>
      </w:r>
      <w:r>
        <w:t xml:space="preserve">after </w:t>
      </w:r>
      <w:r w:rsidR="00572FC8">
        <w:t xml:space="preserve">birth, and </w:t>
      </w:r>
      <w:r w:rsidR="009E267A">
        <w:t xml:space="preserve">zero </w:t>
      </w:r>
      <w:r w:rsidR="00572FC8">
        <w:t xml:space="preserve">if she enrols in a </w:t>
      </w:r>
      <w:r w:rsidR="00953661">
        <w:rPr>
          <w:lang w:val="en-US"/>
        </w:rPr>
        <w:t xml:space="preserve">non-TPU </w:t>
      </w:r>
      <w:r w:rsidR="00572FC8">
        <w:t xml:space="preserve">school after birth. </w:t>
      </w:r>
    </w:p>
    <w:p w:rsidR="00EA6A28" w:rsidRDefault="00EA6A28" w:rsidP="000A01F6">
      <w:pPr>
        <w:pStyle w:val="Body"/>
        <w:jc w:val="both"/>
        <w:rPr>
          <w:lang w:val="en-US"/>
        </w:rPr>
      </w:pPr>
      <w:r w:rsidRPr="006D7037">
        <w:rPr>
          <w:lang w:val="en-US"/>
        </w:rPr>
        <w:t>The problem</w:t>
      </w:r>
      <w:r w:rsidR="00501974" w:rsidRPr="006D7037">
        <w:rPr>
          <w:lang w:val="en-US"/>
        </w:rPr>
        <w:t xml:space="preserve"> with interpreting </w:t>
      </w:r>
      <m:oMath>
        <m:sSub>
          <m:sSubPr>
            <m:ctrlPr>
              <w:rPr>
                <w:rFonts w:ascii="Cambria Math" w:hAnsi="Cambria Math"/>
              </w:rPr>
            </m:ctrlPr>
          </m:sSubPr>
          <m:e>
            <m:r>
              <w:rPr>
                <w:rFonts w:ascii="Cambria Math" w:hAnsi="Cambria Math"/>
              </w:rPr>
              <m:t>β</m:t>
            </m:r>
          </m:e>
          <m:sub>
            <m:r>
              <m:rPr>
                <m:sty m:val="p"/>
              </m:rPr>
              <w:rPr>
                <w:rFonts w:ascii="Cambria Math" w:hAnsi="Cambria Math"/>
              </w:rPr>
              <m:t>2</m:t>
            </m:r>
          </m:sub>
        </m:sSub>
      </m:oMath>
      <w:r w:rsidRPr="006D7037">
        <w:rPr>
          <w:lang w:val="en-US"/>
        </w:rPr>
        <w:t xml:space="preserve"> </w:t>
      </w:r>
      <w:r w:rsidR="004F752E">
        <w:rPr>
          <w:lang w:val="en-US"/>
        </w:rPr>
        <w:t xml:space="preserve">as the causal effect of enrolling in a TPU vs. </w:t>
      </w:r>
      <w:r w:rsidR="00953661">
        <w:rPr>
          <w:lang w:val="en-US"/>
        </w:rPr>
        <w:t xml:space="preserve">non-TPU </w:t>
      </w:r>
      <w:r w:rsidR="004F752E">
        <w:rPr>
          <w:lang w:val="en-US"/>
        </w:rPr>
        <w:t xml:space="preserve">school </w:t>
      </w:r>
      <w:r w:rsidRPr="006D7037">
        <w:rPr>
          <w:lang w:val="en-US"/>
        </w:rPr>
        <w:t>is that students who attend TPU schools may be those who face unusually low prope</w:t>
      </w:r>
      <w:r w:rsidR="00CC1802">
        <w:rPr>
          <w:lang w:val="en-US"/>
        </w:rPr>
        <w:t>nsities to complete NCEA qualification</w:t>
      </w:r>
      <w:r w:rsidR="00953661">
        <w:rPr>
          <w:lang w:val="en-US"/>
        </w:rPr>
        <w:t>s</w:t>
      </w:r>
      <w:r w:rsidR="005B6A7D">
        <w:rPr>
          <w:lang w:val="en-US"/>
        </w:rPr>
        <w:t xml:space="preserve">. To the extent that this propensity is unobserved, it is captured in the error term and </w:t>
      </w:r>
      <w:r w:rsidR="004F4C26">
        <w:rPr>
          <w:lang w:val="en-US"/>
        </w:rPr>
        <w:t xml:space="preserve">the </w:t>
      </w:r>
      <w:r w:rsidRPr="006D7037">
        <w:rPr>
          <w:lang w:val="en-US"/>
        </w:rPr>
        <w:t xml:space="preserve">TPU </w:t>
      </w:r>
      <w:r w:rsidR="004F4C26">
        <w:rPr>
          <w:lang w:val="en-US"/>
        </w:rPr>
        <w:t xml:space="preserve">variable </w:t>
      </w:r>
      <w:r w:rsidRPr="006D7037">
        <w:rPr>
          <w:lang w:val="en-US"/>
        </w:rPr>
        <w:t xml:space="preserve">and disturbances </w:t>
      </w:r>
      <w:r w:rsidR="004F4C26">
        <w:rPr>
          <w:lang w:val="en-US"/>
        </w:rPr>
        <w:t xml:space="preserve">would be </w:t>
      </w:r>
      <w:r w:rsidRPr="006D7037">
        <w:rPr>
          <w:lang w:val="en-US"/>
        </w:rPr>
        <w:t xml:space="preserve">negatively correlated. This </w:t>
      </w:r>
      <w:r w:rsidR="004F4C26">
        <w:rPr>
          <w:lang w:val="en-US"/>
        </w:rPr>
        <w:t xml:space="preserve">would </w:t>
      </w:r>
      <w:r w:rsidRPr="006D7037">
        <w:rPr>
          <w:lang w:val="en-US"/>
        </w:rPr>
        <w:t xml:space="preserve">bias downward the estimator for </w:t>
      </w:r>
      <m:oMath>
        <m:sSub>
          <m:sSubPr>
            <m:ctrlPr>
              <w:rPr>
                <w:rFonts w:ascii="Cambria Math" w:hAnsi="Cambria Math"/>
                <w:lang w:val="en-US"/>
              </w:rPr>
            </m:ctrlPr>
          </m:sSubPr>
          <m:e>
            <m:r>
              <w:rPr>
                <w:rFonts w:ascii="Cambria Math" w:hAnsi="Cambria Math"/>
                <w:lang w:val="en-US"/>
              </w:rPr>
              <m:t>β</m:t>
            </m:r>
          </m:e>
          <m:sub>
            <m:r>
              <m:rPr>
                <m:sty m:val="p"/>
              </m:rPr>
              <w:rPr>
                <w:rFonts w:ascii="Cambria Math" w:hAnsi="Cambria Math"/>
                <w:lang w:val="en-US"/>
              </w:rPr>
              <m:t>2</m:t>
            </m:r>
          </m:sub>
        </m:sSub>
      </m:oMath>
      <w:r w:rsidRPr="006D7037">
        <w:rPr>
          <w:lang w:val="en-US"/>
        </w:rPr>
        <w:t xml:space="preserve">. </w:t>
      </w:r>
      <w:r w:rsidR="00760C27">
        <w:rPr>
          <w:lang w:val="en-US"/>
        </w:rPr>
        <w:t>Therefore, w</w:t>
      </w:r>
      <w:r w:rsidR="009C481E">
        <w:rPr>
          <w:lang w:val="en-US"/>
        </w:rPr>
        <w:t>e use an Instrumental V</w:t>
      </w:r>
      <w:r w:rsidR="00760C27">
        <w:rPr>
          <w:lang w:val="en-US"/>
        </w:rPr>
        <w:t xml:space="preserve">ariable </w:t>
      </w:r>
      <w:r w:rsidR="009E267A">
        <w:rPr>
          <w:lang w:val="en-US"/>
        </w:rPr>
        <w:t xml:space="preserve">(IV) </w:t>
      </w:r>
      <w:r w:rsidR="00760C27">
        <w:rPr>
          <w:lang w:val="en-US"/>
        </w:rPr>
        <w:t xml:space="preserve">method to </w:t>
      </w:r>
      <w:r w:rsidRPr="006D7037">
        <w:rPr>
          <w:lang w:val="en-US"/>
        </w:rPr>
        <w:t xml:space="preserve">mitigate this bias and produce the causal inference </w:t>
      </w:r>
      <w:r w:rsidR="004F4C26">
        <w:rPr>
          <w:lang w:val="en-US"/>
        </w:rPr>
        <w:t xml:space="preserve">that </w:t>
      </w:r>
      <w:r w:rsidRPr="006D7037">
        <w:rPr>
          <w:lang w:val="en-US"/>
        </w:rPr>
        <w:t>we want.</w:t>
      </w:r>
      <w:r w:rsidR="004F4C26">
        <w:rPr>
          <w:rStyle w:val="FootnoteReference"/>
          <w:lang w:val="en-US"/>
        </w:rPr>
        <w:footnoteReference w:id="24"/>
      </w:r>
      <w:r w:rsidRPr="006D7037">
        <w:rPr>
          <w:lang w:val="en-US"/>
        </w:rPr>
        <w:t xml:space="preserve"> </w:t>
      </w:r>
    </w:p>
    <w:p w:rsidR="00673FB8" w:rsidRDefault="00BA1DA4" w:rsidP="000A01F6">
      <w:pPr>
        <w:pStyle w:val="Body"/>
        <w:jc w:val="both"/>
        <w:rPr>
          <w:lang w:val="en-US"/>
        </w:rPr>
      </w:pPr>
      <w:r>
        <w:rPr>
          <w:lang w:val="en-US"/>
        </w:rPr>
        <w:t xml:space="preserve">We use distance </w:t>
      </w:r>
      <w:r w:rsidR="00C60D65">
        <w:rPr>
          <w:lang w:val="en-US"/>
        </w:rPr>
        <w:t xml:space="preserve">(in kms) </w:t>
      </w:r>
      <w:r>
        <w:rPr>
          <w:lang w:val="en-US"/>
        </w:rPr>
        <w:t xml:space="preserve">to the </w:t>
      </w:r>
      <w:r w:rsidR="004F4C26">
        <w:rPr>
          <w:lang w:val="en-US"/>
        </w:rPr>
        <w:t xml:space="preserve">nearest </w:t>
      </w:r>
      <w:r>
        <w:rPr>
          <w:lang w:val="en-US"/>
        </w:rPr>
        <w:t xml:space="preserve">TPU </w:t>
      </w:r>
      <w:r w:rsidR="004F4C26">
        <w:rPr>
          <w:lang w:val="en-US"/>
        </w:rPr>
        <w:t xml:space="preserve">governing school </w:t>
      </w:r>
      <w:r w:rsidRPr="004F4C26">
        <w:rPr>
          <w:lang w:val="en-US"/>
        </w:rPr>
        <w:t>prior to conception</w:t>
      </w:r>
      <w:r>
        <w:rPr>
          <w:lang w:val="en-US"/>
        </w:rPr>
        <w:t xml:space="preserve"> and enrolment in a TPU </w:t>
      </w:r>
      <w:r w:rsidR="00BD449F">
        <w:rPr>
          <w:lang w:val="en-US"/>
        </w:rPr>
        <w:t xml:space="preserve">governing school </w:t>
      </w:r>
      <w:r>
        <w:rPr>
          <w:lang w:val="en-US"/>
        </w:rPr>
        <w:t xml:space="preserve">at </w:t>
      </w:r>
      <w:r w:rsidR="004F4C26">
        <w:rPr>
          <w:lang w:val="en-US"/>
        </w:rPr>
        <w:t xml:space="preserve">the </w:t>
      </w:r>
      <w:r>
        <w:rPr>
          <w:lang w:val="en-US"/>
        </w:rPr>
        <w:t xml:space="preserve">conception date as the two </w:t>
      </w:r>
      <w:r w:rsidR="004F4C26">
        <w:rPr>
          <w:lang w:val="en-US"/>
        </w:rPr>
        <w:t xml:space="preserve">valid </w:t>
      </w:r>
      <w:r>
        <w:rPr>
          <w:lang w:val="en-US"/>
        </w:rPr>
        <w:t>instruments</w:t>
      </w:r>
      <w:r w:rsidR="004F4C26">
        <w:rPr>
          <w:lang w:val="en-US"/>
        </w:rPr>
        <w:t xml:space="preserve"> for this analysis</w:t>
      </w:r>
      <w:r w:rsidRPr="00B12C8E">
        <w:rPr>
          <w:lang w:val="en-US"/>
        </w:rPr>
        <w:t xml:space="preserve">. The main exclusion restriction is the assumption we have maintained throughout this paper </w:t>
      </w:r>
      <w:r w:rsidR="00673FB8">
        <w:rPr>
          <w:lang w:val="en-US"/>
        </w:rPr>
        <w:t>—</w:t>
      </w:r>
      <w:r w:rsidR="00673FB8" w:rsidRPr="00B12C8E">
        <w:rPr>
          <w:lang w:val="en-US"/>
        </w:rPr>
        <w:t xml:space="preserve"> </w:t>
      </w:r>
      <w:r w:rsidRPr="00B12C8E">
        <w:rPr>
          <w:lang w:val="en-US"/>
        </w:rPr>
        <w:t xml:space="preserve">which is that the presence of </w:t>
      </w:r>
      <w:r>
        <w:rPr>
          <w:lang w:val="en-US"/>
        </w:rPr>
        <w:t xml:space="preserve">a </w:t>
      </w:r>
      <w:r w:rsidRPr="00B12C8E">
        <w:rPr>
          <w:lang w:val="en-US"/>
        </w:rPr>
        <w:t xml:space="preserve">TPU did not affect </w:t>
      </w:r>
      <w:r w:rsidR="009E267A">
        <w:rPr>
          <w:lang w:val="en-US"/>
        </w:rPr>
        <w:t xml:space="preserve">a </w:t>
      </w:r>
      <w:r w:rsidRPr="00B12C8E">
        <w:rPr>
          <w:lang w:val="en-US"/>
        </w:rPr>
        <w:t>young wom</w:t>
      </w:r>
      <w:r w:rsidR="009E267A">
        <w:rPr>
          <w:lang w:val="en-US"/>
        </w:rPr>
        <w:t>a</w:t>
      </w:r>
      <w:r w:rsidRPr="00B12C8E">
        <w:rPr>
          <w:lang w:val="en-US"/>
        </w:rPr>
        <w:t xml:space="preserve">n’s decision to continue her pregnancy to term. Indeed, we did provide some </w:t>
      </w:r>
      <w:r w:rsidR="004F4C26">
        <w:rPr>
          <w:lang w:val="en-US"/>
        </w:rPr>
        <w:t xml:space="preserve">earlier </w:t>
      </w:r>
      <w:r w:rsidRPr="00B12C8E">
        <w:rPr>
          <w:lang w:val="en-US"/>
        </w:rPr>
        <w:t xml:space="preserve">evidence that the young women who were enrolled in a TPU </w:t>
      </w:r>
      <w:r>
        <w:rPr>
          <w:lang w:val="en-US"/>
        </w:rPr>
        <w:t>governing</w:t>
      </w:r>
      <w:r w:rsidRPr="00B12C8E">
        <w:rPr>
          <w:lang w:val="en-US"/>
        </w:rPr>
        <w:t xml:space="preserve"> school prior to conception did not have a differential teen birth rate after controlling for other characteristics.</w:t>
      </w:r>
      <w:r w:rsidR="00A941E3">
        <w:rPr>
          <w:lang w:val="en-US"/>
        </w:rPr>
        <w:t xml:space="preserve"> </w:t>
      </w:r>
    </w:p>
    <w:p w:rsidR="00AC7775" w:rsidRDefault="00A941E3" w:rsidP="000A01F6">
      <w:pPr>
        <w:pStyle w:val="Body"/>
        <w:jc w:val="both"/>
        <w:rPr>
          <w:lang w:val="en-US"/>
        </w:rPr>
      </w:pPr>
      <w:r>
        <w:rPr>
          <w:lang w:val="en-US"/>
        </w:rPr>
        <w:t xml:space="preserve">Table 10 </w:t>
      </w:r>
      <w:r w:rsidR="00895F8E">
        <w:rPr>
          <w:lang w:val="en-US"/>
        </w:rPr>
        <w:t xml:space="preserve">provides the </w:t>
      </w:r>
      <w:r w:rsidR="006817EC">
        <w:rPr>
          <w:lang w:val="en-US"/>
        </w:rPr>
        <w:t xml:space="preserve">main </w:t>
      </w:r>
      <w:r w:rsidR="00895F8E">
        <w:rPr>
          <w:lang w:val="en-US"/>
        </w:rPr>
        <w:t xml:space="preserve">estimates </w:t>
      </w:r>
      <w:r w:rsidR="005207A8">
        <w:rPr>
          <w:lang w:val="en-US"/>
        </w:rPr>
        <w:t xml:space="preserve">for a “Naïve” model (the simple regression model specified </w:t>
      </w:r>
      <w:r w:rsidR="0036376B">
        <w:rPr>
          <w:lang w:val="en-US"/>
        </w:rPr>
        <w:t>in</w:t>
      </w:r>
      <w:r w:rsidR="005E0FC5">
        <w:rPr>
          <w:lang w:val="en-US"/>
        </w:rPr>
        <w:t xml:space="preserve"> equation (4</w:t>
      </w:r>
      <w:r w:rsidR="00A46F0B">
        <w:rPr>
          <w:lang w:val="en-US"/>
        </w:rPr>
        <w:t>)</w:t>
      </w:r>
      <w:r w:rsidR="00EF7A78">
        <w:rPr>
          <w:lang w:val="en-US"/>
        </w:rPr>
        <w:t>)</w:t>
      </w:r>
      <w:r w:rsidR="005E0FC5">
        <w:rPr>
          <w:lang w:val="en-US"/>
        </w:rPr>
        <w:t xml:space="preserve">, </w:t>
      </w:r>
      <w:r w:rsidR="002237B9">
        <w:rPr>
          <w:lang w:val="en-US"/>
        </w:rPr>
        <w:t>an IV linear probability model</w:t>
      </w:r>
      <w:r w:rsidR="009F6E1C">
        <w:rPr>
          <w:lang w:val="en-US"/>
        </w:rPr>
        <w:t xml:space="preserve"> (LPM)</w:t>
      </w:r>
      <w:r w:rsidR="005E0FC5">
        <w:rPr>
          <w:lang w:val="en-US"/>
        </w:rPr>
        <w:t>,</w:t>
      </w:r>
      <w:r w:rsidR="002237B9">
        <w:rPr>
          <w:lang w:val="en-US"/>
        </w:rPr>
        <w:t xml:space="preserve"> and </w:t>
      </w:r>
      <w:r w:rsidR="005E0FC5">
        <w:rPr>
          <w:lang w:val="en-US"/>
        </w:rPr>
        <w:t xml:space="preserve">the corresponding </w:t>
      </w:r>
      <w:r w:rsidR="00DC3CC6">
        <w:rPr>
          <w:lang w:val="en-US"/>
        </w:rPr>
        <w:t xml:space="preserve">marginal effects from an </w:t>
      </w:r>
      <w:r w:rsidR="00EF7A78">
        <w:rPr>
          <w:lang w:val="en-US"/>
        </w:rPr>
        <w:t>IV probit m</w:t>
      </w:r>
      <w:r w:rsidR="00DD0BF5">
        <w:rPr>
          <w:lang w:val="en-US"/>
        </w:rPr>
        <w:t>odel.</w:t>
      </w:r>
    </w:p>
    <w:p w:rsidR="00B71B1E" w:rsidRDefault="005A4DAC">
      <w:pPr>
        <w:pStyle w:val="Body"/>
        <w:jc w:val="both"/>
        <w:rPr>
          <w:lang w:val="en-US"/>
        </w:rPr>
      </w:pPr>
      <w:r>
        <w:rPr>
          <w:lang w:val="en-US"/>
        </w:rPr>
        <w:t xml:space="preserve">For NCEA </w:t>
      </w:r>
      <w:r w:rsidR="009E267A">
        <w:rPr>
          <w:lang w:val="en-US"/>
        </w:rPr>
        <w:t>L</w:t>
      </w:r>
      <w:r>
        <w:rPr>
          <w:lang w:val="en-US"/>
        </w:rPr>
        <w:t>evel 1, the estimated effect</w:t>
      </w:r>
      <w:r w:rsidR="00B22060">
        <w:rPr>
          <w:lang w:val="en-US"/>
        </w:rPr>
        <w:t>s show</w:t>
      </w:r>
      <w:r>
        <w:rPr>
          <w:lang w:val="en-US"/>
        </w:rPr>
        <w:t xml:space="preserve"> that those who enrolled in a TPU </w:t>
      </w:r>
      <w:r w:rsidR="00673FB8">
        <w:rPr>
          <w:lang w:val="en-US"/>
        </w:rPr>
        <w:t>post-birth</w:t>
      </w:r>
      <w:r>
        <w:rPr>
          <w:lang w:val="en-US"/>
        </w:rPr>
        <w:t xml:space="preserve"> had </w:t>
      </w:r>
      <w:r w:rsidR="00B22060">
        <w:rPr>
          <w:lang w:val="en-US"/>
        </w:rPr>
        <w:t>22.2 and 23.2</w:t>
      </w:r>
      <w:r w:rsidR="005E0FC5">
        <w:rPr>
          <w:lang w:val="en-US"/>
        </w:rPr>
        <w:t xml:space="preserve"> </w:t>
      </w:r>
      <w:r w:rsidR="00A9131D">
        <w:rPr>
          <w:lang w:val="en-US"/>
        </w:rPr>
        <w:t>percentage point increase</w:t>
      </w:r>
      <w:r w:rsidR="00B22060">
        <w:rPr>
          <w:lang w:val="en-US"/>
        </w:rPr>
        <w:t>s</w:t>
      </w:r>
      <w:r w:rsidR="00A9131D">
        <w:rPr>
          <w:lang w:val="en-US"/>
        </w:rPr>
        <w:t xml:space="preserve"> in their likelihood of completing</w:t>
      </w:r>
      <w:r w:rsidR="00F774F8">
        <w:rPr>
          <w:lang w:val="en-US"/>
        </w:rPr>
        <w:t xml:space="preserve"> </w:t>
      </w:r>
      <w:r w:rsidR="009E267A">
        <w:rPr>
          <w:lang w:val="en-US"/>
        </w:rPr>
        <w:t>NCEA Level 1</w:t>
      </w:r>
      <w:r w:rsidR="00B22060">
        <w:rPr>
          <w:lang w:val="en-US"/>
        </w:rPr>
        <w:t xml:space="preserve"> in the linear and non-linear IV models</w:t>
      </w:r>
      <w:r w:rsidR="00A9131D">
        <w:rPr>
          <w:i/>
          <w:lang w:val="en-US"/>
        </w:rPr>
        <w:t xml:space="preserve">. </w:t>
      </w:r>
      <w:r w:rsidR="00B22060">
        <w:rPr>
          <w:lang w:val="en-US"/>
        </w:rPr>
        <w:t>These</w:t>
      </w:r>
      <w:r w:rsidR="002D1912">
        <w:rPr>
          <w:lang w:val="en-US"/>
        </w:rPr>
        <w:t xml:space="preserve"> effect</w:t>
      </w:r>
      <w:r w:rsidR="00B22060">
        <w:rPr>
          <w:lang w:val="en-US"/>
        </w:rPr>
        <w:t xml:space="preserve">s are both </w:t>
      </w:r>
      <w:r w:rsidR="002471D5">
        <w:rPr>
          <w:lang w:val="en-US"/>
        </w:rPr>
        <w:t>significant</w:t>
      </w:r>
      <w:r w:rsidR="00B22060">
        <w:rPr>
          <w:lang w:val="en-US"/>
        </w:rPr>
        <w:t xml:space="preserve">ly different from zero at a </w:t>
      </w:r>
      <w:r w:rsidR="002D1912">
        <w:rPr>
          <w:lang w:val="en-US"/>
        </w:rPr>
        <w:t>5</w:t>
      </w:r>
      <w:r w:rsidR="004B658D">
        <w:rPr>
          <w:lang w:val="en-US"/>
        </w:rPr>
        <w:t xml:space="preserve"> </w:t>
      </w:r>
      <w:r w:rsidR="00B22060">
        <w:rPr>
          <w:lang w:val="en-US"/>
        </w:rPr>
        <w:t>per</w:t>
      </w:r>
      <w:r w:rsidR="004B658D">
        <w:rPr>
          <w:lang w:val="en-US"/>
        </w:rPr>
        <w:t>cent</w:t>
      </w:r>
      <w:r w:rsidR="00B22060">
        <w:rPr>
          <w:lang w:val="en-US"/>
        </w:rPr>
        <w:t xml:space="preserve"> level. These estimated effects are </w:t>
      </w:r>
      <w:r w:rsidR="002D1912">
        <w:rPr>
          <w:lang w:val="en-US"/>
        </w:rPr>
        <w:t>considerably larger than th</w:t>
      </w:r>
      <w:r w:rsidR="00B22060">
        <w:rPr>
          <w:lang w:val="en-US"/>
        </w:rPr>
        <w:t xml:space="preserve">ose </w:t>
      </w:r>
      <w:r w:rsidR="002D1912">
        <w:rPr>
          <w:lang w:val="en-US"/>
        </w:rPr>
        <w:t xml:space="preserve">from the </w:t>
      </w:r>
      <w:r w:rsidR="0057520A">
        <w:rPr>
          <w:lang w:val="en-US"/>
        </w:rPr>
        <w:t>Naïve model</w:t>
      </w:r>
      <w:r w:rsidR="00B22060">
        <w:rPr>
          <w:lang w:val="en-US"/>
        </w:rPr>
        <w:t xml:space="preserve"> (16.9 percentage points)</w:t>
      </w:r>
      <w:r w:rsidR="0057520A">
        <w:rPr>
          <w:lang w:val="en-US"/>
        </w:rPr>
        <w:t xml:space="preserve">, which suggests that </w:t>
      </w:r>
      <w:r w:rsidR="00BD449F">
        <w:rPr>
          <w:lang w:val="en-US"/>
        </w:rPr>
        <w:t xml:space="preserve">young women </w:t>
      </w:r>
      <w:r w:rsidR="00B22060">
        <w:rPr>
          <w:lang w:val="en-US"/>
        </w:rPr>
        <w:t>who we</w:t>
      </w:r>
      <w:r w:rsidR="0057520A">
        <w:rPr>
          <w:lang w:val="en-US"/>
        </w:rPr>
        <w:t>re more likel</w:t>
      </w:r>
      <w:r w:rsidR="00B22060">
        <w:rPr>
          <w:lang w:val="en-US"/>
        </w:rPr>
        <w:t>y to enrol in TPUs after birth we</w:t>
      </w:r>
      <w:r w:rsidR="0057520A">
        <w:rPr>
          <w:lang w:val="en-US"/>
        </w:rPr>
        <w:t xml:space="preserve">re generally </w:t>
      </w:r>
      <w:r w:rsidR="0057520A" w:rsidRPr="00B22060">
        <w:rPr>
          <w:i/>
          <w:lang w:val="en-US"/>
        </w:rPr>
        <w:t>less likely</w:t>
      </w:r>
      <w:r w:rsidR="0057520A">
        <w:rPr>
          <w:lang w:val="en-US"/>
        </w:rPr>
        <w:t xml:space="preserve"> to complete NCEA </w:t>
      </w:r>
      <w:r w:rsidR="004B658D">
        <w:rPr>
          <w:lang w:val="en-US"/>
        </w:rPr>
        <w:t>L</w:t>
      </w:r>
      <w:r w:rsidR="0057520A">
        <w:rPr>
          <w:lang w:val="en-US"/>
        </w:rPr>
        <w:t>evel 1 than those who enrolled in non-TPU schools</w:t>
      </w:r>
      <w:r w:rsidR="00BD449F">
        <w:rPr>
          <w:lang w:val="en-US"/>
        </w:rPr>
        <w:t xml:space="preserve"> after birth</w:t>
      </w:r>
      <w:r w:rsidR="0057520A">
        <w:rPr>
          <w:lang w:val="en-US"/>
        </w:rPr>
        <w:t xml:space="preserve">. </w:t>
      </w:r>
      <w:r w:rsidR="00B22060">
        <w:rPr>
          <w:lang w:val="en-US"/>
        </w:rPr>
        <w:t>In other words, the presence of TPU governing schools tends to draw teen mothers with lower overall propensities to complete NCEA level qualifications back to school.</w:t>
      </w:r>
    </w:p>
    <w:p w:rsidR="007C5E42" w:rsidRDefault="007C5E42">
      <w:pPr>
        <w:pStyle w:val="Body"/>
        <w:jc w:val="both"/>
        <w:rPr>
          <w:lang w:val="en-US"/>
        </w:rPr>
        <w:sectPr w:rsidR="007C5E42" w:rsidSect="00F84BE7">
          <w:footerReference w:type="default" r:id="rId9"/>
          <w:pgSz w:w="11900" w:h="16840"/>
          <w:pgMar w:top="1440" w:right="1440" w:bottom="1440" w:left="1440" w:header="708" w:footer="708" w:gutter="0"/>
          <w:cols w:space="720"/>
        </w:sectPr>
      </w:pPr>
    </w:p>
    <w:p w:rsidR="007C5E42" w:rsidRDefault="007C5E42" w:rsidP="007C5E42">
      <w:pPr>
        <w:pStyle w:val="Caption"/>
        <w:jc w:val="center"/>
      </w:pPr>
      <w:bookmarkStart w:id="40" w:name="_Toc462736182"/>
      <w:bookmarkStart w:id="41" w:name="_Toc475430722"/>
      <w:bookmarkStart w:id="42" w:name="_Ref442781646"/>
      <w:r>
        <w:t xml:space="preserve">Table </w:t>
      </w:r>
      <w:r>
        <w:fldChar w:fldCharType="begin"/>
      </w:r>
      <w:r>
        <w:instrText xml:space="preserve"> SEQ Table \* ARABIC </w:instrText>
      </w:r>
      <w:r>
        <w:fldChar w:fldCharType="separate"/>
      </w:r>
      <w:r>
        <w:rPr>
          <w:noProof/>
        </w:rPr>
        <w:t>10</w:t>
      </w:r>
      <w:r>
        <w:fldChar w:fldCharType="end"/>
      </w:r>
      <w:r>
        <w:t xml:space="preserve">: </w:t>
      </w:r>
      <w:r w:rsidRPr="005A27C3">
        <w:t xml:space="preserve">Impact of TPU governing school enrolment post-birth on NCEA attainment (Naïve, IV LPM and IV </w:t>
      </w:r>
      <w:r w:rsidR="00673FB8">
        <w:t>p</w:t>
      </w:r>
      <w:r w:rsidRPr="005A27C3">
        <w:t>robit estimates on young mothers who enrolled post-</w:t>
      </w:r>
      <w:r w:rsidRPr="0042073E">
        <w:t>birth)</w:t>
      </w:r>
      <w:bookmarkEnd w:id="40"/>
      <w:r w:rsidRPr="0042073E">
        <w:t xml:space="preserve">, </w:t>
      </w:r>
      <w:r w:rsidRPr="0042073E">
        <w:rPr>
          <w:szCs w:val="24"/>
        </w:rPr>
        <w:t>sub-samples without the qualification before the end of the year of their first birth</w:t>
      </w:r>
      <w:bookmarkEnd w:id="41"/>
    </w:p>
    <w:bookmarkEnd w:id="42"/>
    <w:tbl>
      <w:tblPr>
        <w:tblW w:w="11472" w:type="dxa"/>
        <w:jc w:val="center"/>
        <w:tblBorders>
          <w:top w:val="single" w:sz="4" w:space="0" w:color="000000"/>
          <w:bottom w:val="single" w:sz="4" w:space="0" w:color="000000"/>
          <w:insideH w:val="single" w:sz="4" w:space="0" w:color="000000"/>
          <w:insideV w:val="single" w:sz="4" w:space="0" w:color="000000"/>
        </w:tblBorders>
        <w:tblCellMar>
          <w:left w:w="0" w:type="dxa"/>
          <w:right w:w="0" w:type="dxa"/>
        </w:tblCellMar>
        <w:tblLook w:val="0420" w:firstRow="1" w:lastRow="0" w:firstColumn="0" w:lastColumn="0" w:noHBand="0" w:noVBand="1"/>
      </w:tblPr>
      <w:tblGrid>
        <w:gridCol w:w="2875"/>
        <w:gridCol w:w="1296"/>
        <w:gridCol w:w="1466"/>
        <w:gridCol w:w="1437"/>
        <w:gridCol w:w="1505"/>
        <w:gridCol w:w="1501"/>
        <w:gridCol w:w="1392"/>
      </w:tblGrid>
      <w:tr w:rsidR="007C5E42" w:rsidRPr="00A81D6E" w:rsidTr="00A60DC6">
        <w:trPr>
          <w:trHeight w:val="397"/>
          <w:jc w:val="center"/>
        </w:trPr>
        <w:tc>
          <w:tcPr>
            <w:tcW w:w="2875" w:type="dxa"/>
            <w:vMerge w:val="restart"/>
            <w:shd w:val="clear" w:color="auto" w:fill="auto"/>
            <w:tcMar>
              <w:top w:w="72" w:type="dxa"/>
              <w:left w:w="144" w:type="dxa"/>
              <w:bottom w:w="72" w:type="dxa"/>
              <w:right w:w="144" w:type="dxa"/>
            </w:tcMar>
            <w:hideMark/>
          </w:tcPr>
          <w:p w:rsidR="007C5E42" w:rsidRPr="004F4C26" w:rsidRDefault="007C5E42" w:rsidP="00A60DC6">
            <w:pPr>
              <w:spacing w:line="360" w:lineRule="auto"/>
              <w:jc w:val="center"/>
              <w:rPr>
                <w:sz w:val="20"/>
                <w:szCs w:val="20"/>
                <w:lang w:val="en-NZ"/>
              </w:rPr>
            </w:pPr>
          </w:p>
        </w:tc>
        <w:tc>
          <w:tcPr>
            <w:tcW w:w="4199" w:type="dxa"/>
            <w:gridSpan w:val="3"/>
            <w:shd w:val="clear" w:color="auto" w:fill="auto"/>
            <w:tcMar>
              <w:top w:w="72" w:type="dxa"/>
              <w:left w:w="144" w:type="dxa"/>
              <w:bottom w:w="72" w:type="dxa"/>
              <w:right w:w="144" w:type="dxa"/>
            </w:tcMar>
            <w:vAlign w:val="bottom"/>
            <w:hideMark/>
          </w:tcPr>
          <w:p w:rsidR="007C5E42" w:rsidRPr="004F4C26" w:rsidRDefault="007C5E42" w:rsidP="00A60DC6">
            <w:pPr>
              <w:jc w:val="center"/>
              <w:rPr>
                <w:sz w:val="20"/>
                <w:szCs w:val="20"/>
                <w:lang w:val="en-NZ"/>
              </w:rPr>
            </w:pPr>
            <w:r w:rsidRPr="004F4C26">
              <w:rPr>
                <w:iCs/>
                <w:sz w:val="20"/>
                <w:szCs w:val="20"/>
                <w:lang w:val="en-NZ"/>
              </w:rPr>
              <w:t>NCEA Level 1</w:t>
            </w:r>
          </w:p>
        </w:tc>
        <w:tc>
          <w:tcPr>
            <w:tcW w:w="4398" w:type="dxa"/>
            <w:gridSpan w:val="3"/>
            <w:shd w:val="clear" w:color="auto" w:fill="auto"/>
            <w:tcMar>
              <w:top w:w="72" w:type="dxa"/>
              <w:left w:w="144" w:type="dxa"/>
              <w:bottom w:w="72" w:type="dxa"/>
              <w:right w:w="144" w:type="dxa"/>
            </w:tcMar>
            <w:vAlign w:val="bottom"/>
            <w:hideMark/>
          </w:tcPr>
          <w:p w:rsidR="007C5E42" w:rsidRPr="004F4C26" w:rsidRDefault="007C5E42" w:rsidP="00A60DC6">
            <w:pPr>
              <w:jc w:val="center"/>
              <w:rPr>
                <w:sz w:val="20"/>
                <w:szCs w:val="20"/>
                <w:lang w:val="en-NZ"/>
              </w:rPr>
            </w:pPr>
            <w:r w:rsidRPr="004F4C26">
              <w:rPr>
                <w:iCs/>
                <w:sz w:val="20"/>
                <w:szCs w:val="20"/>
                <w:lang w:val="en-NZ"/>
              </w:rPr>
              <w:t>NCEA Level 2</w:t>
            </w:r>
          </w:p>
        </w:tc>
      </w:tr>
      <w:tr w:rsidR="007C5E42" w:rsidRPr="00A81D6E" w:rsidTr="00A60DC6">
        <w:trPr>
          <w:trHeight w:val="549"/>
          <w:jc w:val="center"/>
        </w:trPr>
        <w:tc>
          <w:tcPr>
            <w:tcW w:w="2875" w:type="dxa"/>
            <w:vMerge/>
            <w:shd w:val="clear" w:color="auto" w:fill="auto"/>
            <w:tcMar>
              <w:top w:w="72" w:type="dxa"/>
              <w:left w:w="144" w:type="dxa"/>
              <w:bottom w:w="72" w:type="dxa"/>
              <w:right w:w="144" w:type="dxa"/>
            </w:tcMar>
            <w:hideMark/>
          </w:tcPr>
          <w:p w:rsidR="007C5E42" w:rsidRPr="004F4C26" w:rsidRDefault="007C5E42" w:rsidP="00A60DC6">
            <w:pPr>
              <w:spacing w:line="360" w:lineRule="auto"/>
              <w:jc w:val="center"/>
              <w:rPr>
                <w:sz w:val="20"/>
                <w:szCs w:val="20"/>
                <w:lang w:val="en-NZ"/>
              </w:rPr>
            </w:pPr>
          </w:p>
        </w:tc>
        <w:tc>
          <w:tcPr>
            <w:tcW w:w="1296" w:type="dxa"/>
            <w:shd w:val="clear" w:color="auto" w:fill="auto"/>
            <w:tcMar>
              <w:top w:w="72" w:type="dxa"/>
              <w:left w:w="144" w:type="dxa"/>
              <w:bottom w:w="72" w:type="dxa"/>
              <w:right w:w="144" w:type="dxa"/>
            </w:tcMar>
            <w:vAlign w:val="bottom"/>
            <w:hideMark/>
          </w:tcPr>
          <w:p w:rsidR="007C5E42" w:rsidRPr="004F4C26" w:rsidRDefault="007C5E42" w:rsidP="00A60DC6">
            <w:pPr>
              <w:jc w:val="center"/>
              <w:rPr>
                <w:sz w:val="20"/>
                <w:szCs w:val="20"/>
                <w:lang w:val="en-NZ"/>
              </w:rPr>
            </w:pPr>
            <w:r w:rsidRPr="004F4C26">
              <w:rPr>
                <w:sz w:val="20"/>
                <w:szCs w:val="20"/>
                <w:lang w:val="en-NZ"/>
              </w:rPr>
              <w:t>Naïve LPM</w:t>
            </w:r>
          </w:p>
        </w:tc>
        <w:tc>
          <w:tcPr>
            <w:tcW w:w="1466" w:type="dxa"/>
            <w:shd w:val="clear" w:color="auto" w:fill="auto"/>
            <w:tcMar>
              <w:top w:w="72" w:type="dxa"/>
              <w:left w:w="144" w:type="dxa"/>
              <w:bottom w:w="72" w:type="dxa"/>
              <w:right w:w="144" w:type="dxa"/>
            </w:tcMar>
            <w:vAlign w:val="bottom"/>
            <w:hideMark/>
          </w:tcPr>
          <w:p w:rsidR="007C5E42" w:rsidRPr="004F4C26" w:rsidRDefault="007C5E42" w:rsidP="00A60DC6">
            <w:pPr>
              <w:jc w:val="center"/>
              <w:rPr>
                <w:sz w:val="20"/>
                <w:szCs w:val="20"/>
                <w:lang w:val="en-NZ"/>
              </w:rPr>
            </w:pPr>
            <w:r w:rsidRPr="004F4C26">
              <w:rPr>
                <w:sz w:val="20"/>
                <w:szCs w:val="20"/>
                <w:lang w:val="en-NZ"/>
              </w:rPr>
              <w:t>IV LPM</w:t>
            </w:r>
          </w:p>
        </w:tc>
        <w:tc>
          <w:tcPr>
            <w:tcW w:w="1437" w:type="dxa"/>
            <w:shd w:val="clear" w:color="auto" w:fill="auto"/>
            <w:tcMar>
              <w:top w:w="72" w:type="dxa"/>
              <w:left w:w="144" w:type="dxa"/>
              <w:bottom w:w="72" w:type="dxa"/>
              <w:right w:w="144" w:type="dxa"/>
            </w:tcMar>
            <w:vAlign w:val="bottom"/>
            <w:hideMark/>
          </w:tcPr>
          <w:p w:rsidR="007C5E42" w:rsidRPr="004F4C26" w:rsidRDefault="007C5E42" w:rsidP="00A60DC6">
            <w:pPr>
              <w:jc w:val="center"/>
              <w:rPr>
                <w:sz w:val="20"/>
                <w:szCs w:val="20"/>
                <w:lang w:val="en-NZ"/>
              </w:rPr>
            </w:pPr>
            <w:r w:rsidRPr="004F4C26">
              <w:rPr>
                <w:sz w:val="20"/>
                <w:szCs w:val="20"/>
                <w:lang w:val="en-NZ"/>
              </w:rPr>
              <w:t>IV probit (marginal effects)</w:t>
            </w:r>
          </w:p>
        </w:tc>
        <w:tc>
          <w:tcPr>
            <w:tcW w:w="1505" w:type="dxa"/>
            <w:shd w:val="clear" w:color="auto" w:fill="auto"/>
            <w:tcMar>
              <w:top w:w="72" w:type="dxa"/>
              <w:left w:w="144" w:type="dxa"/>
              <w:bottom w:w="72" w:type="dxa"/>
              <w:right w:w="144" w:type="dxa"/>
            </w:tcMar>
            <w:vAlign w:val="bottom"/>
            <w:hideMark/>
          </w:tcPr>
          <w:p w:rsidR="007C5E42" w:rsidRPr="004F4C26" w:rsidRDefault="007C5E42" w:rsidP="00A60DC6">
            <w:pPr>
              <w:jc w:val="center"/>
              <w:rPr>
                <w:sz w:val="20"/>
                <w:szCs w:val="20"/>
                <w:lang w:val="en-NZ"/>
              </w:rPr>
            </w:pPr>
            <w:r w:rsidRPr="004F4C26">
              <w:rPr>
                <w:sz w:val="20"/>
                <w:szCs w:val="20"/>
                <w:lang w:val="en-NZ"/>
              </w:rPr>
              <w:t>Naïve LPM</w:t>
            </w:r>
          </w:p>
        </w:tc>
        <w:tc>
          <w:tcPr>
            <w:tcW w:w="1501" w:type="dxa"/>
            <w:shd w:val="clear" w:color="auto" w:fill="auto"/>
            <w:tcMar>
              <w:top w:w="72" w:type="dxa"/>
              <w:left w:w="144" w:type="dxa"/>
              <w:bottom w:w="72" w:type="dxa"/>
              <w:right w:w="144" w:type="dxa"/>
            </w:tcMar>
            <w:vAlign w:val="bottom"/>
            <w:hideMark/>
          </w:tcPr>
          <w:p w:rsidR="007C5E42" w:rsidRPr="004F4C26" w:rsidRDefault="007C5E42" w:rsidP="00A60DC6">
            <w:pPr>
              <w:jc w:val="center"/>
              <w:rPr>
                <w:sz w:val="20"/>
                <w:szCs w:val="20"/>
                <w:lang w:val="en-NZ"/>
              </w:rPr>
            </w:pPr>
            <w:r w:rsidRPr="004F4C26">
              <w:rPr>
                <w:sz w:val="20"/>
                <w:szCs w:val="20"/>
                <w:lang w:val="en-NZ"/>
              </w:rPr>
              <w:t>IV LPM</w:t>
            </w:r>
          </w:p>
        </w:tc>
        <w:tc>
          <w:tcPr>
            <w:tcW w:w="1392" w:type="dxa"/>
            <w:shd w:val="clear" w:color="auto" w:fill="auto"/>
            <w:tcMar>
              <w:top w:w="72" w:type="dxa"/>
              <w:left w:w="144" w:type="dxa"/>
              <w:bottom w:w="72" w:type="dxa"/>
              <w:right w:w="144" w:type="dxa"/>
            </w:tcMar>
            <w:vAlign w:val="bottom"/>
            <w:hideMark/>
          </w:tcPr>
          <w:p w:rsidR="007C5E42" w:rsidRPr="004F4C26" w:rsidRDefault="007C5E42" w:rsidP="00A60DC6">
            <w:pPr>
              <w:jc w:val="center"/>
              <w:rPr>
                <w:sz w:val="20"/>
                <w:szCs w:val="20"/>
                <w:lang w:val="en-NZ"/>
              </w:rPr>
            </w:pPr>
            <w:r w:rsidRPr="004F4C26">
              <w:rPr>
                <w:sz w:val="20"/>
                <w:szCs w:val="20"/>
                <w:lang w:val="en-NZ"/>
              </w:rPr>
              <w:t>IV probit (marginal effects)</w:t>
            </w:r>
          </w:p>
        </w:tc>
      </w:tr>
      <w:tr w:rsidR="007C5E42" w:rsidRPr="00A81D6E" w:rsidTr="00A60DC6">
        <w:trPr>
          <w:trHeight w:val="680"/>
          <w:jc w:val="center"/>
        </w:trPr>
        <w:tc>
          <w:tcPr>
            <w:tcW w:w="2875" w:type="dxa"/>
            <w:shd w:val="clear" w:color="auto" w:fill="auto"/>
            <w:tcMar>
              <w:top w:w="72" w:type="dxa"/>
              <w:left w:w="144" w:type="dxa"/>
              <w:bottom w:w="72" w:type="dxa"/>
              <w:right w:w="144" w:type="dxa"/>
            </w:tcMar>
            <w:vAlign w:val="center"/>
            <w:hideMark/>
          </w:tcPr>
          <w:p w:rsidR="007C5E42" w:rsidRPr="004F4C26" w:rsidRDefault="007C5E42" w:rsidP="00A60DC6">
            <w:pPr>
              <w:spacing w:line="360" w:lineRule="auto"/>
              <w:jc w:val="center"/>
              <w:rPr>
                <w:sz w:val="20"/>
                <w:szCs w:val="20"/>
                <w:lang w:val="en-NZ"/>
              </w:rPr>
            </w:pPr>
            <w:r w:rsidRPr="004F4C26">
              <w:rPr>
                <w:sz w:val="20"/>
                <w:szCs w:val="20"/>
                <w:lang w:val="en-NZ"/>
              </w:rPr>
              <w:t>Enrolled post</w:t>
            </w:r>
            <w:r>
              <w:rPr>
                <w:sz w:val="20"/>
                <w:szCs w:val="20"/>
                <w:lang w:val="en-NZ"/>
              </w:rPr>
              <w:t>-</w:t>
            </w:r>
            <w:r w:rsidRPr="004F4C26">
              <w:rPr>
                <w:sz w:val="20"/>
                <w:szCs w:val="20"/>
                <w:lang w:val="en-NZ"/>
              </w:rPr>
              <w:t xml:space="preserve">birth </w:t>
            </w:r>
            <w:r>
              <w:rPr>
                <w:sz w:val="20"/>
                <w:szCs w:val="20"/>
                <w:lang w:val="en-NZ"/>
              </w:rPr>
              <w:t xml:space="preserve">in </w:t>
            </w:r>
            <w:r w:rsidRPr="004F4C26">
              <w:rPr>
                <w:sz w:val="20"/>
                <w:szCs w:val="20"/>
                <w:lang w:val="en-NZ"/>
              </w:rPr>
              <w:t>TPU</w:t>
            </w:r>
          </w:p>
        </w:tc>
        <w:tc>
          <w:tcPr>
            <w:tcW w:w="1296" w:type="dxa"/>
            <w:shd w:val="clear" w:color="auto" w:fill="auto"/>
            <w:tcMar>
              <w:top w:w="15" w:type="dxa"/>
              <w:left w:w="15" w:type="dxa"/>
              <w:bottom w:w="0" w:type="dxa"/>
              <w:right w:w="15" w:type="dxa"/>
            </w:tcMar>
            <w:vAlign w:val="center"/>
            <w:hideMark/>
          </w:tcPr>
          <w:p w:rsidR="007C5E42" w:rsidRPr="004F4C26" w:rsidRDefault="007C5E42" w:rsidP="00A60DC6">
            <w:pPr>
              <w:jc w:val="center"/>
              <w:rPr>
                <w:sz w:val="20"/>
                <w:szCs w:val="20"/>
                <w:lang w:val="en-NZ"/>
              </w:rPr>
            </w:pPr>
            <w:r>
              <w:rPr>
                <w:sz w:val="20"/>
                <w:szCs w:val="20"/>
                <w:lang w:val="en-NZ"/>
              </w:rPr>
              <w:t xml:space="preserve">   </w:t>
            </w:r>
            <w:r w:rsidRPr="004F4C26">
              <w:rPr>
                <w:sz w:val="20"/>
                <w:szCs w:val="20"/>
                <w:lang w:val="en-NZ"/>
              </w:rPr>
              <w:t>0.169</w:t>
            </w:r>
            <w:r w:rsidRPr="008F732D">
              <w:rPr>
                <w:sz w:val="20"/>
                <w:szCs w:val="20"/>
                <w:vertAlign w:val="superscript"/>
                <w:lang w:val="en-NZ"/>
              </w:rPr>
              <w:t>***</w:t>
            </w:r>
          </w:p>
          <w:p w:rsidR="007C5E42" w:rsidRDefault="007C5E42" w:rsidP="00A60DC6">
            <w:pPr>
              <w:jc w:val="center"/>
              <w:rPr>
                <w:sz w:val="20"/>
                <w:szCs w:val="20"/>
                <w:lang w:val="en-NZ"/>
              </w:rPr>
            </w:pPr>
            <w:r w:rsidRPr="004F4C26">
              <w:rPr>
                <w:sz w:val="20"/>
                <w:szCs w:val="20"/>
                <w:lang w:val="en-NZ"/>
              </w:rPr>
              <w:t>[</w:t>
            </w:r>
            <w:r>
              <w:rPr>
                <w:sz w:val="20"/>
                <w:szCs w:val="20"/>
                <w:lang w:val="en-NZ"/>
              </w:rPr>
              <w:t>0.118  0.219</w:t>
            </w:r>
            <w:r w:rsidRPr="004F4C26">
              <w:rPr>
                <w:sz w:val="20"/>
                <w:szCs w:val="20"/>
                <w:lang w:val="en-NZ"/>
              </w:rPr>
              <w:t>]</w:t>
            </w:r>
          </w:p>
          <w:p w:rsidR="007C5E42" w:rsidRPr="004F4C26" w:rsidRDefault="007C5E42" w:rsidP="00A60DC6">
            <w:pPr>
              <w:jc w:val="center"/>
              <w:rPr>
                <w:sz w:val="20"/>
                <w:szCs w:val="20"/>
                <w:lang w:val="en-NZ"/>
              </w:rPr>
            </w:pPr>
            <w:r w:rsidRPr="00E41870">
              <w:rPr>
                <w:i/>
                <w:sz w:val="20"/>
                <w:szCs w:val="20"/>
                <w:lang w:val="en-NZ"/>
              </w:rPr>
              <w:t>p</w:t>
            </w:r>
            <w:r>
              <w:rPr>
                <w:sz w:val="20"/>
                <w:szCs w:val="20"/>
                <w:lang w:val="en-NZ"/>
              </w:rPr>
              <w:t xml:space="preserve"> = 0.000</w:t>
            </w:r>
          </w:p>
        </w:tc>
        <w:tc>
          <w:tcPr>
            <w:tcW w:w="1466" w:type="dxa"/>
            <w:shd w:val="clear" w:color="auto" w:fill="auto"/>
            <w:tcMar>
              <w:top w:w="15" w:type="dxa"/>
              <w:left w:w="15" w:type="dxa"/>
              <w:bottom w:w="0" w:type="dxa"/>
              <w:right w:w="15" w:type="dxa"/>
            </w:tcMar>
            <w:vAlign w:val="center"/>
            <w:hideMark/>
          </w:tcPr>
          <w:p w:rsidR="007C5E42" w:rsidRPr="004F4C26" w:rsidRDefault="007C5E42" w:rsidP="00A60DC6">
            <w:pPr>
              <w:jc w:val="center"/>
              <w:rPr>
                <w:sz w:val="20"/>
                <w:szCs w:val="20"/>
                <w:lang w:val="en-NZ"/>
              </w:rPr>
            </w:pPr>
            <w:r>
              <w:rPr>
                <w:sz w:val="20"/>
                <w:szCs w:val="20"/>
                <w:lang w:val="en-NZ"/>
              </w:rPr>
              <w:t xml:space="preserve">  </w:t>
            </w:r>
            <w:r w:rsidRPr="004F4C26">
              <w:rPr>
                <w:sz w:val="20"/>
                <w:szCs w:val="20"/>
                <w:lang w:val="en-NZ"/>
              </w:rPr>
              <w:t>0.222</w:t>
            </w:r>
            <w:r w:rsidRPr="008F732D">
              <w:rPr>
                <w:sz w:val="20"/>
                <w:szCs w:val="20"/>
                <w:vertAlign w:val="superscript"/>
                <w:lang w:val="en-NZ"/>
              </w:rPr>
              <w:t>**</w:t>
            </w:r>
          </w:p>
          <w:p w:rsidR="007C5E42" w:rsidRDefault="007C5E42" w:rsidP="00A60DC6">
            <w:pPr>
              <w:jc w:val="center"/>
              <w:rPr>
                <w:sz w:val="20"/>
                <w:szCs w:val="20"/>
                <w:lang w:val="en-NZ"/>
              </w:rPr>
            </w:pPr>
            <w:r w:rsidRPr="004F4C26">
              <w:rPr>
                <w:sz w:val="20"/>
                <w:szCs w:val="20"/>
                <w:lang w:val="en-NZ"/>
              </w:rPr>
              <w:t>[</w:t>
            </w:r>
            <w:r>
              <w:rPr>
                <w:sz w:val="20"/>
                <w:szCs w:val="20"/>
                <w:lang w:val="en-NZ"/>
              </w:rPr>
              <w:t>0.026  0.418</w:t>
            </w:r>
            <w:r w:rsidRPr="004F4C26">
              <w:rPr>
                <w:sz w:val="20"/>
                <w:szCs w:val="20"/>
                <w:lang w:val="en-NZ"/>
              </w:rPr>
              <w:t>]</w:t>
            </w:r>
          </w:p>
          <w:p w:rsidR="007C5E42" w:rsidRPr="004F4C26" w:rsidRDefault="007C5E42" w:rsidP="00A60DC6">
            <w:pPr>
              <w:jc w:val="center"/>
              <w:rPr>
                <w:sz w:val="20"/>
                <w:szCs w:val="20"/>
                <w:lang w:val="en-NZ"/>
              </w:rPr>
            </w:pPr>
            <w:r w:rsidRPr="00E41870">
              <w:rPr>
                <w:i/>
                <w:sz w:val="20"/>
                <w:szCs w:val="20"/>
                <w:lang w:val="en-NZ"/>
              </w:rPr>
              <w:t>p</w:t>
            </w:r>
            <w:r>
              <w:rPr>
                <w:sz w:val="20"/>
                <w:szCs w:val="20"/>
                <w:lang w:val="en-NZ"/>
              </w:rPr>
              <w:t xml:space="preserve"> = 0.027</w:t>
            </w:r>
          </w:p>
        </w:tc>
        <w:tc>
          <w:tcPr>
            <w:tcW w:w="1437" w:type="dxa"/>
            <w:shd w:val="clear" w:color="auto" w:fill="auto"/>
            <w:tcMar>
              <w:top w:w="72" w:type="dxa"/>
              <w:left w:w="144" w:type="dxa"/>
              <w:bottom w:w="72" w:type="dxa"/>
              <w:right w:w="144" w:type="dxa"/>
            </w:tcMar>
            <w:vAlign w:val="center"/>
            <w:hideMark/>
          </w:tcPr>
          <w:p w:rsidR="007C5E42" w:rsidRPr="004F4C26" w:rsidRDefault="007C5E42" w:rsidP="00A60DC6">
            <w:pPr>
              <w:jc w:val="center"/>
              <w:rPr>
                <w:sz w:val="20"/>
                <w:szCs w:val="20"/>
                <w:lang w:val="en-NZ"/>
              </w:rPr>
            </w:pPr>
            <w:r>
              <w:rPr>
                <w:sz w:val="20"/>
                <w:szCs w:val="20"/>
                <w:lang w:val="en-NZ"/>
              </w:rPr>
              <w:t xml:space="preserve">  </w:t>
            </w:r>
            <w:r w:rsidRPr="004F4C26">
              <w:rPr>
                <w:sz w:val="20"/>
                <w:szCs w:val="20"/>
                <w:lang w:val="en-NZ"/>
              </w:rPr>
              <w:t>0.232</w:t>
            </w:r>
            <w:r w:rsidRPr="008F732D">
              <w:rPr>
                <w:sz w:val="20"/>
                <w:szCs w:val="20"/>
                <w:vertAlign w:val="superscript"/>
                <w:lang w:val="en-NZ"/>
              </w:rPr>
              <w:t>**</w:t>
            </w:r>
          </w:p>
          <w:p w:rsidR="007C5E42" w:rsidRDefault="007C5E42" w:rsidP="00A60DC6">
            <w:pPr>
              <w:jc w:val="center"/>
              <w:rPr>
                <w:sz w:val="20"/>
                <w:szCs w:val="20"/>
                <w:lang w:val="en-NZ"/>
              </w:rPr>
            </w:pPr>
            <w:r w:rsidRPr="004F4C26">
              <w:rPr>
                <w:sz w:val="20"/>
                <w:szCs w:val="20"/>
                <w:lang w:val="en-NZ"/>
              </w:rPr>
              <w:t>[</w:t>
            </w:r>
            <w:r>
              <w:rPr>
                <w:sz w:val="20"/>
                <w:szCs w:val="20"/>
                <w:lang w:val="en-NZ"/>
              </w:rPr>
              <w:t>0.022  0.442</w:t>
            </w:r>
            <w:r w:rsidRPr="004F4C26">
              <w:rPr>
                <w:sz w:val="20"/>
                <w:szCs w:val="20"/>
                <w:lang w:val="en-NZ"/>
              </w:rPr>
              <w:t>]</w:t>
            </w:r>
          </w:p>
          <w:p w:rsidR="007C5E42" w:rsidRPr="004F4C26" w:rsidRDefault="007C5E42" w:rsidP="00A60DC6">
            <w:pPr>
              <w:jc w:val="center"/>
              <w:rPr>
                <w:sz w:val="20"/>
                <w:szCs w:val="20"/>
                <w:lang w:val="en-NZ"/>
              </w:rPr>
            </w:pPr>
            <w:r w:rsidRPr="00B80626">
              <w:rPr>
                <w:i/>
                <w:sz w:val="20"/>
                <w:szCs w:val="20"/>
                <w:lang w:val="en-NZ"/>
              </w:rPr>
              <w:t>p</w:t>
            </w:r>
            <w:r>
              <w:rPr>
                <w:sz w:val="20"/>
                <w:szCs w:val="20"/>
                <w:lang w:val="en-NZ"/>
              </w:rPr>
              <w:t xml:space="preserve"> = 0.031</w:t>
            </w:r>
          </w:p>
        </w:tc>
        <w:tc>
          <w:tcPr>
            <w:tcW w:w="1505" w:type="dxa"/>
            <w:shd w:val="clear" w:color="auto" w:fill="auto"/>
            <w:tcMar>
              <w:top w:w="72" w:type="dxa"/>
              <w:left w:w="144" w:type="dxa"/>
              <w:bottom w:w="72" w:type="dxa"/>
              <w:right w:w="144" w:type="dxa"/>
            </w:tcMar>
            <w:vAlign w:val="center"/>
            <w:hideMark/>
          </w:tcPr>
          <w:p w:rsidR="007C5E42" w:rsidRPr="004F4C26" w:rsidRDefault="007C5E42" w:rsidP="00A60DC6">
            <w:pPr>
              <w:jc w:val="center"/>
              <w:rPr>
                <w:sz w:val="20"/>
                <w:szCs w:val="20"/>
                <w:lang w:val="en-NZ"/>
              </w:rPr>
            </w:pPr>
            <w:r>
              <w:rPr>
                <w:sz w:val="20"/>
                <w:szCs w:val="20"/>
                <w:lang w:val="en-NZ"/>
              </w:rPr>
              <w:t xml:space="preserve">   </w:t>
            </w:r>
            <w:r w:rsidRPr="004F4C26">
              <w:rPr>
                <w:sz w:val="20"/>
                <w:szCs w:val="20"/>
                <w:lang w:val="en-NZ"/>
              </w:rPr>
              <w:t>0.145</w:t>
            </w:r>
            <w:r w:rsidRPr="008F732D">
              <w:rPr>
                <w:sz w:val="20"/>
                <w:szCs w:val="20"/>
                <w:vertAlign w:val="superscript"/>
                <w:lang w:val="en-NZ"/>
              </w:rPr>
              <w:t>***</w:t>
            </w:r>
          </w:p>
          <w:p w:rsidR="007C5E42" w:rsidRDefault="007C5E42" w:rsidP="00A60DC6">
            <w:pPr>
              <w:jc w:val="center"/>
              <w:rPr>
                <w:i/>
                <w:sz w:val="20"/>
                <w:szCs w:val="20"/>
                <w:lang w:val="en-NZ"/>
              </w:rPr>
            </w:pPr>
            <w:r w:rsidRPr="004F4C26">
              <w:rPr>
                <w:sz w:val="20"/>
                <w:szCs w:val="20"/>
                <w:lang w:val="en-NZ"/>
              </w:rPr>
              <w:t>[</w:t>
            </w:r>
            <w:r>
              <w:rPr>
                <w:sz w:val="20"/>
                <w:szCs w:val="20"/>
                <w:lang w:val="en-NZ"/>
              </w:rPr>
              <w:t>0.102  0.188]</w:t>
            </w:r>
            <w:r w:rsidRPr="00B80626">
              <w:rPr>
                <w:i/>
                <w:sz w:val="20"/>
                <w:szCs w:val="20"/>
                <w:lang w:val="en-NZ"/>
              </w:rPr>
              <w:t xml:space="preserve"> </w:t>
            </w:r>
          </w:p>
          <w:p w:rsidR="007C5E42" w:rsidRPr="004F4C26" w:rsidRDefault="007C5E42" w:rsidP="00A60DC6">
            <w:pPr>
              <w:jc w:val="center"/>
              <w:rPr>
                <w:sz w:val="20"/>
                <w:szCs w:val="20"/>
                <w:lang w:val="en-NZ"/>
              </w:rPr>
            </w:pPr>
            <w:r w:rsidRPr="00B80626">
              <w:rPr>
                <w:i/>
                <w:sz w:val="20"/>
                <w:szCs w:val="20"/>
                <w:lang w:val="en-NZ"/>
              </w:rPr>
              <w:t>p</w:t>
            </w:r>
            <w:r>
              <w:rPr>
                <w:sz w:val="20"/>
                <w:szCs w:val="20"/>
                <w:lang w:val="en-NZ"/>
              </w:rPr>
              <w:t xml:space="preserve"> = 0.000</w:t>
            </w:r>
          </w:p>
        </w:tc>
        <w:tc>
          <w:tcPr>
            <w:tcW w:w="1501" w:type="dxa"/>
            <w:shd w:val="clear" w:color="auto" w:fill="auto"/>
            <w:tcMar>
              <w:top w:w="15" w:type="dxa"/>
              <w:left w:w="15" w:type="dxa"/>
              <w:bottom w:w="0" w:type="dxa"/>
              <w:right w:w="15" w:type="dxa"/>
            </w:tcMar>
            <w:vAlign w:val="center"/>
            <w:hideMark/>
          </w:tcPr>
          <w:p w:rsidR="007C5E42" w:rsidRPr="004F4C26" w:rsidRDefault="007C5E42" w:rsidP="00A60DC6">
            <w:pPr>
              <w:jc w:val="center"/>
              <w:rPr>
                <w:sz w:val="20"/>
                <w:szCs w:val="20"/>
                <w:lang w:val="en-NZ"/>
              </w:rPr>
            </w:pPr>
            <w:r>
              <w:rPr>
                <w:sz w:val="20"/>
                <w:szCs w:val="20"/>
                <w:lang w:val="en-NZ"/>
              </w:rPr>
              <w:t xml:space="preserve"> </w:t>
            </w:r>
            <w:r w:rsidRPr="004F4C26">
              <w:rPr>
                <w:sz w:val="20"/>
                <w:szCs w:val="20"/>
                <w:lang w:val="en-NZ"/>
              </w:rPr>
              <w:t>0.134</w:t>
            </w:r>
            <w:r w:rsidRPr="008F732D">
              <w:rPr>
                <w:sz w:val="20"/>
                <w:szCs w:val="20"/>
                <w:vertAlign w:val="superscript"/>
                <w:lang w:val="en-NZ"/>
              </w:rPr>
              <w:t>*</w:t>
            </w:r>
          </w:p>
          <w:p w:rsidR="007C5E42" w:rsidRDefault="007C5E42" w:rsidP="00A60DC6">
            <w:pPr>
              <w:jc w:val="center"/>
              <w:rPr>
                <w:sz w:val="20"/>
                <w:szCs w:val="20"/>
                <w:lang w:val="en-NZ"/>
              </w:rPr>
            </w:pPr>
            <w:r w:rsidRPr="004F4C26">
              <w:rPr>
                <w:sz w:val="20"/>
                <w:szCs w:val="20"/>
                <w:lang w:val="en-NZ"/>
              </w:rPr>
              <w:t>[</w:t>
            </w:r>
            <w:r>
              <w:rPr>
                <w:sz w:val="20"/>
                <w:szCs w:val="20"/>
                <w:lang w:val="en-NZ"/>
              </w:rPr>
              <w:t>=0.024  0.292</w:t>
            </w:r>
            <w:r w:rsidRPr="004F4C26">
              <w:rPr>
                <w:sz w:val="20"/>
                <w:szCs w:val="20"/>
                <w:lang w:val="en-NZ"/>
              </w:rPr>
              <w:t>]</w:t>
            </w:r>
          </w:p>
          <w:p w:rsidR="007C5E42" w:rsidRPr="004F4C26" w:rsidRDefault="007C5E42" w:rsidP="00A60DC6">
            <w:pPr>
              <w:jc w:val="center"/>
              <w:rPr>
                <w:sz w:val="20"/>
                <w:szCs w:val="20"/>
                <w:lang w:val="en-NZ"/>
              </w:rPr>
            </w:pPr>
            <w:r w:rsidRPr="00EE3556">
              <w:rPr>
                <w:i/>
                <w:sz w:val="20"/>
                <w:szCs w:val="20"/>
                <w:lang w:val="en-NZ"/>
              </w:rPr>
              <w:t>p</w:t>
            </w:r>
            <w:r>
              <w:rPr>
                <w:sz w:val="20"/>
                <w:szCs w:val="20"/>
                <w:lang w:val="en-NZ"/>
              </w:rPr>
              <w:t xml:space="preserve"> = 0.097</w:t>
            </w:r>
          </w:p>
        </w:tc>
        <w:tc>
          <w:tcPr>
            <w:tcW w:w="1392" w:type="dxa"/>
            <w:shd w:val="clear" w:color="auto" w:fill="auto"/>
            <w:tcMar>
              <w:top w:w="15" w:type="dxa"/>
              <w:left w:w="15" w:type="dxa"/>
              <w:bottom w:w="0" w:type="dxa"/>
              <w:right w:w="15" w:type="dxa"/>
            </w:tcMar>
            <w:vAlign w:val="center"/>
            <w:hideMark/>
          </w:tcPr>
          <w:p w:rsidR="007C5E42" w:rsidRPr="004F4C26" w:rsidRDefault="007C5E42" w:rsidP="00A60DC6">
            <w:pPr>
              <w:jc w:val="center"/>
              <w:rPr>
                <w:sz w:val="20"/>
                <w:szCs w:val="20"/>
                <w:lang w:val="en-NZ"/>
              </w:rPr>
            </w:pPr>
            <w:r w:rsidRPr="004F4C26">
              <w:rPr>
                <w:sz w:val="20"/>
                <w:szCs w:val="20"/>
                <w:lang w:val="en-NZ"/>
              </w:rPr>
              <w:t>0</w:t>
            </w:r>
            <w:r>
              <w:rPr>
                <w:sz w:val="20"/>
                <w:szCs w:val="20"/>
                <w:lang w:val="en-NZ"/>
              </w:rPr>
              <w:t>.129</w:t>
            </w:r>
          </w:p>
          <w:p w:rsidR="007C5E42" w:rsidRDefault="007C5E42" w:rsidP="00A60DC6">
            <w:pPr>
              <w:jc w:val="center"/>
              <w:rPr>
                <w:sz w:val="20"/>
                <w:szCs w:val="20"/>
                <w:lang w:val="en-NZ"/>
              </w:rPr>
            </w:pPr>
            <w:r>
              <w:rPr>
                <w:sz w:val="20"/>
                <w:szCs w:val="20"/>
                <w:lang w:val="en-NZ"/>
              </w:rPr>
              <w:t>[-0.035  0.292</w:t>
            </w:r>
            <w:r w:rsidRPr="004F4C26">
              <w:rPr>
                <w:sz w:val="20"/>
                <w:szCs w:val="20"/>
                <w:lang w:val="en-NZ"/>
              </w:rPr>
              <w:t>]</w:t>
            </w:r>
          </w:p>
          <w:p w:rsidR="007C5E42" w:rsidRPr="004F4C26" w:rsidRDefault="007C5E42" w:rsidP="00A60DC6">
            <w:pPr>
              <w:jc w:val="center"/>
              <w:rPr>
                <w:sz w:val="20"/>
                <w:szCs w:val="20"/>
                <w:lang w:val="en-NZ"/>
              </w:rPr>
            </w:pPr>
            <w:r w:rsidRPr="00E852E5">
              <w:rPr>
                <w:i/>
                <w:sz w:val="20"/>
                <w:szCs w:val="20"/>
                <w:lang w:val="en-NZ"/>
              </w:rPr>
              <w:t xml:space="preserve">p </w:t>
            </w:r>
            <w:r>
              <w:rPr>
                <w:sz w:val="20"/>
                <w:szCs w:val="20"/>
                <w:lang w:val="en-NZ"/>
              </w:rPr>
              <w:t>= 0.123</w:t>
            </w:r>
          </w:p>
        </w:tc>
      </w:tr>
      <w:tr w:rsidR="007C5E42" w:rsidRPr="00A81D6E" w:rsidTr="00A60DC6">
        <w:trPr>
          <w:trHeight w:val="624"/>
          <w:jc w:val="center"/>
        </w:trPr>
        <w:tc>
          <w:tcPr>
            <w:tcW w:w="2875" w:type="dxa"/>
            <w:shd w:val="clear" w:color="auto" w:fill="auto"/>
            <w:tcMar>
              <w:top w:w="15" w:type="dxa"/>
              <w:left w:w="15" w:type="dxa"/>
              <w:bottom w:w="0" w:type="dxa"/>
              <w:right w:w="15" w:type="dxa"/>
            </w:tcMar>
            <w:vAlign w:val="center"/>
            <w:hideMark/>
          </w:tcPr>
          <w:p w:rsidR="007C5E42" w:rsidRPr="004F4C26" w:rsidRDefault="007C5E42" w:rsidP="00A60DC6">
            <w:pPr>
              <w:jc w:val="center"/>
              <w:rPr>
                <w:sz w:val="20"/>
                <w:szCs w:val="20"/>
                <w:lang w:val="en-NZ"/>
              </w:rPr>
            </w:pPr>
            <w:r w:rsidRPr="004F4C26">
              <w:rPr>
                <w:sz w:val="20"/>
                <w:szCs w:val="20"/>
                <w:lang w:val="en-NZ"/>
              </w:rPr>
              <w:t>Adj R-squared</w:t>
            </w:r>
          </w:p>
        </w:tc>
        <w:tc>
          <w:tcPr>
            <w:tcW w:w="1296" w:type="dxa"/>
            <w:shd w:val="clear" w:color="auto" w:fill="auto"/>
            <w:tcMar>
              <w:top w:w="72" w:type="dxa"/>
              <w:left w:w="144" w:type="dxa"/>
              <w:bottom w:w="72" w:type="dxa"/>
              <w:right w:w="144" w:type="dxa"/>
            </w:tcMar>
            <w:vAlign w:val="center"/>
            <w:hideMark/>
          </w:tcPr>
          <w:p w:rsidR="007C5E42" w:rsidRPr="004F4C26" w:rsidRDefault="007C5E42" w:rsidP="00A60DC6">
            <w:pPr>
              <w:jc w:val="center"/>
              <w:rPr>
                <w:sz w:val="20"/>
                <w:szCs w:val="20"/>
                <w:lang w:val="en-NZ"/>
              </w:rPr>
            </w:pPr>
            <w:r>
              <w:rPr>
                <w:sz w:val="20"/>
                <w:szCs w:val="20"/>
                <w:lang w:val="en-NZ"/>
              </w:rPr>
              <w:t>0.125</w:t>
            </w:r>
          </w:p>
        </w:tc>
        <w:tc>
          <w:tcPr>
            <w:tcW w:w="1466" w:type="dxa"/>
            <w:shd w:val="clear" w:color="auto" w:fill="auto"/>
            <w:tcMar>
              <w:top w:w="72" w:type="dxa"/>
              <w:left w:w="144" w:type="dxa"/>
              <w:bottom w:w="72" w:type="dxa"/>
              <w:right w:w="144" w:type="dxa"/>
            </w:tcMar>
            <w:vAlign w:val="center"/>
            <w:hideMark/>
          </w:tcPr>
          <w:p w:rsidR="007C5E42" w:rsidRPr="004F4C26" w:rsidRDefault="007C5E42" w:rsidP="00A60DC6">
            <w:pPr>
              <w:jc w:val="center"/>
              <w:rPr>
                <w:sz w:val="20"/>
                <w:szCs w:val="20"/>
                <w:lang w:val="en-NZ"/>
              </w:rPr>
            </w:pPr>
            <w:r w:rsidRPr="004F4C26">
              <w:rPr>
                <w:sz w:val="20"/>
                <w:szCs w:val="20"/>
                <w:lang w:val="en-NZ"/>
              </w:rPr>
              <w:t>Stage 1 = 0.17</w:t>
            </w:r>
          </w:p>
          <w:p w:rsidR="007C5E42" w:rsidRPr="004F4C26" w:rsidRDefault="007C5E42" w:rsidP="00A60DC6">
            <w:pPr>
              <w:jc w:val="center"/>
              <w:rPr>
                <w:sz w:val="20"/>
                <w:szCs w:val="20"/>
                <w:lang w:val="en-NZ"/>
              </w:rPr>
            </w:pPr>
            <w:r w:rsidRPr="004F4C26">
              <w:rPr>
                <w:sz w:val="20"/>
                <w:szCs w:val="20"/>
                <w:lang w:val="en-NZ"/>
              </w:rPr>
              <w:t>Stage 2 = 0.12</w:t>
            </w:r>
          </w:p>
        </w:tc>
        <w:tc>
          <w:tcPr>
            <w:tcW w:w="1437" w:type="dxa"/>
            <w:shd w:val="clear" w:color="auto" w:fill="auto"/>
            <w:tcMar>
              <w:top w:w="72" w:type="dxa"/>
              <w:left w:w="144" w:type="dxa"/>
              <w:bottom w:w="72" w:type="dxa"/>
              <w:right w:w="144" w:type="dxa"/>
            </w:tcMar>
            <w:vAlign w:val="center"/>
            <w:hideMark/>
          </w:tcPr>
          <w:p w:rsidR="007C5E42" w:rsidRPr="004F4C26" w:rsidRDefault="007C5E42" w:rsidP="00A60DC6">
            <w:pPr>
              <w:jc w:val="center"/>
              <w:rPr>
                <w:sz w:val="20"/>
                <w:szCs w:val="20"/>
                <w:lang w:val="en-NZ"/>
              </w:rPr>
            </w:pPr>
          </w:p>
        </w:tc>
        <w:tc>
          <w:tcPr>
            <w:tcW w:w="1505" w:type="dxa"/>
            <w:shd w:val="clear" w:color="auto" w:fill="auto"/>
            <w:tcMar>
              <w:top w:w="15" w:type="dxa"/>
              <w:left w:w="15" w:type="dxa"/>
              <w:bottom w:w="0" w:type="dxa"/>
              <w:right w:w="15" w:type="dxa"/>
            </w:tcMar>
            <w:vAlign w:val="center"/>
            <w:hideMark/>
          </w:tcPr>
          <w:p w:rsidR="007C5E42" w:rsidRPr="004F4C26" w:rsidRDefault="007C5E42" w:rsidP="00A60DC6">
            <w:pPr>
              <w:jc w:val="center"/>
              <w:rPr>
                <w:sz w:val="20"/>
                <w:szCs w:val="20"/>
                <w:lang w:val="en-NZ"/>
              </w:rPr>
            </w:pPr>
            <w:r w:rsidRPr="004F4C26">
              <w:rPr>
                <w:sz w:val="20"/>
                <w:szCs w:val="20"/>
                <w:lang w:val="en-NZ"/>
              </w:rPr>
              <w:t>0.11</w:t>
            </w:r>
            <w:r>
              <w:rPr>
                <w:sz w:val="20"/>
                <w:szCs w:val="20"/>
                <w:lang w:val="en-NZ"/>
              </w:rPr>
              <w:t>1</w:t>
            </w:r>
          </w:p>
        </w:tc>
        <w:tc>
          <w:tcPr>
            <w:tcW w:w="1501" w:type="dxa"/>
            <w:shd w:val="clear" w:color="auto" w:fill="auto"/>
            <w:tcMar>
              <w:top w:w="72" w:type="dxa"/>
              <w:left w:w="144" w:type="dxa"/>
              <w:bottom w:w="72" w:type="dxa"/>
              <w:right w:w="144" w:type="dxa"/>
            </w:tcMar>
            <w:vAlign w:val="center"/>
            <w:hideMark/>
          </w:tcPr>
          <w:p w:rsidR="007C5E42" w:rsidRPr="004F4C26" w:rsidRDefault="007C5E42" w:rsidP="00A60DC6">
            <w:pPr>
              <w:jc w:val="center"/>
              <w:rPr>
                <w:sz w:val="20"/>
                <w:szCs w:val="20"/>
                <w:lang w:val="en-NZ"/>
              </w:rPr>
            </w:pPr>
            <w:r w:rsidRPr="004F4C26">
              <w:rPr>
                <w:sz w:val="20"/>
                <w:szCs w:val="20"/>
                <w:lang w:val="en-NZ"/>
              </w:rPr>
              <w:t>Stage 1 = 0.20</w:t>
            </w:r>
          </w:p>
          <w:p w:rsidR="007C5E42" w:rsidRPr="004F4C26" w:rsidRDefault="007C5E42" w:rsidP="00A60DC6">
            <w:pPr>
              <w:jc w:val="center"/>
              <w:rPr>
                <w:sz w:val="20"/>
                <w:szCs w:val="20"/>
                <w:lang w:val="en-NZ"/>
              </w:rPr>
            </w:pPr>
            <w:r w:rsidRPr="004F4C26">
              <w:rPr>
                <w:sz w:val="20"/>
                <w:szCs w:val="20"/>
                <w:lang w:val="en-NZ"/>
              </w:rPr>
              <w:t>Stage 2 = 0.12</w:t>
            </w:r>
          </w:p>
        </w:tc>
        <w:tc>
          <w:tcPr>
            <w:tcW w:w="1392" w:type="dxa"/>
            <w:shd w:val="clear" w:color="auto" w:fill="auto"/>
            <w:tcMar>
              <w:top w:w="72" w:type="dxa"/>
              <w:left w:w="144" w:type="dxa"/>
              <w:bottom w:w="72" w:type="dxa"/>
              <w:right w:w="144" w:type="dxa"/>
            </w:tcMar>
            <w:vAlign w:val="center"/>
            <w:hideMark/>
          </w:tcPr>
          <w:p w:rsidR="007C5E42" w:rsidRPr="004F4C26" w:rsidRDefault="007C5E42" w:rsidP="00A60DC6">
            <w:pPr>
              <w:jc w:val="center"/>
              <w:rPr>
                <w:sz w:val="20"/>
                <w:szCs w:val="20"/>
                <w:lang w:val="en-NZ"/>
              </w:rPr>
            </w:pPr>
          </w:p>
        </w:tc>
      </w:tr>
      <w:tr w:rsidR="007C5E42" w:rsidRPr="00A81D6E" w:rsidTr="00A60DC6">
        <w:trPr>
          <w:trHeight w:val="624"/>
          <w:jc w:val="center"/>
        </w:trPr>
        <w:tc>
          <w:tcPr>
            <w:tcW w:w="2875" w:type="dxa"/>
            <w:shd w:val="clear" w:color="auto" w:fill="auto"/>
            <w:tcMar>
              <w:top w:w="72" w:type="dxa"/>
              <w:left w:w="144" w:type="dxa"/>
              <w:bottom w:w="72" w:type="dxa"/>
              <w:right w:w="144" w:type="dxa"/>
            </w:tcMar>
            <w:vAlign w:val="center"/>
            <w:hideMark/>
          </w:tcPr>
          <w:p w:rsidR="007C5E42" w:rsidRPr="004F4C26" w:rsidRDefault="007C5E42" w:rsidP="00A60DC6">
            <w:pPr>
              <w:jc w:val="center"/>
              <w:rPr>
                <w:sz w:val="20"/>
                <w:szCs w:val="20"/>
                <w:lang w:val="en-NZ"/>
              </w:rPr>
            </w:pPr>
            <w:r w:rsidRPr="004F4C26">
              <w:rPr>
                <w:sz w:val="20"/>
                <w:szCs w:val="20"/>
                <w:lang w:val="en-NZ"/>
              </w:rPr>
              <w:t xml:space="preserve">Mean NCEA </w:t>
            </w:r>
            <w:r>
              <w:rPr>
                <w:sz w:val="20"/>
                <w:szCs w:val="20"/>
                <w:lang w:val="en-NZ"/>
              </w:rPr>
              <w:t>completion rates for</w:t>
            </w:r>
            <w:r w:rsidRPr="004F4C26">
              <w:rPr>
                <w:sz w:val="20"/>
                <w:szCs w:val="20"/>
                <w:lang w:val="en-NZ"/>
              </w:rPr>
              <w:t xml:space="preserve"> those enrolled in  TPU</w:t>
            </w:r>
            <w:r>
              <w:rPr>
                <w:sz w:val="20"/>
                <w:szCs w:val="20"/>
                <w:lang w:val="en-NZ"/>
              </w:rPr>
              <w:t xml:space="preserve"> governing schools </w:t>
            </w:r>
          </w:p>
        </w:tc>
        <w:tc>
          <w:tcPr>
            <w:tcW w:w="4199" w:type="dxa"/>
            <w:gridSpan w:val="3"/>
            <w:shd w:val="clear" w:color="auto" w:fill="auto"/>
            <w:tcMar>
              <w:top w:w="72" w:type="dxa"/>
              <w:left w:w="144" w:type="dxa"/>
              <w:bottom w:w="72" w:type="dxa"/>
              <w:right w:w="144" w:type="dxa"/>
            </w:tcMar>
            <w:vAlign w:val="center"/>
            <w:hideMark/>
          </w:tcPr>
          <w:p w:rsidR="007C5E42" w:rsidRPr="004F4C26" w:rsidRDefault="007C5E42" w:rsidP="00A60DC6">
            <w:pPr>
              <w:spacing w:line="360" w:lineRule="auto"/>
              <w:jc w:val="center"/>
              <w:rPr>
                <w:sz w:val="20"/>
                <w:szCs w:val="20"/>
                <w:lang w:val="en-NZ"/>
              </w:rPr>
            </w:pPr>
            <w:r w:rsidRPr="004F4C26">
              <w:rPr>
                <w:sz w:val="20"/>
                <w:szCs w:val="20"/>
                <w:lang w:val="en-NZ"/>
              </w:rPr>
              <w:t xml:space="preserve">0.53 , </w:t>
            </w:r>
            <w:r w:rsidRPr="000C13A5">
              <w:rPr>
                <w:i/>
                <w:sz w:val="20"/>
                <w:szCs w:val="20"/>
                <w:lang w:val="en-NZ"/>
              </w:rPr>
              <w:t xml:space="preserve">n </w:t>
            </w:r>
            <w:r w:rsidRPr="004F4C26">
              <w:rPr>
                <w:sz w:val="20"/>
                <w:szCs w:val="20"/>
                <w:lang w:val="en-NZ"/>
              </w:rPr>
              <w:t>=</w:t>
            </w:r>
            <w:r>
              <w:rPr>
                <w:sz w:val="20"/>
                <w:szCs w:val="20"/>
                <w:lang w:val="en-NZ"/>
              </w:rPr>
              <w:t xml:space="preserve"> </w:t>
            </w:r>
            <w:r w:rsidRPr="004F4C26">
              <w:rPr>
                <w:sz w:val="20"/>
                <w:szCs w:val="20"/>
                <w:lang w:val="en-NZ"/>
              </w:rPr>
              <w:t>720</w:t>
            </w:r>
          </w:p>
        </w:tc>
        <w:tc>
          <w:tcPr>
            <w:tcW w:w="4398" w:type="dxa"/>
            <w:gridSpan w:val="3"/>
            <w:shd w:val="clear" w:color="auto" w:fill="auto"/>
            <w:tcMar>
              <w:top w:w="72" w:type="dxa"/>
              <w:left w:w="144" w:type="dxa"/>
              <w:bottom w:w="72" w:type="dxa"/>
              <w:right w:w="144" w:type="dxa"/>
            </w:tcMar>
            <w:vAlign w:val="center"/>
            <w:hideMark/>
          </w:tcPr>
          <w:p w:rsidR="007C5E42" w:rsidRPr="004F4C26" w:rsidRDefault="007C5E42" w:rsidP="00A60DC6">
            <w:pPr>
              <w:spacing w:line="360" w:lineRule="auto"/>
              <w:jc w:val="center"/>
              <w:rPr>
                <w:sz w:val="20"/>
                <w:szCs w:val="20"/>
                <w:lang w:val="en-NZ"/>
              </w:rPr>
            </w:pPr>
            <w:r w:rsidRPr="004F4C26">
              <w:rPr>
                <w:sz w:val="20"/>
                <w:szCs w:val="20"/>
                <w:lang w:val="en-NZ"/>
              </w:rPr>
              <w:t xml:space="preserve">0.40 , </w:t>
            </w:r>
            <w:r w:rsidRPr="000C13A5">
              <w:rPr>
                <w:i/>
                <w:sz w:val="20"/>
                <w:szCs w:val="20"/>
                <w:lang w:val="en-NZ"/>
              </w:rPr>
              <w:t>n</w:t>
            </w:r>
            <w:r w:rsidRPr="004F4C26">
              <w:rPr>
                <w:sz w:val="20"/>
                <w:szCs w:val="20"/>
                <w:lang w:val="en-NZ"/>
              </w:rPr>
              <w:t xml:space="preserve"> =</w:t>
            </w:r>
            <w:r>
              <w:rPr>
                <w:sz w:val="20"/>
                <w:szCs w:val="20"/>
                <w:lang w:val="en-NZ"/>
              </w:rPr>
              <w:t xml:space="preserve"> </w:t>
            </w:r>
            <w:r w:rsidRPr="004F4C26">
              <w:rPr>
                <w:sz w:val="20"/>
                <w:szCs w:val="20"/>
                <w:lang w:val="en-NZ"/>
              </w:rPr>
              <w:t>903</w:t>
            </w:r>
          </w:p>
        </w:tc>
      </w:tr>
      <w:tr w:rsidR="007C5E42" w:rsidRPr="00A81D6E" w:rsidTr="00A60DC6">
        <w:trPr>
          <w:trHeight w:val="397"/>
          <w:jc w:val="center"/>
        </w:trPr>
        <w:tc>
          <w:tcPr>
            <w:tcW w:w="2875" w:type="dxa"/>
            <w:shd w:val="clear" w:color="auto" w:fill="auto"/>
            <w:tcMar>
              <w:top w:w="72" w:type="dxa"/>
              <w:left w:w="144" w:type="dxa"/>
              <w:bottom w:w="72" w:type="dxa"/>
              <w:right w:w="144" w:type="dxa"/>
            </w:tcMar>
            <w:vAlign w:val="center"/>
          </w:tcPr>
          <w:p w:rsidR="007C5E42" w:rsidRPr="004F4C26" w:rsidRDefault="007C5E42" w:rsidP="00A60DC6">
            <w:pPr>
              <w:jc w:val="center"/>
              <w:rPr>
                <w:sz w:val="20"/>
                <w:szCs w:val="20"/>
                <w:lang w:val="en-NZ"/>
              </w:rPr>
            </w:pPr>
            <w:r w:rsidRPr="004F4C26">
              <w:rPr>
                <w:sz w:val="20"/>
                <w:szCs w:val="20"/>
                <w:lang w:val="en-NZ"/>
              </w:rPr>
              <w:t>F-statistic from first stage regression</w:t>
            </w:r>
          </w:p>
        </w:tc>
        <w:tc>
          <w:tcPr>
            <w:tcW w:w="4199" w:type="dxa"/>
            <w:gridSpan w:val="3"/>
            <w:shd w:val="clear" w:color="auto" w:fill="auto"/>
            <w:tcMar>
              <w:top w:w="72" w:type="dxa"/>
              <w:left w:w="144" w:type="dxa"/>
              <w:bottom w:w="72" w:type="dxa"/>
              <w:right w:w="144" w:type="dxa"/>
            </w:tcMar>
            <w:vAlign w:val="center"/>
          </w:tcPr>
          <w:p w:rsidR="007C5E42" w:rsidRPr="004F4C26" w:rsidRDefault="007C5E42" w:rsidP="00A60DC6">
            <w:pPr>
              <w:spacing w:line="360" w:lineRule="auto"/>
              <w:jc w:val="center"/>
              <w:rPr>
                <w:sz w:val="20"/>
                <w:szCs w:val="20"/>
                <w:lang w:val="en-NZ"/>
              </w:rPr>
            </w:pPr>
            <w:r w:rsidRPr="004F4C26">
              <w:rPr>
                <w:sz w:val="20"/>
                <w:szCs w:val="20"/>
                <w:lang w:val="en-NZ"/>
              </w:rPr>
              <w:t>9.80</w:t>
            </w:r>
          </w:p>
        </w:tc>
        <w:tc>
          <w:tcPr>
            <w:tcW w:w="4398" w:type="dxa"/>
            <w:gridSpan w:val="3"/>
            <w:shd w:val="clear" w:color="auto" w:fill="auto"/>
            <w:tcMar>
              <w:top w:w="72" w:type="dxa"/>
              <w:left w:w="144" w:type="dxa"/>
              <w:bottom w:w="72" w:type="dxa"/>
              <w:right w:w="144" w:type="dxa"/>
            </w:tcMar>
            <w:vAlign w:val="center"/>
          </w:tcPr>
          <w:p w:rsidR="007C5E42" w:rsidRPr="004F4C26" w:rsidRDefault="007C5E42" w:rsidP="00A60DC6">
            <w:pPr>
              <w:spacing w:line="360" w:lineRule="auto"/>
              <w:jc w:val="center"/>
              <w:rPr>
                <w:sz w:val="20"/>
                <w:szCs w:val="20"/>
                <w:lang w:val="en-NZ"/>
              </w:rPr>
            </w:pPr>
            <w:r w:rsidRPr="004F4C26">
              <w:rPr>
                <w:sz w:val="20"/>
                <w:szCs w:val="20"/>
                <w:lang w:val="en-NZ"/>
              </w:rPr>
              <w:t>12.98</w:t>
            </w:r>
          </w:p>
        </w:tc>
      </w:tr>
      <w:tr w:rsidR="007C5E42" w:rsidRPr="00A81D6E" w:rsidTr="00A60DC6">
        <w:trPr>
          <w:trHeight w:val="624"/>
          <w:jc w:val="center"/>
        </w:trPr>
        <w:tc>
          <w:tcPr>
            <w:tcW w:w="2875" w:type="dxa"/>
            <w:shd w:val="clear" w:color="auto" w:fill="auto"/>
            <w:tcMar>
              <w:top w:w="72" w:type="dxa"/>
              <w:left w:w="144" w:type="dxa"/>
              <w:bottom w:w="72" w:type="dxa"/>
              <w:right w:w="144" w:type="dxa"/>
            </w:tcMar>
            <w:vAlign w:val="center"/>
            <w:hideMark/>
          </w:tcPr>
          <w:p w:rsidR="007C5E42" w:rsidRPr="004F4C26" w:rsidRDefault="007C5E42" w:rsidP="00A60DC6">
            <w:pPr>
              <w:jc w:val="center"/>
              <w:rPr>
                <w:sz w:val="20"/>
                <w:szCs w:val="20"/>
                <w:lang w:val="en-NZ"/>
              </w:rPr>
            </w:pPr>
            <w:r w:rsidRPr="004F4C26">
              <w:rPr>
                <w:sz w:val="20"/>
                <w:szCs w:val="20"/>
                <w:lang w:val="en-NZ"/>
              </w:rPr>
              <w:t>Mean NCEA</w:t>
            </w:r>
            <w:r>
              <w:rPr>
                <w:sz w:val="20"/>
                <w:szCs w:val="20"/>
                <w:lang w:val="en-NZ"/>
              </w:rPr>
              <w:t xml:space="preserve"> completion rates for those enrolled in</w:t>
            </w:r>
          </w:p>
          <w:p w:rsidR="007C5E42" w:rsidRPr="004F4C26" w:rsidRDefault="007C5E42" w:rsidP="00A60DC6">
            <w:pPr>
              <w:jc w:val="center"/>
              <w:rPr>
                <w:sz w:val="20"/>
                <w:szCs w:val="20"/>
                <w:lang w:val="en-NZ"/>
              </w:rPr>
            </w:pPr>
            <w:r w:rsidRPr="004F4C26">
              <w:rPr>
                <w:sz w:val="20"/>
                <w:szCs w:val="20"/>
                <w:lang w:val="en-NZ"/>
              </w:rPr>
              <w:t xml:space="preserve"> non</w:t>
            </w:r>
            <w:r>
              <w:rPr>
                <w:sz w:val="20"/>
                <w:szCs w:val="20"/>
                <w:lang w:val="en-NZ"/>
              </w:rPr>
              <w:t>-</w:t>
            </w:r>
            <w:r w:rsidRPr="004F4C26">
              <w:rPr>
                <w:sz w:val="20"/>
                <w:szCs w:val="20"/>
                <w:lang w:val="en-NZ"/>
              </w:rPr>
              <w:t>TPU</w:t>
            </w:r>
            <w:r>
              <w:rPr>
                <w:sz w:val="20"/>
                <w:szCs w:val="20"/>
                <w:lang w:val="en-NZ"/>
              </w:rPr>
              <w:t xml:space="preserve"> schools</w:t>
            </w:r>
          </w:p>
        </w:tc>
        <w:tc>
          <w:tcPr>
            <w:tcW w:w="4199" w:type="dxa"/>
            <w:gridSpan w:val="3"/>
            <w:shd w:val="clear" w:color="auto" w:fill="auto"/>
            <w:tcMar>
              <w:top w:w="72" w:type="dxa"/>
              <w:left w:w="144" w:type="dxa"/>
              <w:bottom w:w="72" w:type="dxa"/>
              <w:right w:w="144" w:type="dxa"/>
            </w:tcMar>
            <w:vAlign w:val="center"/>
            <w:hideMark/>
          </w:tcPr>
          <w:p w:rsidR="007C5E42" w:rsidRPr="004F4C26" w:rsidRDefault="007C5E42" w:rsidP="00A60DC6">
            <w:pPr>
              <w:spacing w:line="360" w:lineRule="auto"/>
              <w:jc w:val="center"/>
              <w:rPr>
                <w:sz w:val="20"/>
                <w:szCs w:val="20"/>
                <w:lang w:val="en-NZ"/>
              </w:rPr>
            </w:pPr>
            <w:r w:rsidRPr="004F4C26">
              <w:rPr>
                <w:sz w:val="20"/>
                <w:szCs w:val="20"/>
                <w:lang w:val="en-NZ"/>
              </w:rPr>
              <w:t>0.37,</w:t>
            </w:r>
            <w:r>
              <w:rPr>
                <w:sz w:val="20"/>
                <w:szCs w:val="20"/>
                <w:lang w:val="en-NZ"/>
              </w:rPr>
              <w:t xml:space="preserve"> </w:t>
            </w:r>
            <w:r w:rsidRPr="000C13A5">
              <w:rPr>
                <w:i/>
                <w:sz w:val="20"/>
                <w:szCs w:val="20"/>
                <w:lang w:val="en-NZ"/>
              </w:rPr>
              <w:t>n</w:t>
            </w:r>
            <w:r>
              <w:rPr>
                <w:sz w:val="20"/>
                <w:szCs w:val="20"/>
                <w:lang w:val="en-NZ"/>
              </w:rPr>
              <w:t xml:space="preserve"> </w:t>
            </w:r>
            <w:r w:rsidRPr="004F4C26">
              <w:rPr>
                <w:sz w:val="20"/>
                <w:szCs w:val="20"/>
                <w:lang w:val="en-NZ"/>
              </w:rPr>
              <w:t>=</w:t>
            </w:r>
            <w:r>
              <w:rPr>
                <w:sz w:val="20"/>
                <w:szCs w:val="20"/>
                <w:lang w:val="en-NZ"/>
              </w:rPr>
              <w:t xml:space="preserve"> </w:t>
            </w:r>
            <w:r w:rsidRPr="004F4C26">
              <w:rPr>
                <w:sz w:val="20"/>
                <w:szCs w:val="20"/>
                <w:lang w:val="en-NZ"/>
              </w:rPr>
              <w:t>801</w:t>
            </w:r>
          </w:p>
        </w:tc>
        <w:tc>
          <w:tcPr>
            <w:tcW w:w="4398" w:type="dxa"/>
            <w:gridSpan w:val="3"/>
            <w:shd w:val="clear" w:color="auto" w:fill="auto"/>
            <w:tcMar>
              <w:top w:w="72" w:type="dxa"/>
              <w:left w:w="144" w:type="dxa"/>
              <w:bottom w:w="72" w:type="dxa"/>
              <w:right w:w="144" w:type="dxa"/>
            </w:tcMar>
            <w:vAlign w:val="center"/>
            <w:hideMark/>
          </w:tcPr>
          <w:p w:rsidR="007C5E42" w:rsidRPr="004F4C26" w:rsidRDefault="007C5E42" w:rsidP="00A60DC6">
            <w:pPr>
              <w:spacing w:line="360" w:lineRule="auto"/>
              <w:jc w:val="center"/>
              <w:rPr>
                <w:sz w:val="20"/>
                <w:szCs w:val="20"/>
                <w:lang w:val="en-NZ"/>
              </w:rPr>
            </w:pPr>
            <w:r w:rsidRPr="004F4C26">
              <w:rPr>
                <w:sz w:val="20"/>
                <w:szCs w:val="20"/>
                <w:lang w:val="en-NZ"/>
              </w:rPr>
              <w:t xml:space="preserve">0.27, </w:t>
            </w:r>
            <w:r w:rsidRPr="000C13A5">
              <w:rPr>
                <w:i/>
                <w:sz w:val="20"/>
                <w:szCs w:val="20"/>
                <w:lang w:val="en-NZ"/>
              </w:rPr>
              <w:t>n</w:t>
            </w:r>
            <w:r>
              <w:rPr>
                <w:sz w:val="20"/>
                <w:szCs w:val="20"/>
                <w:lang w:val="en-NZ"/>
              </w:rPr>
              <w:t xml:space="preserve"> </w:t>
            </w:r>
            <w:r w:rsidRPr="004F4C26">
              <w:rPr>
                <w:sz w:val="20"/>
                <w:szCs w:val="20"/>
                <w:lang w:val="en-NZ"/>
              </w:rPr>
              <w:t>=</w:t>
            </w:r>
            <w:r>
              <w:rPr>
                <w:sz w:val="20"/>
                <w:szCs w:val="20"/>
                <w:lang w:val="en-NZ"/>
              </w:rPr>
              <w:t xml:space="preserve"> </w:t>
            </w:r>
            <w:r w:rsidRPr="004F4C26">
              <w:rPr>
                <w:sz w:val="20"/>
                <w:szCs w:val="20"/>
                <w:lang w:val="en-NZ"/>
              </w:rPr>
              <w:t>1,008</w:t>
            </w:r>
          </w:p>
        </w:tc>
      </w:tr>
      <w:tr w:rsidR="007C5E42" w:rsidRPr="00A81D6E" w:rsidTr="00A60DC6">
        <w:trPr>
          <w:trHeight w:val="284"/>
          <w:jc w:val="center"/>
        </w:trPr>
        <w:tc>
          <w:tcPr>
            <w:tcW w:w="2875" w:type="dxa"/>
            <w:shd w:val="clear" w:color="auto" w:fill="auto"/>
            <w:tcMar>
              <w:top w:w="72" w:type="dxa"/>
              <w:left w:w="144" w:type="dxa"/>
              <w:bottom w:w="72" w:type="dxa"/>
              <w:right w:w="144" w:type="dxa"/>
            </w:tcMar>
            <w:vAlign w:val="center"/>
            <w:hideMark/>
          </w:tcPr>
          <w:p w:rsidR="007C5E42" w:rsidRPr="00EE2772" w:rsidRDefault="007C5E42" w:rsidP="00A60DC6">
            <w:pPr>
              <w:spacing w:line="360" w:lineRule="auto"/>
              <w:jc w:val="center"/>
              <w:rPr>
                <w:i/>
                <w:sz w:val="20"/>
                <w:szCs w:val="20"/>
                <w:lang w:val="en-NZ"/>
              </w:rPr>
            </w:pPr>
            <w:r w:rsidRPr="00EE2772">
              <w:rPr>
                <w:i/>
                <w:sz w:val="20"/>
                <w:szCs w:val="20"/>
                <w:lang w:val="en-NZ"/>
              </w:rPr>
              <w:t>n</w:t>
            </w:r>
          </w:p>
        </w:tc>
        <w:tc>
          <w:tcPr>
            <w:tcW w:w="4199" w:type="dxa"/>
            <w:gridSpan w:val="3"/>
            <w:shd w:val="clear" w:color="auto" w:fill="auto"/>
            <w:tcMar>
              <w:top w:w="72" w:type="dxa"/>
              <w:left w:w="144" w:type="dxa"/>
              <w:bottom w:w="72" w:type="dxa"/>
              <w:right w:w="144" w:type="dxa"/>
            </w:tcMar>
            <w:vAlign w:val="center"/>
            <w:hideMark/>
          </w:tcPr>
          <w:p w:rsidR="007C5E42" w:rsidRPr="004F4C26" w:rsidRDefault="007C5E42" w:rsidP="00A60DC6">
            <w:pPr>
              <w:spacing w:line="360" w:lineRule="auto"/>
              <w:jc w:val="center"/>
              <w:rPr>
                <w:sz w:val="20"/>
                <w:szCs w:val="20"/>
                <w:lang w:val="en-NZ"/>
              </w:rPr>
            </w:pPr>
            <w:r w:rsidRPr="004F4C26">
              <w:rPr>
                <w:sz w:val="20"/>
                <w:szCs w:val="20"/>
                <w:lang w:val="en-NZ"/>
              </w:rPr>
              <w:t>1,521</w:t>
            </w:r>
          </w:p>
        </w:tc>
        <w:tc>
          <w:tcPr>
            <w:tcW w:w="4398" w:type="dxa"/>
            <w:gridSpan w:val="3"/>
            <w:shd w:val="clear" w:color="auto" w:fill="auto"/>
            <w:tcMar>
              <w:top w:w="72" w:type="dxa"/>
              <w:left w:w="144" w:type="dxa"/>
              <w:bottom w:w="72" w:type="dxa"/>
              <w:right w:w="144" w:type="dxa"/>
            </w:tcMar>
            <w:vAlign w:val="center"/>
            <w:hideMark/>
          </w:tcPr>
          <w:p w:rsidR="007C5E42" w:rsidRPr="004F4C26" w:rsidRDefault="007C5E42" w:rsidP="00A60DC6">
            <w:pPr>
              <w:spacing w:line="360" w:lineRule="auto"/>
              <w:jc w:val="center"/>
              <w:rPr>
                <w:sz w:val="20"/>
                <w:szCs w:val="20"/>
                <w:lang w:val="en-NZ"/>
              </w:rPr>
            </w:pPr>
            <w:r w:rsidRPr="004F4C26">
              <w:rPr>
                <w:sz w:val="20"/>
                <w:szCs w:val="20"/>
                <w:lang w:val="en-NZ"/>
              </w:rPr>
              <w:t>1,911</w:t>
            </w:r>
          </w:p>
        </w:tc>
      </w:tr>
    </w:tbl>
    <w:p w:rsidR="007C5E42" w:rsidRDefault="007C5E42" w:rsidP="007C5E42">
      <w:pPr>
        <w:widowControl w:val="0"/>
        <w:autoSpaceDE w:val="0"/>
        <w:autoSpaceDN w:val="0"/>
        <w:adjustRightInd w:val="0"/>
        <w:spacing w:before="120"/>
        <w:jc w:val="both"/>
        <w:rPr>
          <w:rFonts w:eastAsiaTheme="minorEastAsia"/>
          <w:color w:val="000000" w:themeColor="text1"/>
          <w:kern w:val="24"/>
          <w:sz w:val="20"/>
          <w:szCs w:val="20"/>
          <w:bdr w:val="none" w:sz="0" w:space="0" w:color="auto"/>
          <w:lang w:val="en-NZ" w:eastAsia="en-NZ"/>
        </w:rPr>
      </w:pPr>
      <w:r w:rsidRPr="00994E2A">
        <w:rPr>
          <w:i/>
          <w:sz w:val="20"/>
          <w:szCs w:val="20"/>
        </w:rPr>
        <w:t>Notes</w:t>
      </w:r>
      <w:r w:rsidRPr="00994E2A">
        <w:rPr>
          <w:sz w:val="20"/>
          <w:szCs w:val="20"/>
        </w:rPr>
        <w:t xml:space="preserve">; </w:t>
      </w:r>
      <w:r w:rsidRPr="008F732D">
        <w:rPr>
          <w:sz w:val="20"/>
          <w:szCs w:val="20"/>
          <w:vertAlign w:val="superscript"/>
        </w:rPr>
        <w:t>*</w:t>
      </w:r>
      <w:r w:rsidRPr="00994E2A">
        <w:rPr>
          <w:sz w:val="20"/>
          <w:szCs w:val="20"/>
        </w:rPr>
        <w:t xml:space="preserve"> </w:t>
      </w:r>
      <w:r w:rsidRPr="00994E2A">
        <w:rPr>
          <w:i/>
          <w:iCs/>
          <w:sz w:val="20"/>
          <w:szCs w:val="20"/>
        </w:rPr>
        <w:t>p</w:t>
      </w:r>
      <w:r w:rsidRPr="00994E2A">
        <w:rPr>
          <w:sz w:val="20"/>
          <w:szCs w:val="20"/>
        </w:rPr>
        <w:t xml:space="preserve"> &lt; 0.10, </w:t>
      </w:r>
      <w:r w:rsidRPr="008F732D">
        <w:rPr>
          <w:sz w:val="20"/>
          <w:szCs w:val="20"/>
          <w:vertAlign w:val="superscript"/>
        </w:rPr>
        <w:t>**</w:t>
      </w:r>
      <w:r w:rsidRPr="00994E2A">
        <w:rPr>
          <w:sz w:val="20"/>
          <w:szCs w:val="20"/>
        </w:rPr>
        <w:t xml:space="preserve"> </w:t>
      </w:r>
      <w:r w:rsidRPr="00994E2A">
        <w:rPr>
          <w:i/>
          <w:iCs/>
          <w:sz w:val="20"/>
          <w:szCs w:val="20"/>
        </w:rPr>
        <w:t>p</w:t>
      </w:r>
      <w:r w:rsidRPr="00994E2A">
        <w:rPr>
          <w:sz w:val="20"/>
          <w:szCs w:val="20"/>
        </w:rPr>
        <w:t xml:space="preserve"> &lt; 0.05, </w:t>
      </w:r>
      <w:r w:rsidRPr="008F732D">
        <w:rPr>
          <w:sz w:val="20"/>
          <w:szCs w:val="20"/>
          <w:vertAlign w:val="superscript"/>
        </w:rPr>
        <w:t>***</w:t>
      </w:r>
      <w:r w:rsidRPr="00994E2A">
        <w:rPr>
          <w:sz w:val="20"/>
          <w:szCs w:val="20"/>
        </w:rPr>
        <w:t xml:space="preserve"> </w:t>
      </w:r>
      <w:r w:rsidRPr="00994E2A">
        <w:rPr>
          <w:i/>
          <w:iCs/>
          <w:sz w:val="20"/>
          <w:szCs w:val="20"/>
        </w:rPr>
        <w:t>p</w:t>
      </w:r>
      <w:r w:rsidRPr="00994E2A">
        <w:rPr>
          <w:sz w:val="20"/>
          <w:szCs w:val="20"/>
        </w:rPr>
        <w:t xml:space="preserve"> &lt; 0.01. </w:t>
      </w:r>
      <w:r>
        <w:rPr>
          <w:sz w:val="20"/>
          <w:szCs w:val="20"/>
        </w:rPr>
        <w:t xml:space="preserve">Study sample of </w:t>
      </w:r>
      <w:r w:rsidRPr="00971CC5">
        <w:rPr>
          <w:sz w:val="20"/>
          <w:szCs w:val="20"/>
        </w:rPr>
        <w:t xml:space="preserve">young </w:t>
      </w:r>
      <w:r w:rsidR="00CC0F19" w:rsidRPr="00971CC5">
        <w:rPr>
          <w:sz w:val="20"/>
          <w:szCs w:val="20"/>
        </w:rPr>
        <w:t>wom</w:t>
      </w:r>
      <w:r w:rsidR="00CC0F19">
        <w:rPr>
          <w:sz w:val="20"/>
          <w:szCs w:val="20"/>
        </w:rPr>
        <w:t>e</w:t>
      </w:r>
      <w:r w:rsidR="00CC0F19" w:rsidRPr="00971CC5">
        <w:rPr>
          <w:sz w:val="20"/>
          <w:szCs w:val="20"/>
        </w:rPr>
        <w:t xml:space="preserve">n </w:t>
      </w:r>
      <w:r>
        <w:rPr>
          <w:sz w:val="20"/>
          <w:szCs w:val="20"/>
        </w:rPr>
        <w:t xml:space="preserve">in cohorts born </w:t>
      </w:r>
      <w:r w:rsidRPr="00971CC5">
        <w:rPr>
          <w:sz w:val="20"/>
          <w:szCs w:val="20"/>
        </w:rPr>
        <w:t>between 1 Jan 1991 and 31 December 1994 and enrolled in a New Zealand school for at least one day between the start of ENROL in 2006 and 1 January 2008</w:t>
      </w:r>
      <w:r>
        <w:rPr>
          <w:sz w:val="20"/>
          <w:szCs w:val="20"/>
        </w:rPr>
        <w:t xml:space="preserve"> and who recorded a live birth between 13</w:t>
      </w:r>
      <w:r w:rsidRPr="00043454">
        <w:rPr>
          <w:sz w:val="20"/>
          <w:szCs w:val="20"/>
          <w:vertAlign w:val="superscript"/>
        </w:rPr>
        <w:t>th</w:t>
      </w:r>
      <w:r>
        <w:rPr>
          <w:sz w:val="20"/>
          <w:szCs w:val="20"/>
        </w:rPr>
        <w:t xml:space="preserve"> and 19</w:t>
      </w:r>
      <w:r w:rsidRPr="00043454">
        <w:rPr>
          <w:sz w:val="20"/>
          <w:szCs w:val="20"/>
          <w:vertAlign w:val="superscript"/>
        </w:rPr>
        <w:t>th</w:t>
      </w:r>
      <w:r>
        <w:rPr>
          <w:sz w:val="20"/>
          <w:szCs w:val="20"/>
        </w:rPr>
        <w:t xml:space="preserve"> birthday in the MoH maternity data. </w:t>
      </w:r>
      <w:r w:rsidRPr="009156BF">
        <w:rPr>
          <w:sz w:val="20"/>
          <w:szCs w:val="20"/>
        </w:rPr>
        <w:t>Individuals whose distance from TPU is missing</w:t>
      </w:r>
      <w:r>
        <w:rPr>
          <w:sz w:val="20"/>
          <w:szCs w:val="20"/>
        </w:rPr>
        <w:t xml:space="preserve"> (</w:t>
      </w:r>
      <w:r w:rsidRPr="008548D9">
        <w:rPr>
          <w:i/>
          <w:sz w:val="20"/>
          <w:szCs w:val="20"/>
        </w:rPr>
        <w:t>n</w:t>
      </w:r>
      <w:r>
        <w:rPr>
          <w:sz w:val="20"/>
          <w:szCs w:val="20"/>
        </w:rPr>
        <w:t xml:space="preserve"> = 954) or where MoE local office is missing (</w:t>
      </w:r>
      <w:r w:rsidRPr="008548D9">
        <w:rPr>
          <w:i/>
          <w:sz w:val="20"/>
          <w:szCs w:val="20"/>
        </w:rPr>
        <w:t>n</w:t>
      </w:r>
      <w:r>
        <w:rPr>
          <w:sz w:val="20"/>
          <w:szCs w:val="20"/>
        </w:rPr>
        <w:t xml:space="preserve"> = 123) or who had the relevant NCEA qualification by the end of the year prior to giving birth were</w:t>
      </w:r>
      <w:r w:rsidRPr="009156BF">
        <w:rPr>
          <w:sz w:val="20"/>
          <w:szCs w:val="20"/>
        </w:rPr>
        <w:t xml:space="preserve"> excluded from the </w:t>
      </w:r>
      <w:r>
        <w:rPr>
          <w:sz w:val="20"/>
          <w:szCs w:val="20"/>
        </w:rPr>
        <w:t>regression</w:t>
      </w:r>
      <w:r w:rsidRPr="009156BF">
        <w:rPr>
          <w:sz w:val="20"/>
          <w:szCs w:val="20"/>
        </w:rPr>
        <w:t xml:space="preserve">. Other controls are ethnicity, cohort, rurality, </w:t>
      </w:r>
      <w:r>
        <w:rPr>
          <w:sz w:val="20"/>
          <w:szCs w:val="20"/>
        </w:rPr>
        <w:t xml:space="preserve">age of mother at birth, MoE </w:t>
      </w:r>
      <w:r w:rsidRPr="009156BF">
        <w:rPr>
          <w:sz w:val="20"/>
          <w:szCs w:val="20"/>
        </w:rPr>
        <w:t xml:space="preserve">local office, </w:t>
      </w:r>
      <w:r>
        <w:rPr>
          <w:sz w:val="20"/>
          <w:szCs w:val="20"/>
        </w:rPr>
        <w:t xml:space="preserve">indicators of CYF placement prior to birth of child and CYF Youth Justice referral prior to birth of child, </w:t>
      </w:r>
      <w:r w:rsidRPr="009156BF">
        <w:rPr>
          <w:sz w:val="20"/>
          <w:szCs w:val="20"/>
        </w:rPr>
        <w:t xml:space="preserve">total days on benefit </w:t>
      </w:r>
      <w:r>
        <w:rPr>
          <w:sz w:val="20"/>
          <w:szCs w:val="20"/>
        </w:rPr>
        <w:t>in first</w:t>
      </w:r>
      <w:r w:rsidRPr="009156BF">
        <w:rPr>
          <w:sz w:val="20"/>
          <w:szCs w:val="20"/>
        </w:rPr>
        <w:t xml:space="preserve"> 5 years</w:t>
      </w:r>
      <w:r>
        <w:rPr>
          <w:sz w:val="20"/>
          <w:szCs w:val="20"/>
        </w:rPr>
        <w:t xml:space="preserve"> of life</w:t>
      </w:r>
      <w:r w:rsidRPr="009156BF">
        <w:rPr>
          <w:sz w:val="20"/>
          <w:szCs w:val="20"/>
        </w:rPr>
        <w:t>, school size</w:t>
      </w:r>
      <w:r>
        <w:rPr>
          <w:sz w:val="20"/>
          <w:szCs w:val="20"/>
        </w:rPr>
        <w:t xml:space="preserve">, and school decile ranking (=1-3 vs. not). </w:t>
      </w:r>
      <w:r w:rsidRPr="009156BF">
        <w:rPr>
          <w:rFonts w:asciiTheme="minorHAnsi" w:eastAsiaTheme="minorEastAsia" w:hAnsi="Calibri" w:cstheme="minorBidi"/>
          <w:color w:val="000000" w:themeColor="text1"/>
          <w:kern w:val="24"/>
          <w:sz w:val="20"/>
          <w:szCs w:val="20"/>
          <w:bdr w:val="none" w:sz="0" w:space="0" w:color="auto"/>
          <w:lang w:val="en-NZ" w:eastAsia="en-NZ"/>
        </w:rPr>
        <w:t xml:space="preserve"> </w:t>
      </w:r>
      <w:r>
        <w:rPr>
          <w:sz w:val="20"/>
          <w:szCs w:val="20"/>
        </w:rPr>
        <w:t xml:space="preserve">Instruments are </w:t>
      </w:r>
      <w:r w:rsidRPr="006C6F5D">
        <w:rPr>
          <w:sz w:val="20"/>
          <w:szCs w:val="20"/>
        </w:rPr>
        <w:t>distance (in k</w:t>
      </w:r>
      <w:r>
        <w:rPr>
          <w:sz w:val="20"/>
          <w:szCs w:val="20"/>
        </w:rPr>
        <w:t>ilomet</w:t>
      </w:r>
      <w:r w:rsidR="00CC0F19">
        <w:rPr>
          <w:sz w:val="20"/>
          <w:szCs w:val="20"/>
        </w:rPr>
        <w:t>re</w:t>
      </w:r>
      <w:r>
        <w:rPr>
          <w:sz w:val="20"/>
          <w:szCs w:val="20"/>
        </w:rPr>
        <w:t>s</w:t>
      </w:r>
      <w:r w:rsidRPr="006C6F5D">
        <w:rPr>
          <w:sz w:val="20"/>
          <w:szCs w:val="20"/>
        </w:rPr>
        <w:t xml:space="preserve">) to the nearest TPU governing school </w:t>
      </w:r>
      <w:r>
        <w:rPr>
          <w:sz w:val="20"/>
          <w:szCs w:val="20"/>
        </w:rPr>
        <w:t xml:space="preserve">at or </w:t>
      </w:r>
      <w:r w:rsidRPr="006C6F5D">
        <w:rPr>
          <w:sz w:val="20"/>
          <w:szCs w:val="20"/>
        </w:rPr>
        <w:t>prior to conception and enrolment in a TPU governing school at the conception date as the two valid instruments for this analysis</w:t>
      </w:r>
      <w:r w:rsidRPr="008309BD">
        <w:rPr>
          <w:rFonts w:eastAsiaTheme="minorEastAsia"/>
          <w:color w:val="000000" w:themeColor="text1"/>
          <w:kern w:val="24"/>
          <w:sz w:val="20"/>
          <w:szCs w:val="20"/>
          <w:bdr w:val="none" w:sz="0" w:space="0" w:color="auto"/>
          <w:lang w:val="en-NZ" w:eastAsia="en-NZ"/>
        </w:rPr>
        <w:t>.</w:t>
      </w:r>
      <w:r w:rsidRPr="008309BD">
        <w:rPr>
          <w:sz w:val="20"/>
          <w:szCs w:val="20"/>
        </w:rPr>
        <w:t xml:space="preserve"> </w:t>
      </w:r>
      <w:r w:rsidRPr="008309BD">
        <w:rPr>
          <w:rFonts w:eastAsiaTheme="minorEastAsia"/>
          <w:color w:val="000000" w:themeColor="text1"/>
          <w:kern w:val="24"/>
          <w:sz w:val="20"/>
          <w:szCs w:val="20"/>
          <w:bdr w:val="none" w:sz="0" w:space="0" w:color="auto"/>
          <w:lang w:eastAsia="en-NZ"/>
        </w:rPr>
        <w:t>This table only reports some of these key findings from this analysis.</w:t>
      </w:r>
      <w:r w:rsidRPr="008309BD">
        <w:rPr>
          <w:rFonts w:eastAsiaTheme="minorEastAsia"/>
          <w:color w:val="000000" w:themeColor="text1"/>
          <w:kern w:val="24"/>
          <w:sz w:val="20"/>
          <w:szCs w:val="20"/>
          <w:bdr w:val="none" w:sz="0" w:space="0" w:color="auto"/>
          <w:lang w:val="en-NZ" w:eastAsia="en-NZ"/>
        </w:rPr>
        <w:t xml:space="preserve"> A full set of regression results can be found </w:t>
      </w:r>
      <w:r>
        <w:rPr>
          <w:rFonts w:eastAsiaTheme="minorEastAsia"/>
          <w:color w:val="000000" w:themeColor="text1"/>
          <w:kern w:val="24"/>
          <w:sz w:val="20"/>
          <w:szCs w:val="20"/>
          <w:bdr w:val="none" w:sz="0" w:space="0" w:color="auto"/>
          <w:lang w:val="en-NZ" w:eastAsia="en-NZ"/>
        </w:rPr>
        <w:t>in Appendix Tables 5</w:t>
      </w:r>
      <w:r w:rsidRPr="008309BD">
        <w:rPr>
          <w:rFonts w:eastAsiaTheme="minorEastAsia"/>
          <w:color w:val="000000" w:themeColor="text1"/>
          <w:kern w:val="24"/>
          <w:sz w:val="20"/>
          <w:szCs w:val="20"/>
          <w:bdr w:val="none" w:sz="0" w:space="0" w:color="auto"/>
          <w:lang w:val="en-NZ" w:eastAsia="en-NZ"/>
        </w:rPr>
        <w:t xml:space="preserve">A </w:t>
      </w:r>
      <w:r>
        <w:rPr>
          <w:rFonts w:eastAsiaTheme="minorEastAsia"/>
          <w:color w:val="000000" w:themeColor="text1"/>
          <w:kern w:val="24"/>
          <w:sz w:val="20"/>
          <w:szCs w:val="20"/>
          <w:bdr w:val="none" w:sz="0" w:space="0" w:color="auto"/>
          <w:lang w:val="en-NZ" w:eastAsia="en-NZ"/>
        </w:rPr>
        <w:t>and 5B</w:t>
      </w:r>
      <w:r w:rsidRPr="008309BD">
        <w:rPr>
          <w:rFonts w:eastAsiaTheme="minorEastAsia"/>
          <w:color w:val="000000" w:themeColor="text1"/>
          <w:kern w:val="24"/>
          <w:sz w:val="20"/>
          <w:szCs w:val="20"/>
          <w:bdr w:val="none" w:sz="0" w:space="0" w:color="auto"/>
          <w:lang w:val="en-NZ" w:eastAsia="en-NZ"/>
        </w:rPr>
        <w:t>.</w:t>
      </w:r>
    </w:p>
    <w:p w:rsidR="007C5E42" w:rsidRDefault="007C5E42">
      <w:pPr>
        <w:pStyle w:val="Body"/>
        <w:jc w:val="both"/>
        <w:rPr>
          <w:lang w:val="en-US"/>
        </w:rPr>
        <w:sectPr w:rsidR="007C5E42" w:rsidSect="007C5E42">
          <w:pgSz w:w="16840" w:h="11900" w:orient="landscape"/>
          <w:pgMar w:top="1440" w:right="1440" w:bottom="1440" w:left="1440" w:header="708" w:footer="708" w:gutter="0"/>
          <w:cols w:space="720"/>
          <w:docGrid w:linePitch="326"/>
        </w:sectPr>
      </w:pPr>
    </w:p>
    <w:p w:rsidR="007C5E42" w:rsidRPr="007C5E42" w:rsidRDefault="007C5E42" w:rsidP="007C5E42">
      <w:pPr>
        <w:pStyle w:val="Body"/>
        <w:jc w:val="both"/>
        <w:rPr>
          <w:lang w:val="en-US"/>
        </w:rPr>
      </w:pPr>
      <w:r>
        <w:rPr>
          <w:lang w:val="en-US"/>
        </w:rPr>
        <w:t>In the case of NCEA Level 2 qualifications, there is less robust evidence that TPUs are more effective with some positive effects observed in the linear IV but none in the IV probit specification. The magnitude of the estimated effect from the Naïve model is similar to those found in the IV models, but the latter are imprecisely estimated with relatively large standard errors.</w:t>
      </w:r>
    </w:p>
    <w:p w:rsidR="00673FB8" w:rsidRDefault="00144996" w:rsidP="007C5E42">
      <w:pPr>
        <w:pStyle w:val="Body"/>
        <w:jc w:val="both"/>
        <w:rPr>
          <w:lang w:val="en-US"/>
        </w:rPr>
      </w:pPr>
      <w:r>
        <w:rPr>
          <w:lang w:val="en-US"/>
        </w:rPr>
        <w:t>As noted, t</w:t>
      </w:r>
      <w:r w:rsidR="00C60D65">
        <w:rPr>
          <w:lang w:val="en-US"/>
        </w:rPr>
        <w:t xml:space="preserve">he fact that the estimated effects in the IV </w:t>
      </w:r>
      <w:r w:rsidR="00673FB8">
        <w:rPr>
          <w:lang w:val="en-US"/>
        </w:rPr>
        <w:t xml:space="preserve">regressions </w:t>
      </w:r>
      <w:r w:rsidR="00C60D65">
        <w:rPr>
          <w:lang w:val="en-US"/>
        </w:rPr>
        <w:t xml:space="preserve">are larger than </w:t>
      </w:r>
      <w:r>
        <w:rPr>
          <w:lang w:val="en-US"/>
        </w:rPr>
        <w:t xml:space="preserve">those in </w:t>
      </w:r>
      <w:r w:rsidR="00C60D65">
        <w:rPr>
          <w:lang w:val="en-US"/>
        </w:rPr>
        <w:t xml:space="preserve">the </w:t>
      </w:r>
      <w:r w:rsidR="00444027">
        <w:rPr>
          <w:lang w:val="en-US"/>
        </w:rPr>
        <w:t>N</w:t>
      </w:r>
      <w:r w:rsidR="00C60D65">
        <w:rPr>
          <w:lang w:val="en-US"/>
        </w:rPr>
        <w:t xml:space="preserve">aïve model suggests that those young women who self-select into TPUs are less likely to complete NCEA </w:t>
      </w:r>
      <w:r w:rsidR="00673FB8">
        <w:rPr>
          <w:lang w:val="en-US"/>
        </w:rPr>
        <w:t>qualifications</w:t>
      </w:r>
      <w:r w:rsidR="00C60D65">
        <w:rPr>
          <w:lang w:val="en-US"/>
        </w:rPr>
        <w:t xml:space="preserve">. To test this, </w:t>
      </w:r>
      <w:r w:rsidR="003B23F6" w:rsidRPr="00B12C8E">
        <w:rPr>
          <w:lang w:val="en-US"/>
        </w:rPr>
        <w:t>we re-estimate model</w:t>
      </w:r>
      <w:r w:rsidR="00B71B1E">
        <w:rPr>
          <w:lang w:val="en-US"/>
        </w:rPr>
        <w:t xml:space="preserve"> </w:t>
      </w:r>
      <w:r w:rsidR="00DB7566">
        <w:rPr>
          <w:lang w:val="en-US"/>
        </w:rPr>
        <w:t>(4</w:t>
      </w:r>
      <w:r w:rsidR="00B71B1E">
        <w:rPr>
          <w:lang w:val="en-US"/>
        </w:rPr>
        <w:t xml:space="preserve">) </w:t>
      </w:r>
      <w:r w:rsidR="00992E3B" w:rsidRPr="00B12C8E">
        <w:rPr>
          <w:lang w:val="en-US"/>
        </w:rPr>
        <w:t xml:space="preserve">for young women who did </w:t>
      </w:r>
      <w:r w:rsidR="00992E3B" w:rsidRPr="00673FB8">
        <w:rPr>
          <w:i/>
          <w:lang w:val="en-US"/>
        </w:rPr>
        <w:t>not</w:t>
      </w:r>
      <w:r w:rsidR="00992E3B" w:rsidRPr="00B12C8E">
        <w:rPr>
          <w:lang w:val="en-US"/>
        </w:rPr>
        <w:t xml:space="preserve"> give birth</w:t>
      </w:r>
      <w:r w:rsidR="00C60D65">
        <w:rPr>
          <w:lang w:val="en-US"/>
        </w:rPr>
        <w:t xml:space="preserve"> but were enrolled </w:t>
      </w:r>
      <w:r w:rsidR="00673FB8">
        <w:rPr>
          <w:lang w:val="en-US"/>
        </w:rPr>
        <w:t xml:space="preserve">in school </w:t>
      </w:r>
      <w:r w:rsidR="00C60D65">
        <w:rPr>
          <w:lang w:val="en-US"/>
        </w:rPr>
        <w:t>at age 14</w:t>
      </w:r>
      <w:r w:rsidR="00992E3B" w:rsidRPr="00B12C8E">
        <w:rPr>
          <w:lang w:val="en-US"/>
        </w:rPr>
        <w:t>.</w:t>
      </w:r>
      <w:r w:rsidR="00D135F9" w:rsidRPr="00B12C8E">
        <w:rPr>
          <w:lang w:val="en-US"/>
        </w:rPr>
        <w:t xml:space="preserve"> For this estimation, </w:t>
      </w:r>
      <w:r w:rsidR="00D135F9" w:rsidRPr="00B12C8E">
        <w:rPr>
          <w:i/>
          <w:lang w:val="en-US"/>
        </w:rPr>
        <w:t>TPU</w:t>
      </w:r>
      <w:r w:rsidR="00D135F9" w:rsidRPr="00B12C8E">
        <w:rPr>
          <w:lang w:val="en-US"/>
        </w:rPr>
        <w:t xml:space="preserve"> is an indicator variable which reflects whether the young woman was enrolled in a TPU </w:t>
      </w:r>
      <w:r w:rsidR="00566F2C">
        <w:rPr>
          <w:lang w:val="en-US"/>
        </w:rPr>
        <w:t>governing</w:t>
      </w:r>
      <w:r w:rsidR="00D135F9" w:rsidRPr="00B12C8E">
        <w:rPr>
          <w:lang w:val="en-US"/>
        </w:rPr>
        <w:t xml:space="preserve"> school or a non-TPU school at age 14.</w:t>
      </w:r>
      <w:r w:rsidR="0026772D" w:rsidRPr="00B12C8E">
        <w:rPr>
          <w:lang w:val="en-US"/>
        </w:rPr>
        <w:t xml:space="preserve"> </w:t>
      </w:r>
    </w:p>
    <w:p w:rsidR="007C5E42" w:rsidRPr="007C5E42" w:rsidRDefault="00C003B6" w:rsidP="007C5E42">
      <w:pPr>
        <w:pStyle w:val="Body"/>
        <w:jc w:val="both"/>
        <w:rPr>
          <w:lang w:val="en-US"/>
        </w:rPr>
      </w:pPr>
      <w:r>
        <w:t>Table 11</w:t>
      </w:r>
      <w:r w:rsidR="008D362A">
        <w:t xml:space="preserve"> </w:t>
      </w:r>
      <w:r w:rsidR="00D135F9" w:rsidRPr="00B12C8E">
        <w:rPr>
          <w:lang w:val="en-US"/>
        </w:rPr>
        <w:t xml:space="preserve">presents the results. </w:t>
      </w:r>
      <w:r w:rsidR="009A1012" w:rsidRPr="00B12C8E">
        <w:rPr>
          <w:lang w:val="en-US"/>
        </w:rPr>
        <w:t xml:space="preserve">We </w:t>
      </w:r>
      <w:r w:rsidR="005C6127">
        <w:rPr>
          <w:lang w:val="en-US"/>
        </w:rPr>
        <w:t>a</w:t>
      </w:r>
      <w:r w:rsidR="005C6127" w:rsidRPr="00B12C8E">
        <w:rPr>
          <w:lang w:val="en-US"/>
        </w:rPr>
        <w:t xml:space="preserve">re </w:t>
      </w:r>
      <w:r w:rsidR="009A1012" w:rsidRPr="00B12C8E">
        <w:rPr>
          <w:lang w:val="en-US"/>
        </w:rPr>
        <w:t xml:space="preserve">not able to control for the same extensive set of covariates but we </w:t>
      </w:r>
      <w:r w:rsidR="00254D3F" w:rsidRPr="00B12C8E">
        <w:rPr>
          <w:lang w:val="en-US"/>
        </w:rPr>
        <w:t xml:space="preserve">find </w:t>
      </w:r>
      <w:r w:rsidR="009A1012" w:rsidRPr="00B12C8E">
        <w:rPr>
          <w:lang w:val="en-US"/>
        </w:rPr>
        <w:t xml:space="preserve">that overall, </w:t>
      </w:r>
      <w:r w:rsidR="00E940F4">
        <w:rPr>
          <w:lang w:val="en-US"/>
        </w:rPr>
        <w:t>young women</w:t>
      </w:r>
      <w:r w:rsidR="009A1012" w:rsidRPr="00B12C8E">
        <w:rPr>
          <w:lang w:val="en-US"/>
        </w:rPr>
        <w:t xml:space="preserve"> enrolled in </w:t>
      </w:r>
      <w:r w:rsidR="00E940F4">
        <w:rPr>
          <w:lang w:val="en-US"/>
        </w:rPr>
        <w:t xml:space="preserve">TPU </w:t>
      </w:r>
      <w:r w:rsidR="00144996">
        <w:rPr>
          <w:lang w:val="en-US"/>
        </w:rPr>
        <w:t xml:space="preserve">governing </w:t>
      </w:r>
      <w:r w:rsidR="009A1012" w:rsidRPr="00B12C8E">
        <w:rPr>
          <w:lang w:val="en-US"/>
        </w:rPr>
        <w:t xml:space="preserve">schools </w:t>
      </w:r>
      <w:r w:rsidR="00E940F4">
        <w:rPr>
          <w:lang w:val="en-US"/>
        </w:rPr>
        <w:t>we</w:t>
      </w:r>
      <w:r w:rsidR="005C6127" w:rsidRPr="00B12C8E">
        <w:rPr>
          <w:lang w:val="en-US"/>
        </w:rPr>
        <w:t xml:space="preserve">re </w:t>
      </w:r>
      <w:r w:rsidR="009A1012" w:rsidRPr="00B12C8E">
        <w:rPr>
          <w:lang w:val="en-US"/>
        </w:rPr>
        <w:t xml:space="preserve">less likely to achieve NCEA qualifications by </w:t>
      </w:r>
      <w:r w:rsidR="005A323F" w:rsidRPr="00B12C8E">
        <w:rPr>
          <w:lang w:val="en-US"/>
        </w:rPr>
        <w:t>the end of the year in which they turned</w:t>
      </w:r>
      <w:r w:rsidR="009A1012" w:rsidRPr="00B12C8E">
        <w:rPr>
          <w:lang w:val="en-US"/>
        </w:rPr>
        <w:t xml:space="preserve"> 19 </w:t>
      </w:r>
      <w:r w:rsidR="00E940F4">
        <w:rPr>
          <w:lang w:val="en-US"/>
        </w:rPr>
        <w:t xml:space="preserve">compared to young women </w:t>
      </w:r>
      <w:r w:rsidR="009A1012" w:rsidRPr="00B12C8E">
        <w:rPr>
          <w:lang w:val="en-US"/>
        </w:rPr>
        <w:t xml:space="preserve">enrolled in other schools. This is </w:t>
      </w:r>
      <w:r w:rsidR="00225733" w:rsidRPr="00B12C8E">
        <w:rPr>
          <w:lang w:val="en-US"/>
        </w:rPr>
        <w:t xml:space="preserve">not </w:t>
      </w:r>
      <w:r w:rsidR="00E940F4">
        <w:rPr>
          <w:lang w:val="en-US"/>
        </w:rPr>
        <w:t xml:space="preserve">an </w:t>
      </w:r>
      <w:r w:rsidR="00225733" w:rsidRPr="00B12C8E">
        <w:rPr>
          <w:lang w:val="en-US"/>
        </w:rPr>
        <w:t>un</w:t>
      </w:r>
      <w:r w:rsidR="009A1012" w:rsidRPr="00B12C8E">
        <w:rPr>
          <w:lang w:val="en-US"/>
        </w:rPr>
        <w:t xml:space="preserve">expected </w:t>
      </w:r>
      <w:r w:rsidR="00E940F4">
        <w:rPr>
          <w:lang w:val="en-US"/>
        </w:rPr>
        <w:t xml:space="preserve">resulted </w:t>
      </w:r>
      <w:r w:rsidR="009A1012" w:rsidRPr="00B12C8E">
        <w:rPr>
          <w:lang w:val="en-US"/>
        </w:rPr>
        <w:t xml:space="preserve">because we know that TPUs </w:t>
      </w:r>
      <w:r w:rsidR="005A323F" w:rsidRPr="00B12C8E">
        <w:rPr>
          <w:lang w:val="en-US"/>
        </w:rPr>
        <w:t>are</w:t>
      </w:r>
      <w:r w:rsidR="003E6853">
        <w:rPr>
          <w:lang w:val="en-US"/>
        </w:rPr>
        <w:t xml:space="preserve"> generally</w:t>
      </w:r>
      <w:r w:rsidR="005A323F" w:rsidRPr="00B12C8E">
        <w:rPr>
          <w:lang w:val="en-US"/>
        </w:rPr>
        <w:t xml:space="preserve"> </w:t>
      </w:r>
      <w:r w:rsidR="009A1012" w:rsidRPr="00B12C8E">
        <w:rPr>
          <w:lang w:val="en-US"/>
        </w:rPr>
        <w:t xml:space="preserve">linked to schools and located in places where there are higher </w:t>
      </w:r>
      <w:r w:rsidR="00673FB8">
        <w:rPr>
          <w:lang w:val="en-US"/>
        </w:rPr>
        <w:t>levels of social disadvantage</w:t>
      </w:r>
      <w:r w:rsidR="009A1012" w:rsidRPr="00B12C8E">
        <w:rPr>
          <w:lang w:val="en-US"/>
        </w:rPr>
        <w:t xml:space="preserve">. </w:t>
      </w:r>
      <w:r w:rsidR="00C60D65">
        <w:rPr>
          <w:lang w:val="en-US"/>
        </w:rPr>
        <w:t>It does</w:t>
      </w:r>
      <w:r w:rsidR="00E940F4">
        <w:rPr>
          <w:lang w:val="en-US"/>
        </w:rPr>
        <w:t>,</w:t>
      </w:r>
      <w:r w:rsidR="00C60D65">
        <w:rPr>
          <w:lang w:val="en-US"/>
        </w:rPr>
        <w:t xml:space="preserve"> however</w:t>
      </w:r>
      <w:r w:rsidR="00E940F4">
        <w:rPr>
          <w:lang w:val="en-US"/>
        </w:rPr>
        <w:t>,</w:t>
      </w:r>
      <w:r w:rsidR="00C60D65">
        <w:rPr>
          <w:lang w:val="en-US"/>
        </w:rPr>
        <w:t xml:space="preserve"> </w:t>
      </w:r>
      <w:r w:rsidR="00673FB8">
        <w:rPr>
          <w:lang w:val="en-US"/>
        </w:rPr>
        <w:t>suggest</w:t>
      </w:r>
      <w:r w:rsidR="00C60D65">
        <w:rPr>
          <w:lang w:val="en-US"/>
        </w:rPr>
        <w:t xml:space="preserve"> that </w:t>
      </w:r>
      <w:r w:rsidR="00E940F4">
        <w:rPr>
          <w:lang w:val="en-US"/>
        </w:rPr>
        <w:t xml:space="preserve">our </w:t>
      </w:r>
      <w:r w:rsidR="00C60D65">
        <w:rPr>
          <w:lang w:val="en-US"/>
        </w:rPr>
        <w:t>interpretation</w:t>
      </w:r>
      <w:r w:rsidR="00E940F4" w:rsidRPr="00E940F4">
        <w:rPr>
          <w:lang w:val="en-US"/>
        </w:rPr>
        <w:t xml:space="preserve"> </w:t>
      </w:r>
      <w:r w:rsidR="00BD449F">
        <w:rPr>
          <w:lang w:val="en-US"/>
        </w:rPr>
        <w:t xml:space="preserve">that </w:t>
      </w:r>
      <w:r w:rsidR="00C60D65">
        <w:rPr>
          <w:lang w:val="en-US"/>
        </w:rPr>
        <w:t xml:space="preserve">TPUs generally attract young women with </w:t>
      </w:r>
      <w:r w:rsidR="00B30A1B">
        <w:rPr>
          <w:lang w:val="en-US"/>
        </w:rPr>
        <w:t xml:space="preserve">lower </w:t>
      </w:r>
      <w:r w:rsidR="00E940F4">
        <w:rPr>
          <w:lang w:val="en-US"/>
        </w:rPr>
        <w:t>overall propensities</w:t>
      </w:r>
      <w:r w:rsidR="00C60D65">
        <w:rPr>
          <w:lang w:val="en-US"/>
        </w:rPr>
        <w:t xml:space="preserve"> to complete school qualif</w:t>
      </w:r>
      <w:r w:rsidR="00E940F4">
        <w:rPr>
          <w:lang w:val="en-US"/>
        </w:rPr>
        <w:t>ications</w:t>
      </w:r>
      <w:r w:rsidR="00144996">
        <w:rPr>
          <w:lang w:val="en-US"/>
        </w:rPr>
        <w:t xml:space="preserve"> is likely to be correct</w:t>
      </w:r>
      <w:r w:rsidR="00C60D65">
        <w:rPr>
          <w:lang w:val="en-US"/>
        </w:rPr>
        <w:t>.</w:t>
      </w:r>
    </w:p>
    <w:p w:rsidR="007C5E42" w:rsidRDefault="007C5E42" w:rsidP="007C5E42">
      <w:pPr>
        <w:pStyle w:val="Caption"/>
        <w:jc w:val="center"/>
        <w:rPr>
          <w:b w:val="0"/>
          <w:szCs w:val="24"/>
        </w:rPr>
      </w:pPr>
      <w:bookmarkStart w:id="43" w:name="_Toc462736183"/>
      <w:bookmarkStart w:id="44" w:name="_Toc475430723"/>
      <w:r>
        <w:t xml:space="preserve">Table </w:t>
      </w:r>
      <w:r>
        <w:fldChar w:fldCharType="begin"/>
      </w:r>
      <w:r>
        <w:instrText xml:space="preserve"> SEQ Table \* ARABIC </w:instrText>
      </w:r>
      <w:r>
        <w:fldChar w:fldCharType="separate"/>
      </w:r>
      <w:r>
        <w:rPr>
          <w:noProof/>
        </w:rPr>
        <w:t>11</w:t>
      </w:r>
      <w:r>
        <w:fldChar w:fldCharType="end"/>
      </w:r>
      <w:r>
        <w:t xml:space="preserve">: </w:t>
      </w:r>
      <w:r w:rsidRPr="00BB7918">
        <w:t>Estimated effects of TPU governing school enrolment at age 14 on the probabi</w:t>
      </w:r>
      <w:r>
        <w:t>lities of completing NCEA Level</w:t>
      </w:r>
      <w:r w:rsidRPr="00BB7918">
        <w:t xml:space="preserve"> 1 and 2 for women who did not have a teen (under 19) birth</w:t>
      </w:r>
      <w:bookmarkEnd w:id="43"/>
      <w:bookmarkEnd w:id="44"/>
    </w:p>
    <w:tbl>
      <w:tblPr>
        <w:tblW w:w="4558" w:type="pct"/>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4937"/>
        <w:gridCol w:w="1888"/>
        <w:gridCol w:w="1595"/>
      </w:tblGrid>
      <w:tr w:rsidR="007C5E42" w:rsidTr="00A60DC6">
        <w:trPr>
          <w:trHeight w:val="449"/>
          <w:jc w:val="center"/>
        </w:trPr>
        <w:tc>
          <w:tcPr>
            <w:tcW w:w="2932" w:type="pct"/>
          </w:tcPr>
          <w:p w:rsidR="007C5E42" w:rsidRPr="004F4C26" w:rsidRDefault="007C5E42" w:rsidP="00A60DC6">
            <w:pPr>
              <w:widowControl w:val="0"/>
              <w:pBdr>
                <w:top w:val="single" w:sz="4" w:space="1" w:color="auto"/>
              </w:pBdr>
              <w:autoSpaceDE w:val="0"/>
              <w:autoSpaceDN w:val="0"/>
              <w:adjustRightInd w:val="0"/>
              <w:rPr>
                <w:sz w:val="20"/>
                <w:szCs w:val="20"/>
              </w:rPr>
            </w:pPr>
          </w:p>
        </w:tc>
        <w:tc>
          <w:tcPr>
            <w:tcW w:w="1121" w:type="pct"/>
            <w:vAlign w:val="bottom"/>
            <w:hideMark/>
          </w:tcPr>
          <w:p w:rsidR="007C5E42" w:rsidRPr="004F4C26" w:rsidRDefault="007C5E42" w:rsidP="00A60DC6">
            <w:pPr>
              <w:widowControl w:val="0"/>
              <w:autoSpaceDE w:val="0"/>
              <w:autoSpaceDN w:val="0"/>
              <w:adjustRightInd w:val="0"/>
              <w:jc w:val="center"/>
              <w:rPr>
                <w:sz w:val="20"/>
                <w:szCs w:val="20"/>
              </w:rPr>
            </w:pPr>
            <w:r>
              <w:rPr>
                <w:sz w:val="20"/>
                <w:szCs w:val="20"/>
              </w:rPr>
              <w:t xml:space="preserve">NCEA </w:t>
            </w:r>
            <w:r w:rsidR="00916918">
              <w:rPr>
                <w:sz w:val="20"/>
                <w:szCs w:val="20"/>
              </w:rPr>
              <w:t>L</w:t>
            </w:r>
            <w:r>
              <w:rPr>
                <w:sz w:val="20"/>
                <w:szCs w:val="20"/>
              </w:rPr>
              <w:t>evel 1</w:t>
            </w:r>
          </w:p>
        </w:tc>
        <w:tc>
          <w:tcPr>
            <w:tcW w:w="947" w:type="pct"/>
            <w:vAlign w:val="bottom"/>
            <w:hideMark/>
          </w:tcPr>
          <w:p w:rsidR="007C5E42" w:rsidRPr="004F4C26" w:rsidRDefault="007C5E42" w:rsidP="00A60DC6">
            <w:pPr>
              <w:widowControl w:val="0"/>
              <w:autoSpaceDE w:val="0"/>
              <w:autoSpaceDN w:val="0"/>
              <w:adjustRightInd w:val="0"/>
              <w:jc w:val="center"/>
              <w:rPr>
                <w:sz w:val="20"/>
                <w:szCs w:val="20"/>
              </w:rPr>
            </w:pPr>
            <w:r>
              <w:rPr>
                <w:sz w:val="20"/>
                <w:szCs w:val="20"/>
              </w:rPr>
              <w:t xml:space="preserve">NCEA </w:t>
            </w:r>
            <w:r w:rsidR="00916918">
              <w:rPr>
                <w:sz w:val="20"/>
                <w:szCs w:val="20"/>
              </w:rPr>
              <w:t>L</w:t>
            </w:r>
            <w:r>
              <w:rPr>
                <w:sz w:val="20"/>
                <w:szCs w:val="20"/>
              </w:rPr>
              <w:t>evel 2</w:t>
            </w:r>
          </w:p>
        </w:tc>
      </w:tr>
      <w:tr w:rsidR="007C5E42" w:rsidTr="00A60DC6">
        <w:trPr>
          <w:trHeight w:val="1021"/>
          <w:jc w:val="center"/>
        </w:trPr>
        <w:tc>
          <w:tcPr>
            <w:tcW w:w="2932" w:type="pct"/>
            <w:vAlign w:val="center"/>
            <w:hideMark/>
          </w:tcPr>
          <w:p w:rsidR="007C5E42" w:rsidRPr="004F4C26" w:rsidRDefault="007C5E42" w:rsidP="00A60DC6">
            <w:pPr>
              <w:widowControl w:val="0"/>
              <w:autoSpaceDE w:val="0"/>
              <w:autoSpaceDN w:val="0"/>
              <w:adjustRightInd w:val="0"/>
              <w:rPr>
                <w:sz w:val="20"/>
                <w:szCs w:val="20"/>
              </w:rPr>
            </w:pPr>
            <w:r w:rsidRPr="004F4C26">
              <w:rPr>
                <w:sz w:val="20"/>
                <w:szCs w:val="20"/>
              </w:rPr>
              <w:t xml:space="preserve">TPU governing school enrolled at age 14 </w:t>
            </w:r>
            <m:oMath>
              <m:r>
                <w:rPr>
                  <w:rFonts w:ascii="Cambria Math" w:hAnsi="Cambria Math"/>
                  <w:sz w:val="20"/>
                  <w:szCs w:val="20"/>
                </w:rPr>
                <m:t>(TP</m:t>
              </m:r>
              <m:sSub>
                <m:sSubPr>
                  <m:ctrlPr>
                    <w:rPr>
                      <w:rFonts w:ascii="Cambria Math" w:hAnsi="Cambria Math"/>
                      <w:sz w:val="20"/>
                      <w:szCs w:val="20"/>
                    </w:rPr>
                  </m:ctrlPr>
                </m:sSubPr>
                <m:e>
                  <m:r>
                    <w:rPr>
                      <w:rFonts w:ascii="Cambria Math" w:hAnsi="Cambria Math"/>
                      <w:sz w:val="20"/>
                      <w:szCs w:val="20"/>
                    </w:rPr>
                    <m:t>U</m:t>
                  </m:r>
                </m:e>
                <m:sub>
                  <m:r>
                    <w:rPr>
                      <w:rFonts w:ascii="Cambria Math" w:hAnsi="Cambria Math"/>
                      <w:sz w:val="20"/>
                      <w:szCs w:val="20"/>
                    </w:rPr>
                    <m:t>age</m:t>
                  </m:r>
                  <m:r>
                    <m:rPr>
                      <m:sty m:val="p"/>
                    </m:rPr>
                    <w:rPr>
                      <w:rFonts w:ascii="Cambria Math" w:hAnsi="Cambria Math"/>
                      <w:sz w:val="20"/>
                      <w:szCs w:val="20"/>
                    </w:rPr>
                    <m:t>=14</m:t>
                  </m:r>
                </m:sub>
              </m:sSub>
              <m:r>
                <w:rPr>
                  <w:rFonts w:ascii="Cambria Math" w:hAnsi="Cambria Math"/>
                  <w:sz w:val="20"/>
                  <w:szCs w:val="20"/>
                </w:rPr>
                <m:t>)</m:t>
              </m:r>
            </m:oMath>
          </w:p>
        </w:tc>
        <w:tc>
          <w:tcPr>
            <w:tcW w:w="1121" w:type="pct"/>
            <w:vAlign w:val="center"/>
            <w:hideMark/>
          </w:tcPr>
          <w:p w:rsidR="007C5E42" w:rsidRPr="004F4C26" w:rsidRDefault="007C5E42" w:rsidP="00A60DC6">
            <w:pPr>
              <w:jc w:val="center"/>
              <w:rPr>
                <w:sz w:val="20"/>
                <w:szCs w:val="20"/>
              </w:rPr>
            </w:pPr>
            <w:r w:rsidRPr="004F4C26">
              <w:rPr>
                <w:sz w:val="20"/>
                <w:szCs w:val="20"/>
              </w:rPr>
              <w:t>-</w:t>
            </w:r>
            <w:r>
              <w:rPr>
                <w:sz w:val="20"/>
                <w:szCs w:val="20"/>
              </w:rPr>
              <w:t>0.002</w:t>
            </w:r>
          </w:p>
          <w:p w:rsidR="007C5E42" w:rsidRPr="004F4C26" w:rsidRDefault="007C5E42" w:rsidP="00A60DC6">
            <w:pPr>
              <w:jc w:val="center"/>
              <w:rPr>
                <w:sz w:val="20"/>
                <w:szCs w:val="20"/>
              </w:rPr>
            </w:pPr>
            <w:r w:rsidRPr="004F4C26">
              <w:rPr>
                <w:sz w:val="20"/>
                <w:szCs w:val="20"/>
              </w:rPr>
              <w:t>[-</w:t>
            </w:r>
            <w:r>
              <w:rPr>
                <w:sz w:val="20"/>
                <w:szCs w:val="20"/>
              </w:rPr>
              <w:t>0</w:t>
            </w:r>
            <w:r w:rsidRPr="004F4C26">
              <w:rPr>
                <w:sz w:val="20"/>
                <w:szCs w:val="20"/>
              </w:rPr>
              <w:t>.009</w:t>
            </w:r>
            <w:r>
              <w:rPr>
                <w:sz w:val="20"/>
                <w:szCs w:val="20"/>
              </w:rPr>
              <w:t xml:space="preserve"> </w:t>
            </w:r>
            <w:r w:rsidRPr="004F4C26">
              <w:rPr>
                <w:sz w:val="20"/>
                <w:szCs w:val="20"/>
              </w:rPr>
              <w:t xml:space="preserve"> </w:t>
            </w:r>
            <w:r>
              <w:rPr>
                <w:sz w:val="20"/>
                <w:szCs w:val="20"/>
              </w:rPr>
              <w:t>0</w:t>
            </w:r>
            <w:r w:rsidRPr="004F4C26">
              <w:rPr>
                <w:sz w:val="20"/>
                <w:szCs w:val="20"/>
              </w:rPr>
              <w:t>.005]</w:t>
            </w:r>
          </w:p>
          <w:p w:rsidR="007C5E42" w:rsidRPr="004F4C26" w:rsidRDefault="007C5E42" w:rsidP="00A60DC6">
            <w:pPr>
              <w:jc w:val="center"/>
              <w:rPr>
                <w:sz w:val="20"/>
                <w:szCs w:val="20"/>
              </w:rPr>
            </w:pPr>
            <w:r w:rsidRPr="008548D9">
              <w:rPr>
                <w:i/>
                <w:sz w:val="20"/>
                <w:szCs w:val="20"/>
              </w:rPr>
              <w:t>p</w:t>
            </w:r>
            <w:r w:rsidRPr="004F4C26">
              <w:rPr>
                <w:sz w:val="20"/>
                <w:szCs w:val="20"/>
              </w:rPr>
              <w:t xml:space="preserve"> = 0.635</w:t>
            </w:r>
          </w:p>
        </w:tc>
        <w:tc>
          <w:tcPr>
            <w:tcW w:w="947" w:type="pct"/>
            <w:vAlign w:val="center"/>
            <w:hideMark/>
          </w:tcPr>
          <w:p w:rsidR="007C5E42" w:rsidRPr="004F4C26" w:rsidRDefault="007C5E42" w:rsidP="00A60DC6">
            <w:pPr>
              <w:jc w:val="center"/>
              <w:rPr>
                <w:sz w:val="20"/>
                <w:szCs w:val="20"/>
              </w:rPr>
            </w:pPr>
            <w:r>
              <w:rPr>
                <w:sz w:val="20"/>
                <w:szCs w:val="20"/>
              </w:rPr>
              <w:t xml:space="preserve">   -0.015</w:t>
            </w:r>
            <w:r w:rsidRPr="005E0FC5">
              <w:rPr>
                <w:sz w:val="20"/>
                <w:szCs w:val="20"/>
                <w:vertAlign w:val="superscript"/>
              </w:rPr>
              <w:t>***</w:t>
            </w:r>
            <w:r w:rsidRPr="004F4C26">
              <w:rPr>
                <w:sz w:val="20"/>
                <w:szCs w:val="20"/>
              </w:rPr>
              <w:t xml:space="preserve"> </w:t>
            </w:r>
          </w:p>
          <w:p w:rsidR="007C5E42" w:rsidRPr="004F4C26" w:rsidRDefault="007C5E42" w:rsidP="00A60DC6">
            <w:pPr>
              <w:jc w:val="center"/>
              <w:rPr>
                <w:sz w:val="20"/>
                <w:szCs w:val="20"/>
              </w:rPr>
            </w:pPr>
            <w:r>
              <w:rPr>
                <w:sz w:val="20"/>
                <w:szCs w:val="20"/>
              </w:rPr>
              <w:t>[-0.025</w:t>
            </w:r>
            <w:r w:rsidRPr="004F4C26">
              <w:rPr>
                <w:sz w:val="20"/>
                <w:szCs w:val="20"/>
              </w:rPr>
              <w:t xml:space="preserve">  </w:t>
            </w:r>
            <w:r>
              <w:rPr>
                <w:sz w:val="20"/>
                <w:szCs w:val="20"/>
              </w:rPr>
              <w:t>-0.004</w:t>
            </w:r>
            <w:r w:rsidRPr="004F4C26">
              <w:rPr>
                <w:sz w:val="20"/>
                <w:szCs w:val="20"/>
              </w:rPr>
              <w:t>]</w:t>
            </w:r>
          </w:p>
          <w:p w:rsidR="007C5E42" w:rsidRPr="004F4C26" w:rsidRDefault="007C5E42" w:rsidP="00A60DC6">
            <w:pPr>
              <w:jc w:val="center"/>
              <w:rPr>
                <w:sz w:val="20"/>
                <w:szCs w:val="20"/>
              </w:rPr>
            </w:pPr>
            <w:r w:rsidRPr="008548D9">
              <w:rPr>
                <w:i/>
                <w:sz w:val="20"/>
                <w:szCs w:val="20"/>
              </w:rPr>
              <w:t>p</w:t>
            </w:r>
            <w:r w:rsidRPr="004F4C26">
              <w:rPr>
                <w:sz w:val="20"/>
                <w:szCs w:val="20"/>
              </w:rPr>
              <w:t xml:space="preserve"> = 0.</w:t>
            </w:r>
            <w:r>
              <w:rPr>
                <w:sz w:val="20"/>
                <w:szCs w:val="20"/>
              </w:rPr>
              <w:t>005</w:t>
            </w:r>
          </w:p>
        </w:tc>
      </w:tr>
    </w:tbl>
    <w:p w:rsidR="007C5E42" w:rsidRPr="008309BD" w:rsidRDefault="007C5E42" w:rsidP="007C5E42">
      <w:pPr>
        <w:widowControl w:val="0"/>
        <w:autoSpaceDE w:val="0"/>
        <w:autoSpaceDN w:val="0"/>
        <w:adjustRightInd w:val="0"/>
        <w:jc w:val="both"/>
        <w:rPr>
          <w:sz w:val="20"/>
          <w:szCs w:val="20"/>
          <w:lang w:val="en-NZ"/>
        </w:rPr>
      </w:pPr>
      <w:r w:rsidRPr="00994E2A">
        <w:rPr>
          <w:i/>
          <w:sz w:val="20"/>
          <w:szCs w:val="20"/>
        </w:rPr>
        <w:t>Notes</w:t>
      </w:r>
      <w:r w:rsidRPr="00994E2A">
        <w:rPr>
          <w:sz w:val="20"/>
          <w:szCs w:val="20"/>
        </w:rPr>
        <w:t xml:space="preserve">; * </w:t>
      </w:r>
      <w:r w:rsidRPr="00994E2A">
        <w:rPr>
          <w:i/>
          <w:iCs/>
          <w:sz w:val="20"/>
          <w:szCs w:val="20"/>
        </w:rPr>
        <w:t>p</w:t>
      </w:r>
      <w:r w:rsidRPr="00994E2A">
        <w:rPr>
          <w:sz w:val="20"/>
          <w:szCs w:val="20"/>
        </w:rPr>
        <w:t xml:space="preserve"> &lt; 0.10, ** </w:t>
      </w:r>
      <w:r w:rsidRPr="00994E2A">
        <w:rPr>
          <w:i/>
          <w:iCs/>
          <w:sz w:val="20"/>
          <w:szCs w:val="20"/>
        </w:rPr>
        <w:t>p</w:t>
      </w:r>
      <w:r w:rsidRPr="00994E2A">
        <w:rPr>
          <w:sz w:val="20"/>
          <w:szCs w:val="20"/>
        </w:rPr>
        <w:t xml:space="preserve"> &lt; 0.05, *** </w:t>
      </w:r>
      <w:r w:rsidRPr="00994E2A">
        <w:rPr>
          <w:i/>
          <w:iCs/>
          <w:sz w:val="20"/>
          <w:szCs w:val="20"/>
        </w:rPr>
        <w:t>p</w:t>
      </w:r>
      <w:r w:rsidRPr="00994E2A">
        <w:rPr>
          <w:sz w:val="20"/>
          <w:szCs w:val="20"/>
        </w:rPr>
        <w:t xml:space="preserve"> &lt; 0.01. </w:t>
      </w:r>
      <w:r w:rsidRPr="009156BF">
        <w:rPr>
          <w:sz w:val="20"/>
          <w:szCs w:val="20"/>
        </w:rPr>
        <w:t xml:space="preserve"> </w:t>
      </w:r>
      <w:r>
        <w:rPr>
          <w:sz w:val="20"/>
          <w:szCs w:val="20"/>
        </w:rPr>
        <w:t xml:space="preserve">Study sample of </w:t>
      </w:r>
      <w:r w:rsidRPr="00971CC5">
        <w:rPr>
          <w:sz w:val="20"/>
          <w:szCs w:val="20"/>
        </w:rPr>
        <w:t>young wom</w:t>
      </w:r>
      <w:r w:rsidR="00FD636A">
        <w:rPr>
          <w:sz w:val="20"/>
          <w:szCs w:val="20"/>
        </w:rPr>
        <w:t>e</w:t>
      </w:r>
      <w:r w:rsidRPr="00971CC5">
        <w:rPr>
          <w:sz w:val="20"/>
          <w:szCs w:val="20"/>
        </w:rPr>
        <w:t xml:space="preserve">n </w:t>
      </w:r>
      <w:r>
        <w:rPr>
          <w:sz w:val="20"/>
          <w:szCs w:val="20"/>
        </w:rPr>
        <w:t>born b</w:t>
      </w:r>
      <w:r w:rsidRPr="00971CC5">
        <w:rPr>
          <w:sz w:val="20"/>
          <w:szCs w:val="20"/>
        </w:rPr>
        <w:t xml:space="preserve">etween 1 Jan 1991 and 31 December 1994 and enrolled in a New Zealand school for at least one day </w:t>
      </w:r>
      <w:r>
        <w:rPr>
          <w:sz w:val="20"/>
          <w:szCs w:val="20"/>
        </w:rPr>
        <w:t>at their 14</w:t>
      </w:r>
      <w:r w:rsidRPr="00CA0B93">
        <w:rPr>
          <w:sz w:val="20"/>
          <w:szCs w:val="20"/>
          <w:vertAlign w:val="superscript"/>
        </w:rPr>
        <w:t>th</w:t>
      </w:r>
      <w:r>
        <w:rPr>
          <w:sz w:val="20"/>
          <w:szCs w:val="20"/>
        </w:rPr>
        <w:t xml:space="preserve"> birthday, and </w:t>
      </w:r>
      <w:r w:rsidRPr="00533B7B">
        <w:rPr>
          <w:sz w:val="20"/>
          <w:szCs w:val="20"/>
        </w:rPr>
        <w:t xml:space="preserve">who did </w:t>
      </w:r>
      <w:r w:rsidRPr="00533B7B">
        <w:rPr>
          <w:sz w:val="20"/>
          <w:szCs w:val="20"/>
          <w:u w:val="single"/>
        </w:rPr>
        <w:t>not</w:t>
      </w:r>
      <w:r w:rsidRPr="00533B7B">
        <w:rPr>
          <w:sz w:val="20"/>
          <w:szCs w:val="20"/>
        </w:rPr>
        <w:t xml:space="preserve"> have a live birth between 13</w:t>
      </w:r>
      <w:r w:rsidRPr="00533B7B">
        <w:rPr>
          <w:sz w:val="20"/>
          <w:szCs w:val="20"/>
          <w:vertAlign w:val="superscript"/>
        </w:rPr>
        <w:t>th</w:t>
      </w:r>
      <w:r w:rsidRPr="00533B7B">
        <w:rPr>
          <w:sz w:val="20"/>
          <w:szCs w:val="20"/>
        </w:rPr>
        <w:t xml:space="preserve"> and 19</w:t>
      </w:r>
      <w:r w:rsidRPr="00533B7B">
        <w:rPr>
          <w:sz w:val="20"/>
          <w:szCs w:val="20"/>
          <w:vertAlign w:val="superscript"/>
        </w:rPr>
        <w:t>th</w:t>
      </w:r>
      <w:r w:rsidRPr="00533B7B">
        <w:rPr>
          <w:sz w:val="20"/>
          <w:szCs w:val="20"/>
        </w:rPr>
        <w:t xml:space="preserve"> birthday.</w:t>
      </w:r>
      <w:r w:rsidRPr="008309BD">
        <w:rPr>
          <w:sz w:val="20"/>
          <w:szCs w:val="20"/>
        </w:rPr>
        <w:t xml:space="preserve"> This table only reports some of these key findings from this analysis.</w:t>
      </w:r>
      <w:r w:rsidRPr="008309BD">
        <w:rPr>
          <w:rFonts w:eastAsiaTheme="minorEastAsia"/>
          <w:color w:val="000000" w:themeColor="text1"/>
          <w:kern w:val="24"/>
          <w:sz w:val="20"/>
          <w:szCs w:val="20"/>
          <w:bdr w:val="none" w:sz="0" w:space="0" w:color="auto"/>
          <w:lang w:val="en-NZ" w:eastAsia="en-NZ"/>
        </w:rPr>
        <w:t xml:space="preserve"> A full set of regression results can be found </w:t>
      </w:r>
      <w:r>
        <w:rPr>
          <w:rFonts w:eastAsiaTheme="minorEastAsia"/>
          <w:color w:val="000000" w:themeColor="text1"/>
          <w:kern w:val="24"/>
          <w:sz w:val="20"/>
          <w:szCs w:val="20"/>
          <w:bdr w:val="none" w:sz="0" w:space="0" w:color="auto"/>
          <w:lang w:val="en-NZ" w:eastAsia="en-NZ"/>
        </w:rPr>
        <w:t>in Appendix Table 6</w:t>
      </w:r>
      <w:r w:rsidRPr="008309BD">
        <w:rPr>
          <w:rFonts w:eastAsiaTheme="minorEastAsia"/>
          <w:color w:val="000000" w:themeColor="text1"/>
          <w:kern w:val="24"/>
          <w:sz w:val="20"/>
          <w:szCs w:val="20"/>
          <w:bdr w:val="none" w:sz="0" w:space="0" w:color="auto"/>
          <w:lang w:val="en-NZ" w:eastAsia="en-NZ"/>
        </w:rPr>
        <w:t>.</w:t>
      </w:r>
    </w:p>
    <w:p w:rsidR="0042073E" w:rsidRDefault="0042073E">
      <w:pPr>
        <w:rPr>
          <w:rFonts w:ascii="Cambria" w:eastAsiaTheme="majorEastAsia" w:hAnsi="Cambria" w:cstheme="majorBidi"/>
          <w:bCs/>
          <w:sz w:val="36"/>
          <w:szCs w:val="28"/>
          <w:lang w:val="fr-FR"/>
        </w:rPr>
      </w:pPr>
      <w:r>
        <w:rPr>
          <w:lang w:val="fr-FR"/>
        </w:rPr>
        <w:br w:type="page"/>
      </w:r>
    </w:p>
    <w:p w:rsidR="003E6853" w:rsidRPr="00D66BFE" w:rsidRDefault="003E6853" w:rsidP="003E6853">
      <w:pPr>
        <w:pStyle w:val="Heading1"/>
        <w:ind w:left="709" w:hanging="709"/>
        <w:rPr>
          <w:lang w:val="fr-FR"/>
        </w:rPr>
      </w:pPr>
      <w:bookmarkStart w:id="45" w:name="_Toc473803315"/>
      <w:r w:rsidRPr="0021065A">
        <w:rPr>
          <w:lang w:val="fr-FR"/>
        </w:rPr>
        <w:t>Limitations</w:t>
      </w:r>
      <w:bookmarkEnd w:id="45"/>
    </w:p>
    <w:p w:rsidR="00C449F4" w:rsidRDefault="003E6853" w:rsidP="003E6853">
      <w:pPr>
        <w:pStyle w:val="Body"/>
        <w:jc w:val="both"/>
      </w:pPr>
      <w:r w:rsidRPr="00CE6994">
        <w:t xml:space="preserve">There are a number of limitations </w:t>
      </w:r>
      <w:r w:rsidR="00FB6CC6">
        <w:t>that</w:t>
      </w:r>
      <w:r w:rsidRPr="00CE6994">
        <w:t xml:space="preserve"> need to be considered in interpreting the results of this study. </w:t>
      </w:r>
    </w:p>
    <w:p w:rsidR="00240769" w:rsidRPr="00CE6994" w:rsidRDefault="00953DB3" w:rsidP="00240769">
      <w:pPr>
        <w:pStyle w:val="Body"/>
        <w:jc w:val="both"/>
      </w:pPr>
      <w:r>
        <w:t>Data l</w:t>
      </w:r>
      <w:r w:rsidR="003E6853" w:rsidRPr="00CE6994">
        <w:t xml:space="preserve">inking is probabilistic and some errors are inevitable. The data </w:t>
      </w:r>
      <w:r w:rsidR="00673FB8">
        <w:t xml:space="preserve">available to us </w:t>
      </w:r>
      <w:r w:rsidR="003E6853" w:rsidRPr="00CE6994">
        <w:t xml:space="preserve">capture information collected or generated in the process of administering government services, and inevitably </w:t>
      </w:r>
      <w:r>
        <w:t xml:space="preserve">may </w:t>
      </w:r>
      <w:r w:rsidR="003E6853" w:rsidRPr="00CE6994">
        <w:t xml:space="preserve">embody errors in measurement, reporting and recording that occur in those processes. </w:t>
      </w:r>
      <w:r w:rsidR="00240769">
        <w:t xml:space="preserve">Data limitations </w:t>
      </w:r>
      <w:r w:rsidR="00487274">
        <w:t>result in some degree of imprecision in the estimation of true impacts. Most critically, w</w:t>
      </w:r>
      <w:r w:rsidR="00240769">
        <w:t>e can</w:t>
      </w:r>
      <w:r w:rsidR="00487274">
        <w:t>no</w:t>
      </w:r>
      <w:r w:rsidR="00240769">
        <w:t xml:space="preserve">t </w:t>
      </w:r>
      <w:r w:rsidR="00E940F4">
        <w:t>observe whether a young mother wa</w:t>
      </w:r>
      <w:r w:rsidR="00240769">
        <w:t xml:space="preserve">s </w:t>
      </w:r>
      <w:r w:rsidR="00487274">
        <w:t xml:space="preserve">actually </w:t>
      </w:r>
      <w:r w:rsidR="00240769">
        <w:t xml:space="preserve">enrolled in </w:t>
      </w:r>
      <w:r w:rsidR="00E940F4">
        <w:t xml:space="preserve">a </w:t>
      </w:r>
      <w:r w:rsidR="00240769">
        <w:t>TPU</w:t>
      </w:r>
      <w:r w:rsidR="00E940F4">
        <w:t>, only whether she wa</w:t>
      </w:r>
      <w:r w:rsidR="00240769">
        <w:t xml:space="preserve">s enrolled in TPU </w:t>
      </w:r>
      <w:r w:rsidR="00566F2C">
        <w:t>governing</w:t>
      </w:r>
      <w:r w:rsidR="00240769">
        <w:t xml:space="preserve"> school</w:t>
      </w:r>
      <w:r w:rsidR="00487274">
        <w:t>.</w:t>
      </w:r>
      <w:r w:rsidR="00240769">
        <w:t xml:space="preserve"> </w:t>
      </w:r>
      <w:r w:rsidR="00584FD4">
        <w:t xml:space="preserve">In addition, we do not have access to data on place of residence, and so rely on the address of the last school of attendance to estimate a young mother’s proximity to a TPU. </w:t>
      </w:r>
      <w:r w:rsidR="00240769">
        <w:t xml:space="preserve">In addition, </w:t>
      </w:r>
      <w:r w:rsidR="00E940F4">
        <w:t>in some cases young women who ga</w:t>
      </w:r>
      <w:r w:rsidR="00240769">
        <w:t xml:space="preserve">ve birth may not </w:t>
      </w:r>
      <w:r w:rsidR="00E940F4">
        <w:t xml:space="preserve">have gone </w:t>
      </w:r>
      <w:r w:rsidR="00240769">
        <w:t>on to parent their children</w:t>
      </w:r>
      <w:r w:rsidR="00487274">
        <w:t>, and g</w:t>
      </w:r>
      <w:r w:rsidR="00240769">
        <w:t xml:space="preserve">iven the data </w:t>
      </w:r>
      <w:r w:rsidR="00E940F4">
        <w:t xml:space="preserve">available to us we </w:t>
      </w:r>
      <w:r w:rsidR="00673FB8">
        <w:t>a</w:t>
      </w:r>
      <w:r w:rsidR="00240769">
        <w:t xml:space="preserve">re unable to restrict the analysis </w:t>
      </w:r>
      <w:r w:rsidR="00E940F4">
        <w:t xml:space="preserve">to </w:t>
      </w:r>
      <w:r w:rsidR="00240769">
        <w:t xml:space="preserve">just those young women who </w:t>
      </w:r>
      <w:r w:rsidR="00E940F4">
        <w:t>we</w:t>
      </w:r>
      <w:r w:rsidR="00487274">
        <w:t>re</w:t>
      </w:r>
      <w:r w:rsidR="00240769">
        <w:t xml:space="preserve"> engaged in parenting. Finally, g</w:t>
      </w:r>
      <w:r w:rsidR="00240769" w:rsidRPr="00CE6994">
        <w:t>iven the con</w:t>
      </w:r>
      <w:r w:rsidR="0024398F">
        <w:t>straints</w:t>
      </w:r>
      <w:r w:rsidR="00240769" w:rsidRPr="00CE6994">
        <w:t xml:space="preserve"> of the data linkage our analysis fail</w:t>
      </w:r>
      <w:r w:rsidR="00240769">
        <w:t>s</w:t>
      </w:r>
      <w:r w:rsidR="00240769" w:rsidRPr="00CE6994">
        <w:t xml:space="preserve"> to capture </w:t>
      </w:r>
      <w:r w:rsidR="00487274">
        <w:t xml:space="preserve">educational </w:t>
      </w:r>
      <w:r w:rsidR="00240769" w:rsidRPr="00CE6994">
        <w:t xml:space="preserve">outcomes for </w:t>
      </w:r>
      <w:r w:rsidR="00240769">
        <w:t>young women</w:t>
      </w:r>
      <w:r w:rsidR="00240769" w:rsidRPr="00CE6994">
        <w:t xml:space="preserve"> who left the country through outward migration. </w:t>
      </w:r>
      <w:r w:rsidR="00240769">
        <w:t xml:space="preserve"> </w:t>
      </w:r>
    </w:p>
    <w:p w:rsidR="003E6853" w:rsidRPr="00CE6994" w:rsidRDefault="003E6853" w:rsidP="00C60D65">
      <w:pPr>
        <w:pStyle w:val="Body"/>
        <w:jc w:val="both"/>
      </w:pPr>
      <w:r w:rsidRPr="00CE6994">
        <w:t>There are also limitations in the methods that we used</w:t>
      </w:r>
      <w:r w:rsidR="00673FB8">
        <w:t>.</w:t>
      </w:r>
      <w:r w:rsidR="00F65977">
        <w:t xml:space="preserve"> </w:t>
      </w:r>
      <w:r w:rsidR="00673FB8">
        <w:t>Th</w:t>
      </w:r>
      <w:r w:rsidR="00F65977">
        <w:t xml:space="preserve">ere may be unobserved selection, particularly </w:t>
      </w:r>
      <w:r w:rsidR="00BD449F">
        <w:t xml:space="preserve">on </w:t>
      </w:r>
      <w:r w:rsidR="00F65977">
        <w:t>community level characteristics</w:t>
      </w:r>
      <w:r w:rsidR="00BD449F">
        <w:t>,</w:t>
      </w:r>
      <w:r w:rsidR="00F65977">
        <w:t xml:space="preserve"> that we may not have adequately controlled for</w:t>
      </w:r>
      <w:r w:rsidR="00E940F4">
        <w:t xml:space="preserve"> in our analysis</w:t>
      </w:r>
      <w:r w:rsidR="00F65977">
        <w:t xml:space="preserve">. </w:t>
      </w:r>
      <w:r w:rsidR="00C72885">
        <w:t xml:space="preserve">We estimate NCEA level attainment from credits attained and the estimation method we use results in a degree of imprecision. </w:t>
      </w:r>
      <w:r w:rsidR="00A50C34">
        <w:t>There is some censoring</w:t>
      </w:r>
      <w:r w:rsidR="00673FB8">
        <w:t xml:space="preserve"> of data</w:t>
      </w:r>
      <w:r w:rsidR="007D17E4">
        <w:rPr>
          <w:rStyle w:val="FootnoteReference"/>
        </w:rPr>
        <w:footnoteReference w:id="25"/>
      </w:r>
      <w:r w:rsidR="00A50C34">
        <w:t xml:space="preserve"> </w:t>
      </w:r>
      <w:r w:rsidR="00C60D65">
        <w:t xml:space="preserve">but we </w:t>
      </w:r>
      <w:r w:rsidR="00A50C34">
        <w:t>did not want to drop</w:t>
      </w:r>
      <w:r w:rsidR="00BD449F">
        <w:t xml:space="preserve"> cohorts from the analysis if possible</w:t>
      </w:r>
      <w:r w:rsidR="00A50C34">
        <w:t>.</w:t>
      </w:r>
      <w:r w:rsidR="00C60D65">
        <w:t xml:space="preserve"> </w:t>
      </w:r>
      <w:r w:rsidR="00C60D65" w:rsidRPr="00C60D65">
        <w:t xml:space="preserve">We test the </w:t>
      </w:r>
      <w:r w:rsidR="00BD449F">
        <w:t xml:space="preserve">robustness of the </w:t>
      </w:r>
      <w:r w:rsidR="00C60D65" w:rsidRPr="00C60D65">
        <w:t>NCEA resu</w:t>
      </w:r>
      <w:r w:rsidR="00C60D65">
        <w:t xml:space="preserve">lts </w:t>
      </w:r>
      <w:r w:rsidR="00BD449F">
        <w:t>by re-analysing for two sub-samples that exclude cases affected by censoring</w:t>
      </w:r>
      <w:r w:rsidR="00673FB8">
        <w:t>:</w:t>
      </w:r>
      <w:r w:rsidR="00C60D65">
        <w:t xml:space="preserve"> (</w:t>
      </w:r>
      <w:r w:rsidR="00C60D65" w:rsidRPr="00C60D65">
        <w:t>1</w:t>
      </w:r>
      <w:r w:rsidR="00C60D65">
        <w:t>)</w:t>
      </w:r>
      <w:r w:rsidR="00C60D65" w:rsidRPr="00C60D65">
        <w:t xml:space="preserve"> </w:t>
      </w:r>
      <w:r w:rsidR="00BD449F">
        <w:t xml:space="preserve">including only sample members </w:t>
      </w:r>
      <w:r w:rsidR="00C60D65" w:rsidRPr="00C60D65">
        <w:t>whose conception date was after the date that they first appeared in the ENROL data</w:t>
      </w:r>
      <w:r w:rsidR="00C60D65">
        <w:t>; and (</w:t>
      </w:r>
      <w:r w:rsidR="00C60D65" w:rsidRPr="00C60D65">
        <w:t>2</w:t>
      </w:r>
      <w:r w:rsidR="00C60D65">
        <w:t xml:space="preserve">) </w:t>
      </w:r>
      <w:r w:rsidR="00BD449F">
        <w:t xml:space="preserve">including only sample members </w:t>
      </w:r>
      <w:r w:rsidR="00C60D65" w:rsidRPr="00C60D65">
        <w:t>in birth cohort</w:t>
      </w:r>
      <w:r w:rsidR="00BD449F">
        <w:t>s</w:t>
      </w:r>
      <w:r w:rsidR="00C60D65" w:rsidRPr="00C60D65">
        <w:t xml:space="preserve"> </w:t>
      </w:r>
      <w:r w:rsidR="00673FB8">
        <w:t xml:space="preserve">born in </w:t>
      </w:r>
      <w:r w:rsidR="00C60D65" w:rsidRPr="00C60D65">
        <w:t xml:space="preserve">1992 and 1993 (who experienced </w:t>
      </w:r>
      <w:r w:rsidR="00D36103">
        <w:t>no</w:t>
      </w:r>
      <w:r w:rsidR="00C60D65" w:rsidRPr="00C60D65">
        <w:t xml:space="preserve"> censoring in their inclusion in the ENROL data)</w:t>
      </w:r>
      <w:r w:rsidR="00C60D65">
        <w:t xml:space="preserve">. Our </w:t>
      </w:r>
      <w:r w:rsidR="004F66D5">
        <w:t xml:space="preserve">qualitative </w:t>
      </w:r>
      <w:r w:rsidR="00C60D65">
        <w:t>results were not affected by the</w:t>
      </w:r>
      <w:r w:rsidR="004F66D5">
        <w:t xml:space="preserve">se alternative specifications. </w:t>
      </w:r>
    </w:p>
    <w:p w:rsidR="006C0FCD" w:rsidRDefault="003E6853" w:rsidP="00240769">
      <w:pPr>
        <w:pStyle w:val="Body"/>
        <w:jc w:val="both"/>
      </w:pPr>
      <w:r w:rsidRPr="00CE6994">
        <w:t xml:space="preserve">Variability in practice and performance across </w:t>
      </w:r>
      <w:r w:rsidR="00240769">
        <w:t xml:space="preserve">TPUs </w:t>
      </w:r>
      <w:r w:rsidRPr="00CE6994">
        <w:t xml:space="preserve">has been a theme in </w:t>
      </w:r>
      <w:r w:rsidR="00240769">
        <w:t>ERO</w:t>
      </w:r>
      <w:r w:rsidRPr="00CE6994">
        <w:t xml:space="preserve"> reviews (</w:t>
      </w:r>
      <w:r w:rsidR="00240769">
        <w:rPr>
          <w:lang w:val="en-US"/>
        </w:rPr>
        <w:t>ERO, 2007; ERO, 2011; ERO, 2014</w:t>
      </w:r>
      <w:r w:rsidRPr="00CE6994">
        <w:t xml:space="preserve">). Individual </w:t>
      </w:r>
      <w:r w:rsidR="00240769">
        <w:t>TPU</w:t>
      </w:r>
      <w:r w:rsidRPr="00CE6994">
        <w:t xml:space="preserve"> performance </w:t>
      </w:r>
      <w:r>
        <w:t>i</w:t>
      </w:r>
      <w:r w:rsidRPr="00CE6994">
        <w:t xml:space="preserve">s not the focus of this </w:t>
      </w:r>
      <w:r w:rsidRPr="009D0EAE">
        <w:t xml:space="preserve">study. We are not able to say from our analysis whether all </w:t>
      </w:r>
      <w:r w:rsidR="00240769" w:rsidRPr="009D0EAE">
        <w:t>TPUs</w:t>
      </w:r>
      <w:r w:rsidR="00F258BB" w:rsidRPr="009D0EAE">
        <w:t xml:space="preserve"> generated positive impacts.  </w:t>
      </w:r>
      <w:r w:rsidR="00E9263D" w:rsidRPr="009D0EAE">
        <w:t xml:space="preserve">Nor are we able to establish which parts of the programme are the most important in helping young mothers increase their educational attainment and achievement. </w:t>
      </w:r>
      <w:r w:rsidR="00240769" w:rsidRPr="009D0EAE">
        <w:t>In this study, we examine</w:t>
      </w:r>
      <w:r w:rsidR="00E940F4" w:rsidRPr="009D0EAE">
        <w:t>d</w:t>
      </w:r>
      <w:r w:rsidR="00240769" w:rsidRPr="009D0EAE">
        <w:t xml:space="preserve"> particular</w:t>
      </w:r>
      <w:r w:rsidR="00240769" w:rsidRPr="00CE6994">
        <w:t xml:space="preserve"> birth c</w:t>
      </w:r>
      <w:r w:rsidR="00240769">
        <w:t>ohorts, and examine</w:t>
      </w:r>
      <w:r w:rsidR="00E940F4">
        <w:t>d</w:t>
      </w:r>
      <w:r w:rsidR="00240769">
        <w:t xml:space="preserve"> educational outcomes within a finite follow-up</w:t>
      </w:r>
      <w:r w:rsidR="00E940F4">
        <w:t xml:space="preserve"> period</w:t>
      </w:r>
      <w:r w:rsidR="00240769" w:rsidRPr="00CE6994">
        <w:t xml:space="preserve">. </w:t>
      </w:r>
      <w:r w:rsidR="00F00571">
        <w:t>It may not be possible to generalise our findings</w:t>
      </w:r>
      <w:r w:rsidR="00240769" w:rsidRPr="00CE6994">
        <w:t xml:space="preserve"> to other birth cohorts, to outcomes at older ages</w:t>
      </w:r>
      <w:r w:rsidR="00487274">
        <w:t>,</w:t>
      </w:r>
      <w:r w:rsidR="00240769">
        <w:t xml:space="preserve"> or </w:t>
      </w:r>
      <w:r w:rsidR="00487274">
        <w:t xml:space="preserve">to outcomes </w:t>
      </w:r>
      <w:r w:rsidR="00240769">
        <w:t xml:space="preserve">in other domains.  </w:t>
      </w:r>
    </w:p>
    <w:p w:rsidR="00673FB8" w:rsidRDefault="00E940F4" w:rsidP="00F67231">
      <w:pPr>
        <w:pStyle w:val="Body"/>
        <w:jc w:val="both"/>
      </w:pPr>
      <w:r>
        <w:t>Future studies</w:t>
      </w:r>
      <w:r w:rsidR="00240769">
        <w:t xml:space="preserve"> </w:t>
      </w:r>
      <w:r w:rsidR="006C0FCD">
        <w:t>using newly available</w:t>
      </w:r>
      <w:r w:rsidR="00B12A46">
        <w:t xml:space="preserve"> </w:t>
      </w:r>
      <w:r w:rsidR="00D57003">
        <w:t xml:space="preserve">and </w:t>
      </w:r>
      <w:r w:rsidR="00B12A46">
        <w:t xml:space="preserve">more extensive </w:t>
      </w:r>
      <w:r w:rsidR="006C0FCD">
        <w:t xml:space="preserve">linked data </w:t>
      </w:r>
      <w:r w:rsidR="00B12A46">
        <w:t xml:space="preserve">held </w:t>
      </w:r>
      <w:r w:rsidR="006C0FCD">
        <w:t xml:space="preserve">in the Statistics New Zealand Integrated Data Infrastructure </w:t>
      </w:r>
      <w:r>
        <w:t>(IDI) are</w:t>
      </w:r>
      <w:r w:rsidR="00B12A46">
        <w:t xml:space="preserve"> recommended. IDI data would allow a more comprehensive </w:t>
      </w:r>
      <w:r w:rsidR="00240769">
        <w:t>examin</w:t>
      </w:r>
      <w:r w:rsidR="00B12A46">
        <w:t xml:space="preserve">ation of the </w:t>
      </w:r>
      <w:r w:rsidR="00240769">
        <w:t>impact</w:t>
      </w:r>
      <w:r w:rsidR="00B12A46">
        <w:t xml:space="preserve"> of TPUs</w:t>
      </w:r>
      <w:r w:rsidR="00240769">
        <w:t xml:space="preserve"> on outcomes</w:t>
      </w:r>
      <w:r w:rsidR="00B12A46">
        <w:t>, including</w:t>
      </w:r>
      <w:r w:rsidR="00240769">
        <w:t xml:space="preserve"> </w:t>
      </w:r>
      <w:r w:rsidR="00B12A46">
        <w:t xml:space="preserve">mothers’ </w:t>
      </w:r>
      <w:r w:rsidR="00240769">
        <w:t>post-school educational participation</w:t>
      </w:r>
      <w:r w:rsidR="002A3117">
        <w:t>,</w:t>
      </w:r>
      <w:r w:rsidR="00B12A46">
        <w:t xml:space="preserve"> </w:t>
      </w:r>
      <w:r w:rsidR="00240769">
        <w:t xml:space="preserve">earnings </w:t>
      </w:r>
      <w:r w:rsidR="00B12A46">
        <w:t xml:space="preserve">and welfare benefit receipt, and </w:t>
      </w:r>
      <w:r w:rsidR="00BD449F">
        <w:t xml:space="preserve">including </w:t>
      </w:r>
      <w:r w:rsidR="00B12A46">
        <w:t>children’s health and early childhood education participation</w:t>
      </w:r>
      <w:r w:rsidR="00240769" w:rsidRPr="00CE6994">
        <w:t>.</w:t>
      </w:r>
      <w:r w:rsidR="00B12A46">
        <w:t xml:space="preserve"> </w:t>
      </w:r>
    </w:p>
    <w:p w:rsidR="00D732A8" w:rsidRDefault="00B12A46" w:rsidP="00F67231">
      <w:pPr>
        <w:pStyle w:val="Body"/>
        <w:jc w:val="both"/>
      </w:pPr>
      <w:r>
        <w:t xml:space="preserve">An important topic for future study is </w:t>
      </w:r>
      <w:r w:rsidR="00673FB8">
        <w:t xml:space="preserve">investigating </w:t>
      </w:r>
      <w:r>
        <w:t xml:space="preserve">whether the impact of TPUs has altered with </w:t>
      </w:r>
      <w:r w:rsidR="00673FB8">
        <w:t xml:space="preserve">policy </w:t>
      </w:r>
      <w:r>
        <w:t>changes introduced in late 2012</w:t>
      </w:r>
      <w:r w:rsidR="00673FB8">
        <w:t>. These changes</w:t>
      </w:r>
      <w:r>
        <w:t xml:space="preserve"> </w:t>
      </w:r>
      <w:r w:rsidR="00962C7F">
        <w:t xml:space="preserve">made enrolment </w:t>
      </w:r>
      <w:r w:rsidR="00791790">
        <w:t xml:space="preserve">in education, training or work-based learning </w:t>
      </w:r>
      <w:r w:rsidR="00962C7F">
        <w:t xml:space="preserve">compulsory </w:t>
      </w:r>
      <w:r>
        <w:t>for you</w:t>
      </w:r>
      <w:r w:rsidR="00E940F4">
        <w:t>ng parents aged 16 to</w:t>
      </w:r>
      <w:r w:rsidR="00C72885">
        <w:t xml:space="preserve"> </w:t>
      </w:r>
      <w:r>
        <w:t xml:space="preserve">18 receiving </w:t>
      </w:r>
      <w:r w:rsidR="00E940F4">
        <w:t xml:space="preserve">social </w:t>
      </w:r>
      <w:r>
        <w:t>welfare benefits</w:t>
      </w:r>
      <w:r w:rsidR="00962C7F">
        <w:t xml:space="preserve"> once their children reach 6 or 12 months of age (</w:t>
      </w:r>
      <w:r w:rsidR="00791790">
        <w:t xml:space="preserve">6 months if a place at a </w:t>
      </w:r>
      <w:r w:rsidR="00962C7F">
        <w:t>TPU</w:t>
      </w:r>
      <w:r w:rsidR="00791790">
        <w:t xml:space="preserve"> is available</w:t>
      </w:r>
      <w:r w:rsidR="00962C7F">
        <w:t>)</w:t>
      </w:r>
      <w:r>
        <w:t xml:space="preserve"> (ERO, 2014</w:t>
      </w:r>
      <w:r w:rsidR="00962C7F">
        <w:t>; Work and Income, n</w:t>
      </w:r>
      <w:r w:rsidR="00673FB8">
        <w:t>o date</w:t>
      </w:r>
      <w:r w:rsidR="00962C7F">
        <w:t>)</w:t>
      </w:r>
      <w:r w:rsidR="00BD449F">
        <w:t>.</w:t>
      </w:r>
      <w:r>
        <w:t xml:space="preserve"> </w:t>
      </w:r>
      <w:r w:rsidR="00240769" w:rsidRPr="00CE6994">
        <w:t xml:space="preserve"> </w:t>
      </w:r>
    </w:p>
    <w:p w:rsidR="00D66BFE" w:rsidRDefault="00D66BFE">
      <w:pPr>
        <w:rPr>
          <w:rFonts w:ascii="Cambria" w:eastAsiaTheme="majorEastAsia" w:hAnsi="Cambria" w:cstheme="majorBidi"/>
          <w:bCs/>
          <w:sz w:val="36"/>
          <w:szCs w:val="28"/>
          <w:lang w:val="fr-FR"/>
        </w:rPr>
      </w:pPr>
      <w:r>
        <w:rPr>
          <w:lang w:val="fr-FR"/>
        </w:rPr>
        <w:br w:type="page"/>
      </w:r>
    </w:p>
    <w:p w:rsidR="001C0AB9" w:rsidRPr="00D66BFE" w:rsidRDefault="009A1012" w:rsidP="001C0AB9">
      <w:pPr>
        <w:pStyle w:val="Heading1"/>
        <w:ind w:left="709" w:hanging="709"/>
        <w:rPr>
          <w:rFonts w:ascii="Times New Roman" w:eastAsia="Times New Roman" w:hAnsi="Times New Roman" w:cs="Times New Roman"/>
          <w:sz w:val="26"/>
          <w:szCs w:val="26"/>
          <w:lang w:val="fr-FR"/>
        </w:rPr>
      </w:pPr>
      <w:bookmarkStart w:id="46" w:name="_Toc473803316"/>
      <w:r w:rsidRPr="0021065A">
        <w:rPr>
          <w:lang w:val="fr-FR"/>
        </w:rPr>
        <w:t>Conclusions</w:t>
      </w:r>
      <w:bookmarkEnd w:id="46"/>
      <w:r w:rsidRPr="0021065A">
        <w:t xml:space="preserve"> </w:t>
      </w:r>
    </w:p>
    <w:p w:rsidR="00673FB8" w:rsidRDefault="009B7E1E" w:rsidP="004F66D5">
      <w:pPr>
        <w:pStyle w:val="Body"/>
        <w:jc w:val="both"/>
        <w:rPr>
          <w:lang w:val="en-US"/>
        </w:rPr>
      </w:pPr>
      <w:r>
        <w:rPr>
          <w:lang w:val="en-US"/>
        </w:rPr>
        <w:t>This evaluation</w:t>
      </w:r>
      <w:r w:rsidR="00251977" w:rsidRPr="00B12C8E">
        <w:rPr>
          <w:lang w:val="en-US"/>
        </w:rPr>
        <w:t xml:space="preserve"> find</w:t>
      </w:r>
      <w:r>
        <w:rPr>
          <w:lang w:val="en-US"/>
        </w:rPr>
        <w:t>s</w:t>
      </w:r>
      <w:r w:rsidR="00251977" w:rsidRPr="00B12C8E">
        <w:rPr>
          <w:lang w:val="en-US"/>
        </w:rPr>
        <w:t xml:space="preserve"> that for the cohorts studied, access to </w:t>
      </w:r>
      <w:r w:rsidR="00673FB8">
        <w:rPr>
          <w:lang w:val="en-US"/>
        </w:rPr>
        <w:t xml:space="preserve">a </w:t>
      </w:r>
      <w:r w:rsidR="00251977" w:rsidRPr="00B12C8E">
        <w:rPr>
          <w:lang w:val="en-US"/>
        </w:rPr>
        <w:t xml:space="preserve">TPU increased school enrolment rates and increased school qualifications of teenage mothers. The baseline school enrolment rate after birth for </w:t>
      </w:r>
      <w:r w:rsidR="00251977">
        <w:rPr>
          <w:lang w:val="en-US"/>
        </w:rPr>
        <w:t xml:space="preserve">the </w:t>
      </w:r>
      <w:r w:rsidR="00251977" w:rsidRPr="00B12C8E">
        <w:rPr>
          <w:lang w:val="en-US"/>
        </w:rPr>
        <w:t xml:space="preserve">teenage mothers </w:t>
      </w:r>
      <w:r w:rsidR="00251977">
        <w:rPr>
          <w:lang w:val="en-US"/>
        </w:rPr>
        <w:t xml:space="preserve">studied </w:t>
      </w:r>
      <w:r w:rsidR="00251977" w:rsidRPr="00B12C8E">
        <w:rPr>
          <w:lang w:val="en-US"/>
        </w:rPr>
        <w:t xml:space="preserve">was </w:t>
      </w:r>
      <w:r w:rsidR="00BD449F">
        <w:rPr>
          <w:lang w:val="en-US"/>
        </w:rPr>
        <w:t xml:space="preserve">35 </w:t>
      </w:r>
      <w:r w:rsidR="00E940F4">
        <w:rPr>
          <w:lang w:val="en-US"/>
        </w:rPr>
        <w:t>per</w:t>
      </w:r>
      <w:r w:rsidR="002A3117">
        <w:rPr>
          <w:lang w:val="en-US"/>
        </w:rPr>
        <w:t xml:space="preserve">cent. </w:t>
      </w:r>
      <w:r w:rsidR="00251977">
        <w:rPr>
          <w:lang w:val="en-US"/>
        </w:rPr>
        <w:t>T</w:t>
      </w:r>
      <w:r w:rsidR="00251977" w:rsidRPr="00B12C8E">
        <w:rPr>
          <w:lang w:val="en-US"/>
        </w:rPr>
        <w:t>hose who had access to a TPU within 20</w:t>
      </w:r>
      <w:r w:rsidR="00673FB8">
        <w:rPr>
          <w:lang w:val="en-US"/>
        </w:rPr>
        <w:t xml:space="preserve"> </w:t>
      </w:r>
      <w:r w:rsidR="00251977" w:rsidRPr="00B12C8E">
        <w:rPr>
          <w:lang w:val="en-US"/>
        </w:rPr>
        <w:t xml:space="preserve">km </w:t>
      </w:r>
      <w:r w:rsidR="008720EC">
        <w:rPr>
          <w:lang w:val="en-US"/>
        </w:rPr>
        <w:t xml:space="preserve">at conception </w:t>
      </w:r>
      <w:r w:rsidR="00251977" w:rsidRPr="00B12C8E">
        <w:rPr>
          <w:lang w:val="en-US"/>
        </w:rPr>
        <w:t xml:space="preserve">were </w:t>
      </w:r>
      <w:r w:rsidR="00E940F4">
        <w:rPr>
          <w:lang w:val="en-US"/>
        </w:rPr>
        <w:t>4</w:t>
      </w:r>
      <w:r w:rsidR="00251977" w:rsidRPr="00B12C8E">
        <w:rPr>
          <w:lang w:val="en-US"/>
        </w:rPr>
        <w:t xml:space="preserve"> percentage points more likely to enrol in a school after giving birth.</w:t>
      </w:r>
      <w:r w:rsidR="00251977">
        <w:rPr>
          <w:lang w:val="en-US"/>
        </w:rPr>
        <w:t xml:space="preserve"> </w:t>
      </w:r>
      <w:r w:rsidR="00205E17">
        <w:rPr>
          <w:lang w:val="en-US"/>
        </w:rPr>
        <w:t>T</w:t>
      </w:r>
      <w:r w:rsidR="00205E17" w:rsidRPr="00B12C8E">
        <w:rPr>
          <w:lang w:val="en-US"/>
        </w:rPr>
        <w:t xml:space="preserve">hose who had </w:t>
      </w:r>
      <w:r w:rsidR="00205E17">
        <w:rPr>
          <w:lang w:val="en-US"/>
        </w:rPr>
        <w:t xml:space="preserve">good </w:t>
      </w:r>
      <w:r w:rsidR="00205E17" w:rsidRPr="00B12C8E">
        <w:rPr>
          <w:lang w:val="en-US"/>
        </w:rPr>
        <w:t>access to a TPU</w:t>
      </w:r>
      <w:r w:rsidR="00205E17">
        <w:rPr>
          <w:lang w:val="en-US"/>
        </w:rPr>
        <w:t xml:space="preserve"> by virtue of being enrolled in a TPU governing school at </w:t>
      </w:r>
      <w:r w:rsidR="00E940F4">
        <w:rPr>
          <w:lang w:val="en-US"/>
        </w:rPr>
        <w:t>conception were an additional 11.1</w:t>
      </w:r>
      <w:r w:rsidR="00205E17">
        <w:rPr>
          <w:lang w:val="en-US"/>
        </w:rPr>
        <w:t xml:space="preserve"> percentage points more likely to enrol and were </w:t>
      </w:r>
      <w:r w:rsidR="00C92F96">
        <w:rPr>
          <w:lang w:val="en-US"/>
        </w:rPr>
        <w:t xml:space="preserve">estimated to be </w:t>
      </w:r>
      <w:r w:rsidR="00205E17" w:rsidRPr="00C31341">
        <w:rPr>
          <w:lang w:val="en-US"/>
        </w:rPr>
        <w:t>more likely to attain</w:t>
      </w:r>
      <w:r w:rsidR="00205E17" w:rsidRPr="00B12C8E">
        <w:rPr>
          <w:lang w:val="en-US"/>
        </w:rPr>
        <w:t xml:space="preserve"> </w:t>
      </w:r>
      <w:r w:rsidR="00205E17" w:rsidRPr="00B12C8E">
        <w:t xml:space="preserve">NCEA </w:t>
      </w:r>
      <w:r w:rsidR="00205E17" w:rsidRPr="00C31341">
        <w:rPr>
          <w:lang w:val="en-US"/>
        </w:rPr>
        <w:t xml:space="preserve">Level </w:t>
      </w:r>
      <w:r w:rsidR="00205E17">
        <w:rPr>
          <w:lang w:val="en-US"/>
        </w:rPr>
        <w:t xml:space="preserve">1 </w:t>
      </w:r>
      <w:r w:rsidR="00C92F96">
        <w:rPr>
          <w:lang w:val="en-US"/>
        </w:rPr>
        <w:t xml:space="preserve">and 2 </w:t>
      </w:r>
      <w:r w:rsidR="00E940F4">
        <w:rPr>
          <w:lang w:val="en-US"/>
        </w:rPr>
        <w:t xml:space="preserve">qualifications </w:t>
      </w:r>
      <w:r w:rsidR="00673FB8">
        <w:rPr>
          <w:lang w:val="en-US"/>
        </w:rPr>
        <w:t>post-birth</w:t>
      </w:r>
      <w:r w:rsidR="00205E17">
        <w:rPr>
          <w:lang w:val="en-US"/>
        </w:rPr>
        <w:t xml:space="preserve">. </w:t>
      </w:r>
    </w:p>
    <w:p w:rsidR="00251977" w:rsidRDefault="00251977" w:rsidP="004F66D5">
      <w:pPr>
        <w:pStyle w:val="Body"/>
        <w:jc w:val="both"/>
        <w:rPr>
          <w:lang w:val="en-US"/>
        </w:rPr>
      </w:pPr>
      <w:r>
        <w:rPr>
          <w:lang w:val="en-US"/>
        </w:rPr>
        <w:t>Examining</w:t>
      </w:r>
      <w:r w:rsidRPr="00B12C8E">
        <w:rPr>
          <w:lang w:val="en-US"/>
        </w:rPr>
        <w:t xml:space="preserve"> </w:t>
      </w:r>
      <w:r>
        <w:rPr>
          <w:lang w:val="en-US"/>
        </w:rPr>
        <w:t>teenage mothers</w:t>
      </w:r>
      <w:r w:rsidRPr="00B12C8E">
        <w:rPr>
          <w:lang w:val="en-US"/>
        </w:rPr>
        <w:t xml:space="preserve"> </w:t>
      </w:r>
      <w:r w:rsidR="00FE3127">
        <w:rPr>
          <w:lang w:val="en-US"/>
        </w:rPr>
        <w:t xml:space="preserve">without qualifications </w:t>
      </w:r>
      <w:r w:rsidRPr="00B12C8E">
        <w:rPr>
          <w:lang w:val="en-US"/>
        </w:rPr>
        <w:t xml:space="preserve">who enrolled after giving birth, those enrolling in a </w:t>
      </w:r>
      <w:r>
        <w:rPr>
          <w:lang w:val="en-US"/>
        </w:rPr>
        <w:t xml:space="preserve">school with a </w:t>
      </w:r>
      <w:r w:rsidRPr="00B12C8E">
        <w:rPr>
          <w:lang w:val="en-US"/>
        </w:rPr>
        <w:t xml:space="preserve">TPU were </w:t>
      </w:r>
      <w:r w:rsidR="001D5BB4">
        <w:rPr>
          <w:lang w:val="en-US"/>
        </w:rPr>
        <w:t>at least 2</w:t>
      </w:r>
      <w:r w:rsidR="00205E17">
        <w:rPr>
          <w:lang w:val="en-US"/>
        </w:rPr>
        <w:t>2</w:t>
      </w:r>
      <w:r w:rsidR="001D5BB4">
        <w:rPr>
          <w:lang w:val="en-US"/>
        </w:rPr>
        <w:t>.2</w:t>
      </w:r>
      <w:r w:rsidRPr="00C31341">
        <w:rPr>
          <w:lang w:val="en-US"/>
        </w:rPr>
        <w:t xml:space="preserve"> </w:t>
      </w:r>
      <w:r>
        <w:rPr>
          <w:lang w:val="en-US"/>
        </w:rPr>
        <w:t xml:space="preserve">percentage points </w:t>
      </w:r>
      <w:r w:rsidRPr="00C31341">
        <w:rPr>
          <w:lang w:val="en-US"/>
        </w:rPr>
        <w:t>more likely</w:t>
      </w:r>
      <w:r w:rsidRPr="00B12C8E">
        <w:rPr>
          <w:lang w:val="en-US"/>
        </w:rPr>
        <w:t xml:space="preserve"> to attain </w:t>
      </w:r>
      <w:r w:rsidR="001D5BB4">
        <w:rPr>
          <w:lang w:val="en-US"/>
        </w:rPr>
        <w:t xml:space="preserve">an </w:t>
      </w:r>
      <w:r w:rsidRPr="00B12C8E">
        <w:rPr>
          <w:lang w:val="en-US"/>
        </w:rPr>
        <w:t>NCEA Level 1</w:t>
      </w:r>
      <w:r w:rsidR="00AA46BB">
        <w:rPr>
          <w:lang w:val="en-US"/>
        </w:rPr>
        <w:t xml:space="preserve"> </w:t>
      </w:r>
      <w:r w:rsidR="001D5BB4">
        <w:rPr>
          <w:lang w:val="en-US"/>
        </w:rPr>
        <w:t xml:space="preserve">qualification </w:t>
      </w:r>
      <w:r>
        <w:rPr>
          <w:lang w:val="en-US"/>
        </w:rPr>
        <w:t>than those</w:t>
      </w:r>
      <w:r w:rsidRPr="00B12C8E">
        <w:rPr>
          <w:lang w:val="en-US"/>
        </w:rPr>
        <w:t xml:space="preserve"> who enrolled in a </w:t>
      </w:r>
      <w:r w:rsidR="001D5BB4">
        <w:rPr>
          <w:lang w:val="en-US"/>
        </w:rPr>
        <w:t xml:space="preserve">non-TPU </w:t>
      </w:r>
      <w:r w:rsidRPr="00B12C8E">
        <w:rPr>
          <w:lang w:val="en-US"/>
        </w:rPr>
        <w:t>school</w:t>
      </w:r>
      <w:r w:rsidR="00B91191" w:rsidRPr="00B12C8E">
        <w:rPr>
          <w:lang w:val="en-US"/>
        </w:rPr>
        <w:t>.</w:t>
      </w:r>
    </w:p>
    <w:p w:rsidR="00E52836" w:rsidRPr="00B12C8E" w:rsidRDefault="00E52836" w:rsidP="00251977">
      <w:pPr>
        <w:pStyle w:val="Body"/>
        <w:jc w:val="both"/>
        <w:rPr>
          <w:lang w:val="en-US"/>
        </w:rPr>
      </w:pPr>
      <w:r>
        <w:rPr>
          <w:lang w:val="en-US"/>
        </w:rPr>
        <w:t xml:space="preserve">The findings </w:t>
      </w:r>
      <w:r w:rsidR="00DF040C">
        <w:rPr>
          <w:lang w:val="en-US"/>
        </w:rPr>
        <w:t xml:space="preserve">provided in this report </w:t>
      </w:r>
      <w:r>
        <w:rPr>
          <w:lang w:val="en-US"/>
        </w:rPr>
        <w:t xml:space="preserve">indicate that TPU services designed to meet the needs of teenage mothers can reduce the school enrolment gap between teen mothers and young women who do not </w:t>
      </w:r>
      <w:r w:rsidR="00507746">
        <w:rPr>
          <w:lang w:val="en-US"/>
        </w:rPr>
        <w:t>give birth</w:t>
      </w:r>
      <w:r w:rsidR="00D57003">
        <w:rPr>
          <w:lang w:val="en-US"/>
        </w:rPr>
        <w:t>,</w:t>
      </w:r>
      <w:r w:rsidR="00507746">
        <w:rPr>
          <w:lang w:val="en-US"/>
        </w:rPr>
        <w:t xml:space="preserve"> and </w:t>
      </w:r>
      <w:r w:rsidR="00A666C1">
        <w:rPr>
          <w:lang w:val="en-US"/>
        </w:rPr>
        <w:t xml:space="preserve">improve </w:t>
      </w:r>
      <w:r w:rsidR="00507746">
        <w:rPr>
          <w:lang w:val="en-US"/>
        </w:rPr>
        <w:t xml:space="preserve">NCEA achievement levels of enrolled teen mothers. </w:t>
      </w:r>
    </w:p>
    <w:p w:rsidR="002C2AD9" w:rsidRDefault="002C2AD9" w:rsidP="002C2AD9">
      <w:pPr>
        <w:rPr>
          <w:rFonts w:cs="Arial Unicode MS"/>
          <w:color w:val="000000"/>
          <w:szCs w:val="22"/>
          <w:u w:color="000000"/>
          <w:lang w:eastAsia="en-SG"/>
        </w:rPr>
      </w:pPr>
      <w:r>
        <w:br w:type="page"/>
      </w:r>
    </w:p>
    <w:p w:rsidR="002C2AD9" w:rsidRDefault="002C2AD9" w:rsidP="002C2AD9">
      <w:pPr>
        <w:pStyle w:val="Heading1"/>
        <w:numPr>
          <w:ilvl w:val="0"/>
          <w:numId w:val="0"/>
        </w:numPr>
        <w:ind w:left="432" w:hanging="432"/>
      </w:pPr>
      <w:bookmarkStart w:id="47" w:name="_Toc473803317"/>
      <w:bookmarkStart w:id="48" w:name="_ENREF_45"/>
      <w:bookmarkStart w:id="49" w:name="_ENREF_44"/>
      <w:bookmarkStart w:id="50" w:name="_ENREF_43"/>
      <w:bookmarkStart w:id="51" w:name="_ENREF_42"/>
      <w:bookmarkStart w:id="52" w:name="_ENREF_41"/>
      <w:bookmarkStart w:id="53" w:name="_ENREF_40"/>
      <w:bookmarkStart w:id="54" w:name="_ENREF_39"/>
      <w:bookmarkStart w:id="55" w:name="_ENREF_38"/>
      <w:bookmarkStart w:id="56" w:name="_ENREF_37"/>
      <w:bookmarkStart w:id="57" w:name="_ENREF_36"/>
      <w:bookmarkStart w:id="58" w:name="_ENREF_35"/>
      <w:bookmarkStart w:id="59" w:name="_ENREF_34"/>
      <w:bookmarkStart w:id="60" w:name="_ENREF_33"/>
      <w:r>
        <w:t>References</w:t>
      </w:r>
      <w:bookmarkEnd w:id="47"/>
    </w:p>
    <w:bookmarkEnd w:id="48"/>
    <w:p w:rsidR="002C2AD9" w:rsidRPr="004130E5" w:rsidRDefault="002C2AD9" w:rsidP="008C0EE2">
      <w:pPr>
        <w:ind w:left="720" w:hanging="720"/>
        <w:rPr>
          <w:lang w:eastAsia="en-NZ"/>
        </w:rPr>
      </w:pPr>
    </w:p>
    <w:p w:rsidR="00D66BFE" w:rsidRDefault="00D66BFE" w:rsidP="008C0EE2">
      <w:pPr>
        <w:pStyle w:val="NoSpacing"/>
        <w:ind w:left="720" w:hanging="720"/>
        <w:jc w:val="both"/>
        <w:rPr>
          <w:sz w:val="22"/>
          <w:szCs w:val="22"/>
        </w:rPr>
      </w:pPr>
    </w:p>
    <w:p w:rsidR="002C2AD9" w:rsidRDefault="002C2AD9" w:rsidP="008C0EE2">
      <w:pPr>
        <w:pStyle w:val="NoSpacing"/>
        <w:ind w:left="720" w:hanging="720"/>
        <w:jc w:val="both"/>
        <w:rPr>
          <w:sz w:val="22"/>
          <w:szCs w:val="22"/>
        </w:rPr>
      </w:pPr>
      <w:r w:rsidRPr="00DA56B5">
        <w:rPr>
          <w:sz w:val="22"/>
          <w:szCs w:val="22"/>
        </w:rPr>
        <w:t xml:space="preserve">Baragwanath, S. (1997). The Education of Teenage Mothers in New Zealand: A Policy Vacuum and a Practical Example of Assistance. </w:t>
      </w:r>
      <w:r w:rsidRPr="00DA56B5">
        <w:rPr>
          <w:i/>
          <w:sz w:val="22"/>
          <w:szCs w:val="22"/>
        </w:rPr>
        <w:t>Social Policy Journal of New Zealand</w:t>
      </w:r>
      <w:r w:rsidRPr="00DA56B5">
        <w:rPr>
          <w:sz w:val="22"/>
          <w:szCs w:val="22"/>
        </w:rPr>
        <w:t xml:space="preserve"> Issue 9.  </w:t>
      </w:r>
    </w:p>
    <w:p w:rsidR="002C2AD9" w:rsidRDefault="002C2AD9" w:rsidP="008C0EE2">
      <w:pPr>
        <w:pStyle w:val="NoSpacing"/>
        <w:ind w:left="720" w:hanging="720"/>
        <w:jc w:val="both"/>
        <w:rPr>
          <w:sz w:val="22"/>
          <w:szCs w:val="22"/>
        </w:rPr>
      </w:pPr>
    </w:p>
    <w:p w:rsidR="002C2AD9" w:rsidRDefault="002C2AD9" w:rsidP="008C0EE2">
      <w:pPr>
        <w:ind w:left="720" w:hanging="720"/>
        <w:jc w:val="both"/>
        <w:rPr>
          <w:sz w:val="22"/>
          <w:szCs w:val="22"/>
        </w:rPr>
      </w:pPr>
      <w:r w:rsidRPr="00DA56B5">
        <w:rPr>
          <w:sz w:val="22"/>
          <w:szCs w:val="22"/>
        </w:rPr>
        <w:t xml:space="preserve">Boden, J. M., Fergusson, D. M., and John Horwood, L. (2008). Early motherhood and subsequent life outcomes. </w:t>
      </w:r>
      <w:r w:rsidRPr="00DA56B5">
        <w:rPr>
          <w:i/>
          <w:iCs/>
          <w:sz w:val="22"/>
          <w:szCs w:val="22"/>
        </w:rPr>
        <w:t xml:space="preserve">Journal of Child Psychology and Psychiatry, </w:t>
      </w:r>
      <w:r w:rsidRPr="008A770F">
        <w:rPr>
          <w:iCs/>
          <w:sz w:val="22"/>
          <w:szCs w:val="22"/>
        </w:rPr>
        <w:t xml:space="preserve">49 </w:t>
      </w:r>
      <w:r w:rsidRPr="008A770F">
        <w:rPr>
          <w:sz w:val="22"/>
          <w:szCs w:val="22"/>
        </w:rPr>
        <w:t>(</w:t>
      </w:r>
      <w:r w:rsidRPr="00DA56B5">
        <w:rPr>
          <w:sz w:val="22"/>
          <w:szCs w:val="22"/>
        </w:rPr>
        <w:t>2)</w:t>
      </w:r>
      <w:r>
        <w:rPr>
          <w:sz w:val="22"/>
          <w:szCs w:val="22"/>
        </w:rPr>
        <w:t>:</w:t>
      </w:r>
      <w:r w:rsidRPr="00DA56B5">
        <w:rPr>
          <w:sz w:val="22"/>
          <w:szCs w:val="22"/>
        </w:rPr>
        <w:t xml:space="preserve"> 151–160.</w:t>
      </w:r>
    </w:p>
    <w:p w:rsidR="00D66BFE" w:rsidRDefault="00D66BFE" w:rsidP="00D66BFE">
      <w:pPr>
        <w:ind w:left="720" w:hanging="720"/>
        <w:jc w:val="both"/>
        <w:rPr>
          <w:sz w:val="22"/>
          <w:szCs w:val="22"/>
        </w:rPr>
      </w:pPr>
    </w:p>
    <w:p w:rsidR="00D66BFE" w:rsidRDefault="00D66BFE" w:rsidP="00D66BFE">
      <w:pPr>
        <w:ind w:left="720" w:hanging="720"/>
        <w:jc w:val="both"/>
        <w:rPr>
          <w:sz w:val="22"/>
          <w:szCs w:val="22"/>
        </w:rPr>
      </w:pPr>
      <w:r w:rsidRPr="00DA56B5">
        <w:rPr>
          <w:sz w:val="22"/>
          <w:szCs w:val="22"/>
        </w:rPr>
        <w:t xml:space="preserve">Collins, B. (2010). </w:t>
      </w:r>
      <w:r w:rsidRPr="00DA56B5">
        <w:rPr>
          <w:i/>
          <w:iCs/>
          <w:sz w:val="22"/>
          <w:szCs w:val="22"/>
        </w:rPr>
        <w:t>Resilience in teenage mothers: A follow-up study</w:t>
      </w:r>
      <w:r w:rsidRPr="00DA56B5">
        <w:rPr>
          <w:sz w:val="22"/>
          <w:szCs w:val="22"/>
        </w:rPr>
        <w:t>. Wellington: Ministry of Social Development.</w:t>
      </w:r>
    </w:p>
    <w:p w:rsidR="00D66BFE" w:rsidRDefault="00D66BFE" w:rsidP="00D66BFE">
      <w:pPr>
        <w:pStyle w:val="Body"/>
        <w:spacing w:before="0" w:after="0" w:line="240" w:lineRule="auto"/>
        <w:ind w:left="720" w:hanging="720"/>
        <w:jc w:val="both"/>
        <w:rPr>
          <w:rStyle w:val="None"/>
          <w:rFonts w:cs="Times New Roman"/>
          <w:color w:val="222222"/>
          <w:sz w:val="22"/>
          <w:u w:color="222222"/>
          <w:lang w:val="en-US"/>
        </w:rPr>
      </w:pPr>
    </w:p>
    <w:p w:rsidR="00D66BFE" w:rsidRPr="003C18F1" w:rsidRDefault="00D66BFE" w:rsidP="00D66BFE">
      <w:pPr>
        <w:pStyle w:val="Body"/>
        <w:spacing w:before="0" w:after="0" w:line="240" w:lineRule="auto"/>
        <w:ind w:left="720" w:hanging="720"/>
        <w:jc w:val="both"/>
        <w:rPr>
          <w:rStyle w:val="None"/>
          <w:rFonts w:cs="Times New Roman"/>
          <w:color w:val="222222"/>
          <w:sz w:val="22"/>
          <w:u w:color="222222"/>
        </w:rPr>
      </w:pPr>
      <w:r w:rsidRPr="003C18F1">
        <w:rPr>
          <w:rStyle w:val="None"/>
          <w:rFonts w:cs="Times New Roman"/>
          <w:color w:val="222222"/>
          <w:sz w:val="22"/>
          <w:u w:color="222222"/>
          <w:lang w:val="en-US"/>
        </w:rPr>
        <w:t>Crean, Hugh F., A. D. Hig</w:t>
      </w:r>
      <w:r>
        <w:rPr>
          <w:rStyle w:val="None"/>
          <w:rFonts w:cs="Times New Roman"/>
          <w:color w:val="222222"/>
          <w:sz w:val="22"/>
          <w:u w:color="222222"/>
          <w:lang w:val="en-US"/>
        </w:rPr>
        <w:t xml:space="preserve">htower, and Marjorie J. Allan. (2001) </w:t>
      </w:r>
      <w:r w:rsidRPr="003C18F1">
        <w:rPr>
          <w:rStyle w:val="None"/>
          <w:rFonts w:cs="Times New Roman"/>
          <w:color w:val="222222"/>
          <w:sz w:val="22"/>
          <w:u w:color="222222"/>
          <w:lang w:val="en-US"/>
        </w:rPr>
        <w:t xml:space="preserve">School-based child care for children of teen parents: Evaluation of an urban </w:t>
      </w:r>
      <w:r>
        <w:rPr>
          <w:rStyle w:val="None"/>
          <w:rFonts w:cs="Times New Roman"/>
          <w:color w:val="222222"/>
          <w:sz w:val="22"/>
          <w:u w:color="222222"/>
          <w:lang w:val="en-US"/>
        </w:rPr>
        <w:t>programme</w:t>
      </w:r>
      <w:r w:rsidR="00DE069E">
        <w:rPr>
          <w:rStyle w:val="None"/>
          <w:rFonts w:cs="Times New Roman"/>
          <w:color w:val="222222"/>
          <w:sz w:val="22"/>
          <w:u w:color="222222"/>
          <w:lang w:val="en-US"/>
        </w:rPr>
        <w:t xml:space="preserve"> </w:t>
      </w:r>
      <w:r w:rsidRPr="003C18F1">
        <w:rPr>
          <w:rStyle w:val="None"/>
          <w:rFonts w:cs="Times New Roman"/>
          <w:color w:val="222222"/>
          <w:sz w:val="22"/>
          <w:u w:color="222222"/>
          <w:lang w:val="en-US"/>
        </w:rPr>
        <w:t xml:space="preserve">designed to keep young mothers in school. </w:t>
      </w:r>
      <w:r w:rsidRPr="003C18F1">
        <w:rPr>
          <w:rStyle w:val="None"/>
          <w:rFonts w:cs="Times New Roman"/>
          <w:i/>
          <w:iCs/>
          <w:color w:val="222222"/>
          <w:sz w:val="22"/>
          <w:u w:color="222222"/>
          <w:lang w:val="en-US"/>
        </w:rPr>
        <w:t xml:space="preserve">Evaluation and </w:t>
      </w:r>
      <w:r>
        <w:rPr>
          <w:rStyle w:val="None"/>
          <w:rFonts w:cs="Times New Roman"/>
          <w:i/>
          <w:iCs/>
          <w:color w:val="222222"/>
          <w:sz w:val="22"/>
          <w:u w:color="222222"/>
          <w:lang w:val="en-US"/>
        </w:rPr>
        <w:t>Programme</w:t>
      </w:r>
      <w:r w:rsidR="00DE069E">
        <w:rPr>
          <w:rStyle w:val="None"/>
          <w:rFonts w:cs="Times New Roman"/>
          <w:i/>
          <w:iCs/>
          <w:color w:val="222222"/>
          <w:sz w:val="22"/>
          <w:u w:color="222222"/>
          <w:lang w:val="en-US"/>
        </w:rPr>
        <w:t xml:space="preserve"> </w:t>
      </w:r>
      <w:r w:rsidRPr="003C18F1">
        <w:rPr>
          <w:rStyle w:val="None"/>
          <w:rFonts w:cs="Times New Roman"/>
          <w:i/>
          <w:iCs/>
          <w:color w:val="222222"/>
          <w:sz w:val="22"/>
          <w:u w:color="222222"/>
          <w:lang w:val="en-US"/>
        </w:rPr>
        <w:t>Planning</w:t>
      </w:r>
      <w:r>
        <w:rPr>
          <w:rStyle w:val="None"/>
          <w:rFonts w:cs="Times New Roman"/>
          <w:color w:val="222222"/>
          <w:sz w:val="22"/>
          <w:u w:color="222222"/>
        </w:rPr>
        <w:t xml:space="preserve"> 24 (3)</w:t>
      </w:r>
      <w:r w:rsidRPr="003C18F1">
        <w:rPr>
          <w:rStyle w:val="None"/>
          <w:rFonts w:cs="Times New Roman"/>
          <w:color w:val="222222"/>
          <w:sz w:val="22"/>
          <w:u w:color="222222"/>
        </w:rPr>
        <w:t>: 267-275.</w:t>
      </w:r>
    </w:p>
    <w:p w:rsidR="00D66BFE" w:rsidRDefault="00D66BFE" w:rsidP="008C0EE2">
      <w:pPr>
        <w:pStyle w:val="NoSpacing"/>
        <w:ind w:left="720" w:hanging="720"/>
        <w:jc w:val="both"/>
        <w:rPr>
          <w:sz w:val="22"/>
          <w:szCs w:val="22"/>
        </w:rPr>
      </w:pPr>
    </w:p>
    <w:p w:rsidR="002C2AD9" w:rsidRPr="00DA56B5" w:rsidRDefault="002C2AD9" w:rsidP="008C0EE2">
      <w:pPr>
        <w:pStyle w:val="NoSpacing"/>
        <w:ind w:left="720" w:hanging="720"/>
        <w:jc w:val="both"/>
        <w:rPr>
          <w:sz w:val="22"/>
          <w:szCs w:val="22"/>
        </w:rPr>
      </w:pPr>
      <w:r w:rsidRPr="00DA56B5">
        <w:rPr>
          <w:sz w:val="22"/>
          <w:szCs w:val="22"/>
        </w:rPr>
        <w:t xml:space="preserve">Education Review Office (2007) </w:t>
      </w:r>
      <w:r w:rsidRPr="00DA56B5">
        <w:rPr>
          <w:i/>
          <w:sz w:val="22"/>
          <w:szCs w:val="22"/>
        </w:rPr>
        <w:t>Teen Parent Units: An Evaluation</w:t>
      </w:r>
      <w:r w:rsidRPr="00DA56B5">
        <w:rPr>
          <w:sz w:val="22"/>
          <w:szCs w:val="22"/>
        </w:rPr>
        <w:t xml:space="preserve">. Wellington: Education Review Office. </w:t>
      </w:r>
    </w:p>
    <w:p w:rsidR="002C2AD9" w:rsidRPr="00DA56B5" w:rsidRDefault="002C2AD9" w:rsidP="008C0EE2">
      <w:pPr>
        <w:pStyle w:val="NoSpacing"/>
        <w:ind w:left="720" w:hanging="720"/>
        <w:jc w:val="both"/>
        <w:rPr>
          <w:sz w:val="22"/>
          <w:szCs w:val="22"/>
        </w:rPr>
      </w:pPr>
    </w:p>
    <w:p w:rsidR="002C2AD9" w:rsidRPr="00DA56B5" w:rsidRDefault="002C2AD9" w:rsidP="008C0EE2">
      <w:pPr>
        <w:pStyle w:val="NoSpacing"/>
        <w:ind w:left="720" w:hanging="720"/>
        <w:jc w:val="both"/>
        <w:rPr>
          <w:sz w:val="22"/>
          <w:szCs w:val="22"/>
        </w:rPr>
      </w:pPr>
      <w:r w:rsidRPr="00DA56B5">
        <w:rPr>
          <w:sz w:val="22"/>
          <w:szCs w:val="22"/>
        </w:rPr>
        <w:t xml:space="preserve">Education Review Office (2011) </w:t>
      </w:r>
      <w:r w:rsidRPr="00DA56B5">
        <w:rPr>
          <w:i/>
          <w:sz w:val="22"/>
          <w:szCs w:val="22"/>
        </w:rPr>
        <w:t>Evaluation of Teen Parent Units</w:t>
      </w:r>
      <w:r w:rsidRPr="00DA56B5">
        <w:rPr>
          <w:sz w:val="22"/>
          <w:szCs w:val="22"/>
        </w:rPr>
        <w:t xml:space="preserve">. Wellington: Education Review Office. </w:t>
      </w:r>
    </w:p>
    <w:p w:rsidR="002C2AD9" w:rsidRPr="00DA56B5" w:rsidRDefault="002C2AD9" w:rsidP="008C0EE2">
      <w:pPr>
        <w:pStyle w:val="NoSpacing"/>
        <w:ind w:left="720" w:hanging="720"/>
        <w:jc w:val="both"/>
        <w:rPr>
          <w:sz w:val="22"/>
          <w:szCs w:val="22"/>
        </w:rPr>
      </w:pPr>
    </w:p>
    <w:p w:rsidR="002C2AD9" w:rsidRPr="00DA56B5" w:rsidRDefault="002C2AD9" w:rsidP="008C0EE2">
      <w:pPr>
        <w:pStyle w:val="NoSpacing"/>
        <w:ind w:left="720" w:hanging="720"/>
        <w:jc w:val="both"/>
        <w:rPr>
          <w:sz w:val="22"/>
          <w:szCs w:val="22"/>
        </w:rPr>
      </w:pPr>
      <w:r w:rsidRPr="00DA56B5">
        <w:rPr>
          <w:sz w:val="22"/>
          <w:szCs w:val="22"/>
        </w:rPr>
        <w:t xml:space="preserve">Education Review Office (2014) </w:t>
      </w:r>
      <w:r w:rsidRPr="00DA56B5">
        <w:rPr>
          <w:i/>
          <w:sz w:val="22"/>
          <w:szCs w:val="22"/>
        </w:rPr>
        <w:t>Evaluation of Teen Parent Units</w:t>
      </w:r>
      <w:r w:rsidRPr="00DA56B5">
        <w:rPr>
          <w:sz w:val="22"/>
          <w:szCs w:val="22"/>
        </w:rPr>
        <w:t xml:space="preserve">. Wellington: Education Review Office. </w:t>
      </w:r>
    </w:p>
    <w:p w:rsidR="002C2AD9" w:rsidRDefault="002C2AD9" w:rsidP="008C0EE2">
      <w:pPr>
        <w:ind w:left="720" w:hanging="720"/>
        <w:jc w:val="both"/>
        <w:rPr>
          <w:sz w:val="22"/>
          <w:szCs w:val="22"/>
        </w:rPr>
      </w:pPr>
    </w:p>
    <w:p w:rsidR="002C2AD9" w:rsidRDefault="002C2AD9" w:rsidP="008C0EE2">
      <w:pPr>
        <w:pStyle w:val="Body"/>
        <w:spacing w:before="0" w:after="0" w:line="240" w:lineRule="auto"/>
        <w:ind w:left="720" w:hanging="720"/>
        <w:jc w:val="both"/>
        <w:rPr>
          <w:rFonts w:cs="Times New Roman"/>
          <w:sz w:val="22"/>
          <w:lang w:val="en-US"/>
        </w:rPr>
      </w:pPr>
      <w:r w:rsidRPr="00DA56B5">
        <w:rPr>
          <w:rFonts w:cs="Times New Roman"/>
          <w:sz w:val="22"/>
          <w:lang w:val="en-US"/>
        </w:rPr>
        <w:t>Eisenhower Fellowships (n</w:t>
      </w:r>
      <w:r w:rsidR="00673FB8">
        <w:rPr>
          <w:rFonts w:cs="Times New Roman"/>
          <w:sz w:val="22"/>
          <w:lang w:val="en-US"/>
        </w:rPr>
        <w:t>o date</w:t>
      </w:r>
      <w:r w:rsidRPr="00DA56B5">
        <w:rPr>
          <w:rFonts w:cs="Times New Roman"/>
          <w:sz w:val="22"/>
          <w:lang w:val="en-US"/>
        </w:rPr>
        <w:t xml:space="preserve">) </w:t>
      </w:r>
      <w:r w:rsidRPr="00DA56B5">
        <w:rPr>
          <w:rFonts w:cs="Times New Roman"/>
          <w:i/>
          <w:iCs/>
          <w:sz w:val="22"/>
          <w:lang w:val="en-US"/>
        </w:rPr>
        <w:t>Celebrating 60 Years: Dr Susan Cave Baragwanath, 1994 New Zealand</w:t>
      </w:r>
      <w:r w:rsidRPr="00DA56B5">
        <w:rPr>
          <w:rFonts w:cs="Times New Roman"/>
          <w:sz w:val="22"/>
          <w:lang w:val="en-US"/>
        </w:rPr>
        <w:t xml:space="preserve">. </w:t>
      </w:r>
    </w:p>
    <w:p w:rsidR="002C2AD9" w:rsidRDefault="002C2AD9" w:rsidP="008C0EE2">
      <w:pPr>
        <w:ind w:left="720" w:hanging="720"/>
        <w:jc w:val="both"/>
        <w:rPr>
          <w:sz w:val="22"/>
          <w:szCs w:val="22"/>
        </w:rPr>
      </w:pPr>
    </w:p>
    <w:p w:rsidR="002C2AD9" w:rsidRPr="00A8559A" w:rsidRDefault="002C2AD9" w:rsidP="008C0EE2">
      <w:pPr>
        <w:pStyle w:val="Body"/>
        <w:spacing w:before="0" w:after="0" w:line="240" w:lineRule="auto"/>
        <w:ind w:left="720" w:hanging="720"/>
        <w:jc w:val="both"/>
        <w:rPr>
          <w:rFonts w:cs="Times New Roman"/>
          <w:sz w:val="22"/>
        </w:rPr>
      </w:pPr>
      <w:r w:rsidRPr="00A8559A">
        <w:rPr>
          <w:rFonts w:cs="Times New Roman"/>
          <w:sz w:val="22"/>
          <w:lang w:val="en-US"/>
        </w:rPr>
        <w:t xml:space="preserve">Families Commission (2011) </w:t>
      </w:r>
      <w:r w:rsidRPr="00A8559A">
        <w:rPr>
          <w:rStyle w:val="None"/>
          <w:rFonts w:cs="Times New Roman"/>
          <w:i/>
          <w:iCs/>
          <w:sz w:val="22"/>
          <w:lang w:val="en-US"/>
        </w:rPr>
        <w:t>Teenage Pregnancy and Parenting: An Overview</w:t>
      </w:r>
      <w:r w:rsidRPr="00A8559A">
        <w:rPr>
          <w:rFonts w:cs="Times New Roman"/>
          <w:sz w:val="22"/>
          <w:lang w:val="de-DE"/>
        </w:rPr>
        <w:t>. Wellington: Families</w:t>
      </w:r>
      <w:r w:rsidRPr="00A8559A">
        <w:rPr>
          <w:rFonts w:cs="Times New Roman"/>
          <w:sz w:val="22"/>
          <w:lang w:val="fr-FR"/>
        </w:rPr>
        <w:t xml:space="preserve">’ </w:t>
      </w:r>
      <w:r w:rsidRPr="00A8559A">
        <w:rPr>
          <w:rFonts w:cs="Times New Roman"/>
          <w:sz w:val="22"/>
        </w:rPr>
        <w:t>Commission.</w:t>
      </w:r>
    </w:p>
    <w:p w:rsidR="002C2AD9" w:rsidRPr="00A8559A" w:rsidRDefault="002C2AD9" w:rsidP="008C0EE2">
      <w:pPr>
        <w:pStyle w:val="Body"/>
        <w:spacing w:before="0" w:after="0" w:line="240" w:lineRule="auto"/>
        <w:ind w:left="720" w:hanging="720"/>
        <w:jc w:val="both"/>
        <w:rPr>
          <w:rFonts w:cs="Times New Roman"/>
          <w:sz w:val="22"/>
          <w:lang w:val="en-US"/>
        </w:rPr>
      </w:pPr>
    </w:p>
    <w:p w:rsidR="002C2AD9" w:rsidRPr="00A8559A" w:rsidRDefault="002C2AD9" w:rsidP="008C0EE2">
      <w:pPr>
        <w:ind w:left="720" w:hanging="720"/>
        <w:jc w:val="both"/>
        <w:rPr>
          <w:noProof/>
          <w:sz w:val="22"/>
          <w:szCs w:val="22"/>
        </w:rPr>
      </w:pPr>
      <w:r w:rsidRPr="00A8559A">
        <w:rPr>
          <w:noProof/>
          <w:sz w:val="22"/>
          <w:szCs w:val="22"/>
        </w:rPr>
        <w:t>Fergus</w:t>
      </w:r>
      <w:r>
        <w:rPr>
          <w:noProof/>
          <w:sz w:val="22"/>
          <w:szCs w:val="22"/>
        </w:rPr>
        <w:t xml:space="preserve">son, D. and L. Woodward (2000). </w:t>
      </w:r>
      <w:r w:rsidRPr="00A8559A">
        <w:rPr>
          <w:noProof/>
          <w:sz w:val="22"/>
          <w:szCs w:val="22"/>
        </w:rPr>
        <w:t>Teenage pregnancy and female educational underachievement: A prospective study of a New Zealand birth coho</w:t>
      </w:r>
      <w:r>
        <w:rPr>
          <w:noProof/>
          <w:sz w:val="22"/>
          <w:szCs w:val="22"/>
        </w:rPr>
        <w:t>rt.</w:t>
      </w:r>
      <w:r w:rsidRPr="00A8559A">
        <w:rPr>
          <w:noProof/>
          <w:sz w:val="22"/>
          <w:szCs w:val="22"/>
        </w:rPr>
        <w:t xml:space="preserve"> </w:t>
      </w:r>
      <w:r w:rsidRPr="00A8559A">
        <w:rPr>
          <w:i/>
          <w:noProof/>
          <w:sz w:val="22"/>
          <w:szCs w:val="22"/>
        </w:rPr>
        <w:t>Journal of Marriage and Family</w:t>
      </w:r>
      <w:r w:rsidRPr="00A8559A">
        <w:rPr>
          <w:noProof/>
          <w:sz w:val="22"/>
          <w:szCs w:val="22"/>
        </w:rPr>
        <w:t xml:space="preserve"> </w:t>
      </w:r>
      <w:r w:rsidRPr="008A770F">
        <w:rPr>
          <w:noProof/>
          <w:sz w:val="22"/>
          <w:szCs w:val="22"/>
        </w:rPr>
        <w:t>62</w:t>
      </w:r>
      <w:r>
        <w:rPr>
          <w:noProof/>
          <w:sz w:val="22"/>
          <w:szCs w:val="22"/>
        </w:rPr>
        <w:t xml:space="preserve"> </w:t>
      </w:r>
      <w:r w:rsidRPr="00A8559A">
        <w:rPr>
          <w:noProof/>
          <w:sz w:val="22"/>
          <w:szCs w:val="22"/>
        </w:rPr>
        <w:t>(1): 147-161.</w:t>
      </w:r>
    </w:p>
    <w:p w:rsidR="002C2AD9" w:rsidRPr="00A8559A" w:rsidRDefault="002C2AD9" w:rsidP="008C0EE2">
      <w:pPr>
        <w:pStyle w:val="Body"/>
        <w:spacing w:before="0" w:after="0" w:line="240" w:lineRule="auto"/>
        <w:ind w:left="720" w:hanging="720"/>
        <w:jc w:val="both"/>
        <w:rPr>
          <w:rFonts w:cs="Times New Roman"/>
          <w:sz w:val="22"/>
          <w:lang w:val="en-US"/>
        </w:rPr>
      </w:pPr>
    </w:p>
    <w:p w:rsidR="002C2AD9" w:rsidRPr="00D1213F" w:rsidRDefault="002C2AD9" w:rsidP="008C0EE2">
      <w:pPr>
        <w:pStyle w:val="Body"/>
        <w:spacing w:before="0" w:after="0" w:line="240" w:lineRule="auto"/>
        <w:ind w:left="720" w:hanging="720"/>
        <w:jc w:val="both"/>
        <w:rPr>
          <w:rFonts w:cs="Times New Roman"/>
          <w:noProof/>
          <w:sz w:val="22"/>
        </w:rPr>
      </w:pPr>
      <w:r>
        <w:rPr>
          <w:rFonts w:cs="Times New Roman"/>
          <w:noProof/>
          <w:sz w:val="22"/>
        </w:rPr>
        <w:t xml:space="preserve">Gibb, S., Fergusson, D., Horwood, J. and Boden, J. (2015). </w:t>
      </w:r>
      <w:r w:rsidRPr="00A8559A">
        <w:rPr>
          <w:rFonts w:cs="Times New Roman"/>
          <w:noProof/>
          <w:sz w:val="22"/>
        </w:rPr>
        <w:t>Early Motherhood and Long</w:t>
      </w:r>
      <w:r w:rsidRPr="00A8559A">
        <w:rPr>
          <w:rFonts w:ascii="Cambria Math" w:hAnsi="Cambria Math" w:cs="Cambria Math"/>
          <w:noProof/>
          <w:sz w:val="22"/>
        </w:rPr>
        <w:t>‐</w:t>
      </w:r>
      <w:r w:rsidRPr="00A8559A">
        <w:rPr>
          <w:rFonts w:cs="Times New Roman"/>
          <w:noProof/>
          <w:sz w:val="22"/>
        </w:rPr>
        <w:t>Term Economic Outcomes: Findings From a 30</w:t>
      </w:r>
      <w:r w:rsidRPr="00A8559A">
        <w:rPr>
          <w:rFonts w:ascii="Cambria Math" w:hAnsi="Cambria Math" w:cs="Cambria Math"/>
          <w:noProof/>
          <w:sz w:val="22"/>
        </w:rPr>
        <w:t>‐</w:t>
      </w:r>
      <w:r>
        <w:rPr>
          <w:rFonts w:cs="Times New Roman"/>
          <w:noProof/>
          <w:sz w:val="22"/>
        </w:rPr>
        <w:t>Year Longitudinal Study.</w:t>
      </w:r>
      <w:r w:rsidRPr="00A8559A">
        <w:rPr>
          <w:rFonts w:cs="Times New Roman"/>
          <w:noProof/>
          <w:sz w:val="22"/>
        </w:rPr>
        <w:t xml:space="preserve"> </w:t>
      </w:r>
      <w:r w:rsidRPr="00E0157D">
        <w:rPr>
          <w:rFonts w:cs="Times New Roman"/>
          <w:i/>
          <w:noProof/>
          <w:sz w:val="22"/>
        </w:rPr>
        <w:t>Journal of Research on Adolescence</w:t>
      </w:r>
      <w:r>
        <w:rPr>
          <w:rFonts w:cs="Times New Roman"/>
          <w:i/>
          <w:noProof/>
          <w:sz w:val="22"/>
        </w:rPr>
        <w:t xml:space="preserve"> </w:t>
      </w:r>
      <w:r>
        <w:rPr>
          <w:rFonts w:cs="Times New Roman"/>
          <w:noProof/>
          <w:sz w:val="22"/>
        </w:rPr>
        <w:t>25 (1): 163-172.</w:t>
      </w:r>
    </w:p>
    <w:p w:rsidR="002C2AD9" w:rsidRDefault="002C2AD9" w:rsidP="008C0EE2">
      <w:pPr>
        <w:pStyle w:val="Body"/>
        <w:spacing w:before="0" w:after="0" w:line="240" w:lineRule="auto"/>
        <w:ind w:left="720" w:hanging="720"/>
        <w:jc w:val="both"/>
        <w:rPr>
          <w:rFonts w:cs="Times New Roman"/>
          <w:sz w:val="22"/>
          <w:lang w:val="en-US"/>
        </w:rPr>
      </w:pPr>
    </w:p>
    <w:p w:rsidR="002C2AD9" w:rsidRPr="00121269" w:rsidRDefault="002C2AD9" w:rsidP="008C0EE2">
      <w:pPr>
        <w:ind w:left="720" w:hanging="720"/>
        <w:jc w:val="both"/>
        <w:rPr>
          <w:color w:val="000000"/>
          <w:sz w:val="22"/>
          <w:szCs w:val="22"/>
          <w:lang w:val="en-NZ" w:eastAsia="en-NZ"/>
        </w:rPr>
      </w:pPr>
      <w:r>
        <w:rPr>
          <w:color w:val="000000"/>
          <w:sz w:val="22"/>
          <w:szCs w:val="22"/>
        </w:rPr>
        <w:t xml:space="preserve">Harden, </w:t>
      </w:r>
      <w:r w:rsidRPr="00121269">
        <w:rPr>
          <w:color w:val="000000"/>
          <w:sz w:val="22"/>
          <w:szCs w:val="22"/>
        </w:rPr>
        <w:t>A</w:t>
      </w:r>
      <w:r>
        <w:rPr>
          <w:color w:val="000000"/>
          <w:sz w:val="22"/>
          <w:szCs w:val="22"/>
        </w:rPr>
        <w:t>.</w:t>
      </w:r>
      <w:r w:rsidRPr="00121269">
        <w:rPr>
          <w:color w:val="000000"/>
          <w:sz w:val="22"/>
          <w:szCs w:val="22"/>
        </w:rPr>
        <w:t>, Brunton</w:t>
      </w:r>
      <w:r>
        <w:rPr>
          <w:color w:val="000000"/>
          <w:sz w:val="22"/>
          <w:szCs w:val="22"/>
        </w:rPr>
        <w:t>,</w:t>
      </w:r>
      <w:r w:rsidRPr="00121269">
        <w:rPr>
          <w:color w:val="000000"/>
          <w:sz w:val="22"/>
          <w:szCs w:val="22"/>
        </w:rPr>
        <w:t xml:space="preserve"> G</w:t>
      </w:r>
      <w:r>
        <w:rPr>
          <w:color w:val="000000"/>
          <w:sz w:val="22"/>
          <w:szCs w:val="22"/>
        </w:rPr>
        <w:t>.</w:t>
      </w:r>
      <w:r w:rsidRPr="00121269">
        <w:rPr>
          <w:color w:val="000000"/>
          <w:sz w:val="22"/>
          <w:szCs w:val="22"/>
        </w:rPr>
        <w:t>, Fletcher</w:t>
      </w:r>
      <w:r>
        <w:rPr>
          <w:color w:val="000000"/>
          <w:sz w:val="22"/>
          <w:szCs w:val="22"/>
        </w:rPr>
        <w:t>,</w:t>
      </w:r>
      <w:r w:rsidRPr="00121269">
        <w:rPr>
          <w:color w:val="000000"/>
          <w:sz w:val="22"/>
          <w:szCs w:val="22"/>
        </w:rPr>
        <w:t xml:space="preserve"> A</w:t>
      </w:r>
      <w:r>
        <w:rPr>
          <w:color w:val="000000"/>
          <w:sz w:val="22"/>
          <w:szCs w:val="22"/>
        </w:rPr>
        <w:t>.</w:t>
      </w:r>
      <w:r w:rsidRPr="00121269">
        <w:rPr>
          <w:color w:val="000000"/>
          <w:sz w:val="22"/>
          <w:szCs w:val="22"/>
        </w:rPr>
        <w:t>, Oakley</w:t>
      </w:r>
      <w:r>
        <w:rPr>
          <w:color w:val="000000"/>
          <w:sz w:val="22"/>
          <w:szCs w:val="22"/>
        </w:rPr>
        <w:t>,</w:t>
      </w:r>
      <w:r w:rsidRPr="00121269">
        <w:rPr>
          <w:color w:val="000000"/>
          <w:sz w:val="22"/>
          <w:szCs w:val="22"/>
        </w:rPr>
        <w:t xml:space="preserve"> A</w:t>
      </w:r>
      <w:r>
        <w:rPr>
          <w:color w:val="000000"/>
          <w:sz w:val="22"/>
          <w:szCs w:val="22"/>
        </w:rPr>
        <w:t>.</w:t>
      </w:r>
      <w:r w:rsidRPr="00121269">
        <w:rPr>
          <w:color w:val="000000"/>
          <w:sz w:val="22"/>
          <w:szCs w:val="22"/>
        </w:rPr>
        <w:t>, Burchett</w:t>
      </w:r>
      <w:r>
        <w:rPr>
          <w:color w:val="000000"/>
          <w:sz w:val="22"/>
          <w:szCs w:val="22"/>
        </w:rPr>
        <w:t>,</w:t>
      </w:r>
      <w:r w:rsidRPr="00121269">
        <w:rPr>
          <w:color w:val="000000"/>
          <w:sz w:val="22"/>
          <w:szCs w:val="22"/>
        </w:rPr>
        <w:t xml:space="preserve"> H</w:t>
      </w:r>
      <w:r>
        <w:rPr>
          <w:color w:val="000000"/>
          <w:sz w:val="22"/>
          <w:szCs w:val="22"/>
        </w:rPr>
        <w:t>.</w:t>
      </w:r>
      <w:r w:rsidRPr="00121269">
        <w:rPr>
          <w:color w:val="000000"/>
          <w:sz w:val="22"/>
          <w:szCs w:val="22"/>
        </w:rPr>
        <w:t>, Backhans</w:t>
      </w:r>
      <w:r>
        <w:rPr>
          <w:color w:val="000000"/>
          <w:sz w:val="22"/>
          <w:szCs w:val="22"/>
        </w:rPr>
        <w:t>,</w:t>
      </w:r>
      <w:r w:rsidRPr="00121269">
        <w:rPr>
          <w:color w:val="000000"/>
          <w:sz w:val="22"/>
          <w:szCs w:val="22"/>
        </w:rPr>
        <w:t xml:space="preserve"> M</w:t>
      </w:r>
      <w:r>
        <w:rPr>
          <w:color w:val="000000"/>
          <w:sz w:val="22"/>
          <w:szCs w:val="22"/>
        </w:rPr>
        <w:t>.</w:t>
      </w:r>
      <w:r w:rsidRPr="00121269">
        <w:rPr>
          <w:color w:val="000000"/>
          <w:sz w:val="22"/>
          <w:szCs w:val="22"/>
        </w:rPr>
        <w:t xml:space="preserve"> (2006) </w:t>
      </w:r>
      <w:r w:rsidRPr="00D555C4">
        <w:rPr>
          <w:i/>
          <w:color w:val="000000"/>
          <w:sz w:val="22"/>
          <w:szCs w:val="22"/>
        </w:rPr>
        <w:t>Young people, pregnancy and social exclusion: A systematic synthesis of research evidence to identify effective, appropriate and promising approaches for prevention and support.</w:t>
      </w:r>
      <w:r w:rsidRPr="00121269">
        <w:rPr>
          <w:color w:val="000000"/>
          <w:sz w:val="22"/>
          <w:szCs w:val="22"/>
        </w:rPr>
        <w:t xml:space="preserve"> London: EPPI-Centre, Social Science Research Unit, Institute of Education, University of London.</w:t>
      </w:r>
    </w:p>
    <w:p w:rsidR="002C2AD9" w:rsidRPr="00121269" w:rsidRDefault="002C2AD9" w:rsidP="008C0EE2">
      <w:pPr>
        <w:pStyle w:val="Body"/>
        <w:spacing w:before="0" w:after="0" w:line="240" w:lineRule="auto"/>
        <w:ind w:left="720" w:hanging="720"/>
        <w:jc w:val="both"/>
        <w:rPr>
          <w:rFonts w:cs="Times New Roman"/>
          <w:sz w:val="22"/>
          <w:lang w:val="en-US"/>
        </w:rPr>
      </w:pPr>
    </w:p>
    <w:p w:rsidR="002C2AD9" w:rsidRDefault="002C2AD9" w:rsidP="008C0EE2">
      <w:pPr>
        <w:pStyle w:val="Body"/>
        <w:spacing w:before="0" w:after="0" w:line="240" w:lineRule="auto"/>
        <w:ind w:left="720" w:hanging="720"/>
        <w:jc w:val="both"/>
        <w:rPr>
          <w:rFonts w:cs="Times New Roman"/>
          <w:sz w:val="22"/>
          <w:lang w:val="en-US"/>
        </w:rPr>
      </w:pPr>
      <w:r w:rsidRPr="00DA56B5">
        <w:rPr>
          <w:rFonts w:cs="Times New Roman"/>
          <w:sz w:val="22"/>
          <w:lang w:val="en-US"/>
        </w:rPr>
        <w:t xml:space="preserve">He Huarahi Tamariki (2015) </w:t>
      </w:r>
      <w:r w:rsidRPr="00D555C4">
        <w:rPr>
          <w:rFonts w:cs="Times New Roman"/>
          <w:i/>
          <w:sz w:val="22"/>
          <w:lang w:val="en-US"/>
        </w:rPr>
        <w:t>Tuawahine: A</w:t>
      </w:r>
      <w:r w:rsidR="00D66BFE">
        <w:rPr>
          <w:rFonts w:cs="Times New Roman"/>
          <w:i/>
          <w:sz w:val="22"/>
          <w:lang w:val="en-US"/>
        </w:rPr>
        <w:t xml:space="preserve"> J</w:t>
      </w:r>
      <w:r w:rsidRPr="00D555C4">
        <w:rPr>
          <w:rFonts w:cs="Times New Roman"/>
          <w:i/>
          <w:sz w:val="22"/>
          <w:lang w:val="en-US"/>
        </w:rPr>
        <w:t xml:space="preserve">ournal of </w:t>
      </w:r>
      <w:r w:rsidR="00D66BFE">
        <w:rPr>
          <w:rFonts w:cs="Times New Roman"/>
          <w:i/>
          <w:sz w:val="22"/>
          <w:lang w:val="en-US"/>
        </w:rPr>
        <w:t>S</w:t>
      </w:r>
      <w:r w:rsidRPr="00D555C4">
        <w:rPr>
          <w:rFonts w:cs="Times New Roman"/>
          <w:i/>
          <w:sz w:val="22"/>
          <w:lang w:val="en-US"/>
        </w:rPr>
        <w:t xml:space="preserve">tudent </w:t>
      </w:r>
      <w:r w:rsidR="00D66BFE">
        <w:rPr>
          <w:rFonts w:cs="Times New Roman"/>
          <w:i/>
          <w:sz w:val="22"/>
          <w:lang w:val="en-US"/>
        </w:rPr>
        <w:t>W</w:t>
      </w:r>
      <w:r w:rsidRPr="00D555C4">
        <w:rPr>
          <w:rFonts w:cs="Times New Roman"/>
          <w:i/>
          <w:sz w:val="22"/>
          <w:lang w:val="en-US"/>
        </w:rPr>
        <w:t>ork.</w:t>
      </w:r>
      <w:r w:rsidRPr="00DA56B5">
        <w:rPr>
          <w:rFonts w:cs="Times New Roman"/>
          <w:sz w:val="22"/>
          <w:lang w:val="en-US"/>
        </w:rPr>
        <w:t xml:space="preserve"> Wellington: He Huarahi Tamariki School for Teenage Parents.</w:t>
      </w:r>
    </w:p>
    <w:p w:rsidR="002C2AD9" w:rsidRPr="00DA56B5" w:rsidRDefault="002C2AD9" w:rsidP="008C0EE2">
      <w:pPr>
        <w:pStyle w:val="Body"/>
        <w:spacing w:before="0" w:after="0" w:line="240" w:lineRule="auto"/>
        <w:ind w:left="720" w:hanging="720"/>
        <w:jc w:val="both"/>
        <w:rPr>
          <w:rFonts w:cs="Times New Roman"/>
          <w:sz w:val="22"/>
          <w:lang w:val="en-US"/>
        </w:rPr>
      </w:pPr>
    </w:p>
    <w:p w:rsidR="002C2AD9" w:rsidRDefault="002C2AD9" w:rsidP="008C0EE2">
      <w:pPr>
        <w:pStyle w:val="Body"/>
        <w:spacing w:before="0" w:after="0" w:line="240" w:lineRule="auto"/>
        <w:ind w:left="720" w:hanging="720"/>
        <w:jc w:val="both"/>
        <w:rPr>
          <w:rFonts w:cs="Times New Roman"/>
          <w:sz w:val="22"/>
          <w:lang w:val="en-US"/>
        </w:rPr>
      </w:pPr>
      <w:r w:rsidRPr="00DA56B5">
        <w:rPr>
          <w:rFonts w:cs="Times New Roman"/>
          <w:sz w:val="22"/>
          <w:lang w:val="en-US"/>
        </w:rPr>
        <w:t xml:space="preserve">Jaffee, S. R., Caspi, A., Moffitt, T. E., Taylor, A., and Dickson, N. (2001). </w:t>
      </w:r>
      <w:r w:rsidRPr="00D555C4">
        <w:rPr>
          <w:rFonts w:cs="Times New Roman"/>
          <w:i/>
          <w:sz w:val="22"/>
          <w:lang w:val="en-US"/>
        </w:rPr>
        <w:t>Predicting early fatherhood and whether young fathers live with their children: Prospective findings and policy reconsiderations.</w:t>
      </w:r>
      <w:r w:rsidRPr="00DA56B5">
        <w:rPr>
          <w:rFonts w:cs="Times New Roman"/>
          <w:sz w:val="22"/>
          <w:lang w:val="en-US"/>
        </w:rPr>
        <w:t xml:space="preserve"> </w:t>
      </w:r>
      <w:r w:rsidRPr="00962C7F">
        <w:rPr>
          <w:rFonts w:cs="Times New Roman"/>
          <w:sz w:val="22"/>
          <w:lang w:val="en-US"/>
        </w:rPr>
        <w:t xml:space="preserve">Institute for Research on Poverty. </w:t>
      </w:r>
      <w:r w:rsidRPr="00D555C4">
        <w:rPr>
          <w:rFonts w:cs="Times New Roman"/>
          <w:sz w:val="22"/>
          <w:lang w:val="en-US"/>
        </w:rPr>
        <w:t>Discussion Paper</w:t>
      </w:r>
      <w:r w:rsidRPr="00DA56B5">
        <w:rPr>
          <w:rFonts w:cs="Times New Roman"/>
          <w:sz w:val="22"/>
          <w:lang w:val="en-US"/>
        </w:rPr>
        <w:t xml:space="preserve"> No. 1235-01. </w:t>
      </w:r>
    </w:p>
    <w:p w:rsidR="002C2AD9" w:rsidRDefault="002C2AD9" w:rsidP="008C0EE2">
      <w:pPr>
        <w:pStyle w:val="Body"/>
        <w:spacing w:before="0" w:after="0" w:line="240" w:lineRule="auto"/>
        <w:ind w:left="720" w:hanging="720"/>
        <w:jc w:val="both"/>
        <w:rPr>
          <w:rFonts w:cs="Times New Roman"/>
          <w:sz w:val="22"/>
          <w:lang w:val="en-US"/>
        </w:rPr>
      </w:pPr>
    </w:p>
    <w:p w:rsidR="002C2AD9" w:rsidRPr="009C0861" w:rsidRDefault="002C2AD9" w:rsidP="008C0EE2">
      <w:pPr>
        <w:ind w:left="720" w:hanging="720"/>
        <w:jc w:val="both"/>
        <w:rPr>
          <w:noProof/>
          <w:sz w:val="22"/>
          <w:szCs w:val="22"/>
        </w:rPr>
      </w:pPr>
      <w:r>
        <w:rPr>
          <w:noProof/>
          <w:sz w:val="22"/>
          <w:szCs w:val="22"/>
        </w:rPr>
        <w:t>Johnson, R. and</w:t>
      </w:r>
      <w:r w:rsidRPr="009C0861">
        <w:rPr>
          <w:noProof/>
          <w:sz w:val="22"/>
          <w:szCs w:val="22"/>
        </w:rPr>
        <w:t xml:space="preserve"> Denny</w:t>
      </w:r>
      <w:r>
        <w:rPr>
          <w:noProof/>
          <w:sz w:val="22"/>
          <w:szCs w:val="22"/>
        </w:rPr>
        <w:t>, S.</w:t>
      </w:r>
      <w:r w:rsidRPr="009C0861">
        <w:rPr>
          <w:noProof/>
          <w:sz w:val="22"/>
          <w:szCs w:val="22"/>
        </w:rPr>
        <w:t xml:space="preserve"> (2007). </w:t>
      </w:r>
      <w:r w:rsidRPr="00D555C4">
        <w:rPr>
          <w:i/>
          <w:noProof/>
          <w:sz w:val="22"/>
          <w:szCs w:val="22"/>
        </w:rPr>
        <w:t>The health and wellbeing of secondary school students attending Teen Parent Units in New Zealand</w:t>
      </w:r>
      <w:r w:rsidRPr="009C0861">
        <w:rPr>
          <w:noProof/>
          <w:sz w:val="22"/>
          <w:szCs w:val="22"/>
        </w:rPr>
        <w:t>, The University of Auckland.</w:t>
      </w:r>
    </w:p>
    <w:p w:rsidR="002C2AD9" w:rsidRDefault="002C2AD9" w:rsidP="008C0EE2">
      <w:pPr>
        <w:pStyle w:val="Body"/>
        <w:spacing w:before="0" w:after="0" w:line="240" w:lineRule="auto"/>
        <w:ind w:left="720" w:hanging="720"/>
        <w:jc w:val="both"/>
        <w:rPr>
          <w:rFonts w:cs="Times New Roman"/>
          <w:sz w:val="22"/>
          <w:lang w:val="en-US"/>
        </w:rPr>
      </w:pPr>
    </w:p>
    <w:p w:rsidR="00F737A1" w:rsidRPr="00153999" w:rsidRDefault="00F737A1" w:rsidP="00F737A1">
      <w:pPr>
        <w:pStyle w:val="Body"/>
        <w:spacing w:before="0" w:after="0" w:line="240" w:lineRule="auto"/>
        <w:ind w:left="720" w:hanging="720"/>
        <w:jc w:val="both"/>
        <w:rPr>
          <w:rFonts w:cs="Times New Roman"/>
          <w:sz w:val="22"/>
          <w:lang w:val="en-US"/>
        </w:rPr>
      </w:pPr>
      <w:r w:rsidRPr="00153999">
        <w:rPr>
          <w:rFonts w:cs="Times New Roman"/>
          <w:sz w:val="22"/>
          <w:lang w:val="en-US"/>
        </w:rPr>
        <w:t xml:space="preserve">Kearney, </w:t>
      </w:r>
      <w:r>
        <w:rPr>
          <w:rFonts w:cs="Times New Roman"/>
          <w:sz w:val="22"/>
          <w:lang w:val="en-US"/>
        </w:rPr>
        <w:t>M.</w:t>
      </w:r>
      <w:r w:rsidRPr="00153999">
        <w:rPr>
          <w:rFonts w:cs="Times New Roman"/>
          <w:sz w:val="22"/>
          <w:lang w:val="en-US"/>
        </w:rPr>
        <w:t xml:space="preserve"> S.</w:t>
      </w:r>
      <w:r>
        <w:rPr>
          <w:rFonts w:cs="Times New Roman"/>
          <w:sz w:val="22"/>
          <w:lang w:val="en-US"/>
        </w:rPr>
        <w:t>,</w:t>
      </w:r>
      <w:r w:rsidRPr="00153999">
        <w:rPr>
          <w:rFonts w:cs="Times New Roman"/>
          <w:sz w:val="22"/>
          <w:lang w:val="en-US"/>
        </w:rPr>
        <w:t xml:space="preserve"> and Levine</w:t>
      </w:r>
      <w:r>
        <w:rPr>
          <w:rFonts w:cs="Times New Roman"/>
          <w:sz w:val="22"/>
          <w:lang w:val="en-US"/>
        </w:rPr>
        <w:t>, P. B.</w:t>
      </w:r>
      <w:r w:rsidRPr="00153999">
        <w:rPr>
          <w:rFonts w:cs="Times New Roman"/>
          <w:sz w:val="22"/>
          <w:lang w:val="en-US"/>
        </w:rPr>
        <w:t xml:space="preserve"> (2012). Why is the Teen Birth Rate in the United States so High and Why Does it Matter?</w:t>
      </w:r>
      <w:r>
        <w:rPr>
          <w:rFonts w:cs="Times New Roman"/>
          <w:sz w:val="22"/>
          <w:lang w:val="en-US"/>
        </w:rPr>
        <w:t xml:space="preserve"> </w:t>
      </w:r>
      <w:r w:rsidRPr="00153999">
        <w:rPr>
          <w:rFonts w:cs="Times New Roman"/>
          <w:sz w:val="22"/>
          <w:lang w:val="en-US"/>
        </w:rPr>
        <w:t xml:space="preserve"> </w:t>
      </w:r>
      <w:r w:rsidRPr="00153999">
        <w:rPr>
          <w:rFonts w:cs="Times New Roman"/>
          <w:i/>
          <w:sz w:val="22"/>
          <w:lang w:val="en-US"/>
        </w:rPr>
        <w:t>Journal of Economic Perspectives</w:t>
      </w:r>
      <w:r>
        <w:rPr>
          <w:rFonts w:cs="Times New Roman"/>
          <w:i/>
          <w:sz w:val="22"/>
          <w:lang w:val="en-US"/>
        </w:rPr>
        <w:t>.</w:t>
      </w:r>
      <w:r w:rsidRPr="00153999">
        <w:rPr>
          <w:rFonts w:cs="Times New Roman"/>
          <w:sz w:val="22"/>
          <w:lang w:val="en-US"/>
        </w:rPr>
        <w:t xml:space="preserve"> 26</w:t>
      </w:r>
      <w:r>
        <w:rPr>
          <w:rFonts w:cs="Times New Roman"/>
          <w:sz w:val="22"/>
          <w:lang w:val="en-US"/>
        </w:rPr>
        <w:t xml:space="preserve"> </w:t>
      </w:r>
      <w:r w:rsidRPr="00153999">
        <w:rPr>
          <w:rFonts w:cs="Times New Roman"/>
          <w:sz w:val="22"/>
          <w:lang w:val="en-US"/>
        </w:rPr>
        <w:t>(2): 141-166.</w:t>
      </w:r>
    </w:p>
    <w:p w:rsidR="002C2AD9" w:rsidRDefault="002C2AD9" w:rsidP="008C0EE2">
      <w:pPr>
        <w:pStyle w:val="Body"/>
        <w:spacing w:before="0" w:after="0" w:line="240" w:lineRule="auto"/>
        <w:ind w:left="720" w:hanging="720"/>
        <w:jc w:val="both"/>
        <w:rPr>
          <w:rFonts w:cs="Times New Roman"/>
          <w:sz w:val="22"/>
          <w:lang w:val="en-US"/>
        </w:rPr>
      </w:pPr>
    </w:p>
    <w:p w:rsidR="002C2AD9" w:rsidRPr="00201E3B" w:rsidRDefault="002C2AD9" w:rsidP="008C0EE2">
      <w:pPr>
        <w:pStyle w:val="Body"/>
        <w:spacing w:before="0" w:after="0" w:line="240" w:lineRule="auto"/>
        <w:ind w:left="720" w:hanging="720"/>
        <w:jc w:val="both"/>
        <w:rPr>
          <w:rFonts w:cs="Times New Roman"/>
          <w:sz w:val="22"/>
          <w:lang w:val="en-US"/>
        </w:rPr>
      </w:pPr>
      <w:r>
        <w:rPr>
          <w:rFonts w:cs="Times New Roman"/>
          <w:sz w:val="22"/>
          <w:lang w:val="en-US"/>
        </w:rPr>
        <w:t>Lachance, C., Burrus, B.</w:t>
      </w:r>
      <w:r w:rsidRPr="00DA56B5">
        <w:rPr>
          <w:rFonts w:cs="Times New Roman"/>
          <w:sz w:val="22"/>
          <w:lang w:val="en-US"/>
        </w:rPr>
        <w:t>, Scott</w:t>
      </w:r>
      <w:r>
        <w:rPr>
          <w:rFonts w:cs="Times New Roman"/>
          <w:sz w:val="22"/>
          <w:lang w:val="en-US"/>
        </w:rPr>
        <w:t>, A. (2012).</w:t>
      </w:r>
      <w:r w:rsidRPr="00DA56B5">
        <w:rPr>
          <w:rFonts w:cs="Times New Roman"/>
          <w:sz w:val="22"/>
          <w:lang w:val="en-US"/>
        </w:rPr>
        <w:t xml:space="preserve"> Building an evidence base to inform interventions for pregnant and parenting adolescents: A call for rigorous evaluation. </w:t>
      </w:r>
      <w:r w:rsidRPr="00680888">
        <w:rPr>
          <w:rFonts w:cs="Times New Roman"/>
          <w:i/>
          <w:sz w:val="22"/>
          <w:lang w:val="en-US"/>
        </w:rPr>
        <w:t xml:space="preserve">American Journal of Public </w:t>
      </w:r>
      <w:r w:rsidRPr="00201E3B">
        <w:rPr>
          <w:rFonts w:cs="Times New Roman"/>
          <w:i/>
          <w:sz w:val="22"/>
          <w:lang w:val="en-US"/>
        </w:rPr>
        <w:t>Health</w:t>
      </w:r>
      <w:r w:rsidRPr="00201E3B">
        <w:rPr>
          <w:rFonts w:cs="Times New Roman"/>
          <w:sz w:val="22"/>
          <w:lang w:val="en-US"/>
        </w:rPr>
        <w:t xml:space="preserve">. 102:1826–1832. </w:t>
      </w:r>
    </w:p>
    <w:p w:rsidR="002C2AD9" w:rsidRPr="00201E3B" w:rsidRDefault="002C2AD9" w:rsidP="008C0EE2">
      <w:pPr>
        <w:pStyle w:val="Body"/>
        <w:spacing w:before="0" w:after="0" w:line="240" w:lineRule="auto"/>
        <w:ind w:left="720" w:hanging="720"/>
        <w:jc w:val="both"/>
        <w:rPr>
          <w:rFonts w:cs="Times New Roman"/>
          <w:sz w:val="22"/>
          <w:lang w:val="en-US"/>
        </w:rPr>
      </w:pPr>
    </w:p>
    <w:p w:rsidR="002C2AD9" w:rsidRDefault="002C2AD9" w:rsidP="008C0EE2">
      <w:pPr>
        <w:pStyle w:val="Body"/>
        <w:spacing w:before="0" w:after="0" w:line="240" w:lineRule="auto"/>
        <w:ind w:left="720" w:hanging="720"/>
        <w:jc w:val="both"/>
        <w:rPr>
          <w:rFonts w:cs="Times New Roman"/>
          <w:sz w:val="22"/>
          <w:lang w:val="en-US"/>
        </w:rPr>
      </w:pPr>
      <w:r w:rsidRPr="00DA56B5">
        <w:rPr>
          <w:rFonts w:cs="Times New Roman"/>
          <w:sz w:val="22"/>
          <w:lang w:val="en-US"/>
        </w:rPr>
        <w:t>Makowharemahihi, C., Lawton, B. A., Cram, F., Ngata, T., Brown, S. and Robson, B. (2014)</w:t>
      </w:r>
      <w:r>
        <w:rPr>
          <w:rFonts w:cs="Times New Roman"/>
          <w:sz w:val="22"/>
          <w:lang w:val="en-US"/>
        </w:rPr>
        <w:t>.</w:t>
      </w:r>
      <w:r w:rsidRPr="00DA56B5">
        <w:rPr>
          <w:rFonts w:cs="Times New Roman"/>
          <w:sz w:val="22"/>
          <w:lang w:val="en-US"/>
        </w:rPr>
        <w:t xml:space="preserve"> Initiation of maternity care for young Māori women under 20 years of age. </w:t>
      </w:r>
      <w:r w:rsidRPr="00D555C4">
        <w:rPr>
          <w:rFonts w:cs="Times New Roman"/>
          <w:i/>
          <w:sz w:val="22"/>
          <w:lang w:val="en-US"/>
        </w:rPr>
        <w:t>The New Zealand Medical Journal</w:t>
      </w:r>
      <w:r w:rsidRPr="00DA56B5">
        <w:rPr>
          <w:rFonts w:cs="Times New Roman"/>
          <w:sz w:val="22"/>
          <w:lang w:val="en-US"/>
        </w:rPr>
        <w:t xml:space="preserve"> 127:1393.</w:t>
      </w:r>
    </w:p>
    <w:p w:rsidR="002C2AD9" w:rsidRPr="00DA56B5" w:rsidRDefault="002C2AD9" w:rsidP="008C0EE2">
      <w:pPr>
        <w:pStyle w:val="Body"/>
        <w:spacing w:before="0" w:after="0" w:line="240" w:lineRule="auto"/>
        <w:ind w:left="720" w:hanging="720"/>
        <w:jc w:val="both"/>
        <w:rPr>
          <w:rFonts w:cs="Times New Roman"/>
          <w:sz w:val="22"/>
          <w:lang w:val="en-US"/>
        </w:rPr>
      </w:pPr>
    </w:p>
    <w:p w:rsidR="00D66BFE" w:rsidRDefault="00D66BFE" w:rsidP="00D66BFE">
      <w:pPr>
        <w:pStyle w:val="Body"/>
        <w:spacing w:before="0" w:after="0" w:line="240" w:lineRule="auto"/>
        <w:ind w:left="720" w:hanging="720"/>
        <w:jc w:val="both"/>
        <w:rPr>
          <w:rFonts w:cs="Times New Roman"/>
          <w:sz w:val="22"/>
          <w:lang w:val="en-US"/>
        </w:rPr>
      </w:pPr>
      <w:r w:rsidRPr="00201E3B">
        <w:rPr>
          <w:rFonts w:cs="Times New Roman"/>
          <w:sz w:val="22"/>
          <w:lang w:val="en-US"/>
        </w:rPr>
        <w:t>Morton, S. M. B., Atatoa Carr, P. E.,</w:t>
      </w:r>
      <w:r w:rsidRPr="00DA56B5">
        <w:rPr>
          <w:rFonts w:cs="Times New Roman"/>
          <w:sz w:val="22"/>
          <w:lang w:val="en-US"/>
        </w:rPr>
        <w:t xml:space="preserve"> Grant, C. C., Berry, S. D., Mohal, J., Pillai, A. </w:t>
      </w:r>
      <w:r>
        <w:rPr>
          <w:rFonts w:cs="Times New Roman"/>
          <w:sz w:val="22"/>
          <w:lang w:val="en-US"/>
        </w:rPr>
        <w:t>(</w:t>
      </w:r>
      <w:r w:rsidRPr="00DA56B5">
        <w:rPr>
          <w:rFonts w:cs="Times New Roman"/>
          <w:sz w:val="22"/>
          <w:lang w:val="en-US"/>
        </w:rPr>
        <w:t>2015</w:t>
      </w:r>
      <w:r>
        <w:rPr>
          <w:rFonts w:cs="Times New Roman"/>
          <w:sz w:val="22"/>
          <w:lang w:val="en-US"/>
        </w:rPr>
        <w:t>)</w:t>
      </w:r>
      <w:r w:rsidRPr="00DA56B5">
        <w:rPr>
          <w:rFonts w:cs="Times New Roman"/>
          <w:sz w:val="22"/>
          <w:lang w:val="en-US"/>
        </w:rPr>
        <w:t xml:space="preserve">. </w:t>
      </w:r>
      <w:r w:rsidRPr="00D555C4">
        <w:rPr>
          <w:rFonts w:cs="Times New Roman"/>
          <w:i/>
          <w:sz w:val="22"/>
          <w:lang w:val="en-US"/>
        </w:rPr>
        <w:t>Growing Up in New Zealand: A longitudinal study of New Zealand children and their families. Vulnerability Report 2: Transitions in exposure to vulnerability in the first 1000 days of life</w:t>
      </w:r>
      <w:r w:rsidRPr="00DA56B5">
        <w:rPr>
          <w:rFonts w:cs="Times New Roman"/>
          <w:sz w:val="22"/>
          <w:lang w:val="en-US"/>
        </w:rPr>
        <w:t>. Auckland: Growing Up in New Zealand.</w:t>
      </w:r>
    </w:p>
    <w:p w:rsidR="00D66BFE" w:rsidRDefault="00D66BFE" w:rsidP="008C0EE2">
      <w:pPr>
        <w:pStyle w:val="Body"/>
        <w:spacing w:before="0" w:after="0" w:line="240" w:lineRule="auto"/>
        <w:ind w:left="720" w:hanging="720"/>
        <w:jc w:val="both"/>
        <w:rPr>
          <w:rFonts w:cs="Times New Roman"/>
          <w:sz w:val="22"/>
          <w:lang w:val="en-US"/>
        </w:rPr>
      </w:pPr>
    </w:p>
    <w:p w:rsidR="002C2AD9" w:rsidRDefault="002C2AD9" w:rsidP="008C0EE2">
      <w:pPr>
        <w:pStyle w:val="Body"/>
        <w:spacing w:before="0" w:after="0" w:line="240" w:lineRule="auto"/>
        <w:ind w:left="720" w:hanging="720"/>
        <w:jc w:val="both"/>
        <w:rPr>
          <w:rFonts w:cs="Times New Roman"/>
          <w:sz w:val="22"/>
          <w:lang w:val="en-US"/>
        </w:rPr>
      </w:pPr>
      <w:r>
        <w:rPr>
          <w:rFonts w:cs="Times New Roman"/>
          <w:sz w:val="22"/>
          <w:lang w:val="en-US"/>
        </w:rPr>
        <w:t xml:space="preserve">Pinzon, J., and Jones, V. (2012). Care of Adolescent Parents and their Children. </w:t>
      </w:r>
      <w:r w:rsidRPr="00490993">
        <w:rPr>
          <w:rFonts w:cs="Times New Roman"/>
          <w:i/>
          <w:sz w:val="22"/>
          <w:lang w:val="en-US"/>
        </w:rPr>
        <w:t>American Academy of Pediatrics</w:t>
      </w:r>
      <w:r w:rsidRPr="00680888">
        <w:rPr>
          <w:rFonts w:cs="Times New Roman"/>
          <w:i/>
          <w:sz w:val="22"/>
          <w:lang w:val="en-US"/>
        </w:rPr>
        <w:t>,</w:t>
      </w:r>
      <w:r>
        <w:rPr>
          <w:rFonts w:cs="Times New Roman"/>
          <w:sz w:val="22"/>
          <w:lang w:val="en-US"/>
        </w:rPr>
        <w:t xml:space="preserve"> 130 (6): 1-16.</w:t>
      </w:r>
    </w:p>
    <w:p w:rsidR="002C2AD9" w:rsidRDefault="002C2AD9" w:rsidP="008C0EE2">
      <w:pPr>
        <w:pStyle w:val="Body"/>
        <w:spacing w:before="0" w:after="0" w:line="240" w:lineRule="auto"/>
        <w:ind w:left="720" w:hanging="720"/>
        <w:jc w:val="both"/>
        <w:rPr>
          <w:rFonts w:cs="Times New Roman"/>
          <w:sz w:val="22"/>
          <w:lang w:val="en-US"/>
        </w:rPr>
      </w:pPr>
    </w:p>
    <w:p w:rsidR="002C2AD9" w:rsidRDefault="002C2AD9" w:rsidP="008C0EE2">
      <w:pPr>
        <w:pStyle w:val="Body"/>
        <w:spacing w:before="0" w:after="0" w:line="240" w:lineRule="auto"/>
        <w:ind w:left="720" w:hanging="720"/>
        <w:jc w:val="both"/>
        <w:rPr>
          <w:rFonts w:cs="Times New Roman"/>
          <w:sz w:val="22"/>
          <w:lang w:val="en-US"/>
        </w:rPr>
      </w:pPr>
      <w:r w:rsidRPr="00DA56B5">
        <w:rPr>
          <w:rFonts w:cs="Times New Roman"/>
          <w:sz w:val="22"/>
          <w:lang w:val="en-US"/>
        </w:rPr>
        <w:t xml:space="preserve">Rawiri, C. (2007). Adolescent Maori mothers’ experiences with social support during pregnancy, birth and motherhood, and their participation in education. </w:t>
      </w:r>
      <w:r w:rsidRPr="00A047A4">
        <w:rPr>
          <w:rFonts w:cs="Times New Roman"/>
          <w:i/>
          <w:sz w:val="22"/>
          <w:lang w:val="en-US"/>
        </w:rPr>
        <w:t>The Bulletin</w:t>
      </w:r>
      <w:r w:rsidRPr="00DA56B5">
        <w:rPr>
          <w:rFonts w:cs="Times New Roman"/>
          <w:sz w:val="22"/>
          <w:lang w:val="en-US"/>
        </w:rPr>
        <w:t xml:space="preserve"> No. 109:13-15.</w:t>
      </w:r>
    </w:p>
    <w:p w:rsidR="002C2AD9" w:rsidRPr="003C18F1" w:rsidRDefault="002C2AD9" w:rsidP="008C0EE2">
      <w:pPr>
        <w:pStyle w:val="Body"/>
        <w:spacing w:before="0" w:after="0" w:line="240" w:lineRule="auto"/>
        <w:ind w:left="720" w:hanging="720"/>
        <w:jc w:val="both"/>
        <w:rPr>
          <w:rStyle w:val="None"/>
          <w:rFonts w:cs="Times New Roman"/>
          <w:color w:val="222222"/>
          <w:sz w:val="22"/>
          <w:u w:color="222222"/>
        </w:rPr>
      </w:pPr>
    </w:p>
    <w:p w:rsidR="002C2AD9" w:rsidRDefault="002C2AD9" w:rsidP="008C0EE2">
      <w:pPr>
        <w:pStyle w:val="Body"/>
        <w:spacing w:before="0" w:after="0" w:line="240" w:lineRule="auto"/>
        <w:ind w:left="720" w:hanging="720"/>
        <w:jc w:val="both"/>
        <w:rPr>
          <w:rFonts w:cs="Times New Roman"/>
          <w:sz w:val="22"/>
          <w:lang w:val="en-US"/>
        </w:rPr>
      </w:pPr>
      <w:r>
        <w:rPr>
          <w:rFonts w:cs="Times New Roman"/>
          <w:sz w:val="22"/>
          <w:lang w:val="en-US"/>
        </w:rPr>
        <w:t>Seitz, V., and</w:t>
      </w:r>
      <w:r w:rsidRPr="00DA56B5">
        <w:rPr>
          <w:rFonts w:cs="Times New Roman"/>
          <w:sz w:val="22"/>
          <w:lang w:val="en-US"/>
        </w:rPr>
        <w:t xml:space="preserve"> Apfel, N. (1999). Effective interventions for adolescent mothers. </w:t>
      </w:r>
      <w:r w:rsidRPr="00962C7F">
        <w:rPr>
          <w:rFonts w:cs="Times New Roman"/>
          <w:i/>
          <w:sz w:val="22"/>
          <w:lang w:val="en-US"/>
        </w:rPr>
        <w:t>Clinical Psychology</w:t>
      </w:r>
      <w:r w:rsidRPr="007F0D8E">
        <w:rPr>
          <w:rFonts w:cs="Times New Roman"/>
          <w:i/>
          <w:sz w:val="22"/>
          <w:lang w:val="en-US"/>
        </w:rPr>
        <w:t>: Science and Practice</w:t>
      </w:r>
      <w:r w:rsidRPr="00DA56B5">
        <w:rPr>
          <w:rFonts w:cs="Times New Roman"/>
          <w:sz w:val="22"/>
          <w:lang w:val="en-US"/>
        </w:rPr>
        <w:t>, 6</w:t>
      </w:r>
      <w:r>
        <w:rPr>
          <w:rFonts w:cs="Times New Roman"/>
          <w:sz w:val="22"/>
          <w:lang w:val="en-US"/>
        </w:rPr>
        <w:t xml:space="preserve"> (1):</w:t>
      </w:r>
      <w:r w:rsidRPr="00DA56B5">
        <w:rPr>
          <w:rFonts w:cs="Times New Roman"/>
          <w:sz w:val="22"/>
          <w:lang w:val="en-US"/>
        </w:rPr>
        <w:t xml:space="preserve"> 50–66.</w:t>
      </w:r>
    </w:p>
    <w:p w:rsidR="005575E4" w:rsidRDefault="005575E4" w:rsidP="008C0EE2">
      <w:pPr>
        <w:pStyle w:val="Body"/>
        <w:spacing w:before="0" w:after="0" w:line="240" w:lineRule="auto"/>
        <w:ind w:left="720" w:hanging="720"/>
        <w:jc w:val="both"/>
        <w:rPr>
          <w:rFonts w:cs="Times New Roman"/>
          <w:sz w:val="22"/>
          <w:lang w:val="en-US"/>
        </w:rPr>
      </w:pPr>
    </w:p>
    <w:p w:rsidR="002C2AD9" w:rsidRPr="00D00492" w:rsidRDefault="002C2AD9" w:rsidP="008C0EE2">
      <w:pPr>
        <w:pStyle w:val="FootnoteText"/>
        <w:spacing w:before="0"/>
        <w:ind w:left="720" w:hanging="720"/>
        <w:jc w:val="both"/>
        <w:rPr>
          <w:sz w:val="22"/>
          <w:szCs w:val="22"/>
        </w:rPr>
      </w:pPr>
      <w:r w:rsidRPr="00D00492">
        <w:rPr>
          <w:sz w:val="22"/>
          <w:szCs w:val="22"/>
        </w:rPr>
        <w:t>Sedgh, G., Finer, L., Bankole,</w:t>
      </w:r>
      <w:r w:rsidR="00E712BA">
        <w:rPr>
          <w:sz w:val="22"/>
          <w:szCs w:val="22"/>
        </w:rPr>
        <w:t xml:space="preserve"> </w:t>
      </w:r>
      <w:r w:rsidRPr="00D00492">
        <w:rPr>
          <w:sz w:val="22"/>
          <w:szCs w:val="22"/>
        </w:rPr>
        <w:t>A.</w:t>
      </w:r>
      <w:r w:rsidR="00E712BA">
        <w:rPr>
          <w:sz w:val="22"/>
          <w:szCs w:val="22"/>
        </w:rPr>
        <w:t>,</w:t>
      </w:r>
      <w:r w:rsidRPr="00D00492">
        <w:rPr>
          <w:sz w:val="22"/>
          <w:szCs w:val="22"/>
        </w:rPr>
        <w:t xml:space="preserve"> E</w:t>
      </w:r>
      <w:r>
        <w:rPr>
          <w:sz w:val="22"/>
          <w:szCs w:val="22"/>
        </w:rPr>
        <w:t xml:space="preserve">ilers, M., and Singh, S. (2015). </w:t>
      </w:r>
      <w:r w:rsidRPr="00D00492">
        <w:rPr>
          <w:sz w:val="22"/>
          <w:szCs w:val="22"/>
        </w:rPr>
        <w:t xml:space="preserve">Adolescent pregnancy, birth and abortion rates across countries: levels and recent trends, </w:t>
      </w:r>
      <w:r w:rsidRPr="00D00492">
        <w:rPr>
          <w:rStyle w:val="None"/>
          <w:i/>
          <w:iCs/>
          <w:sz w:val="22"/>
          <w:szCs w:val="22"/>
        </w:rPr>
        <w:t>Journal of Adolescent Health</w:t>
      </w:r>
      <w:r>
        <w:rPr>
          <w:sz w:val="22"/>
          <w:szCs w:val="22"/>
        </w:rPr>
        <w:t xml:space="preserve">, 56: </w:t>
      </w:r>
      <w:r w:rsidRPr="00D00492">
        <w:rPr>
          <w:sz w:val="22"/>
          <w:szCs w:val="22"/>
        </w:rPr>
        <w:t xml:space="preserve">223-230. </w:t>
      </w:r>
    </w:p>
    <w:p w:rsidR="002C2AD9" w:rsidRPr="00D00492" w:rsidRDefault="002C2AD9" w:rsidP="008C0EE2">
      <w:pPr>
        <w:pStyle w:val="Body"/>
        <w:spacing w:before="0" w:after="0" w:line="240" w:lineRule="auto"/>
        <w:ind w:left="720" w:hanging="720"/>
        <w:jc w:val="both"/>
        <w:rPr>
          <w:rFonts w:cs="Times New Roman"/>
          <w:sz w:val="22"/>
          <w:lang w:val="en-US"/>
        </w:rPr>
      </w:pPr>
    </w:p>
    <w:bookmarkEnd w:id="49"/>
    <w:bookmarkEnd w:id="50"/>
    <w:bookmarkEnd w:id="51"/>
    <w:bookmarkEnd w:id="52"/>
    <w:bookmarkEnd w:id="53"/>
    <w:bookmarkEnd w:id="54"/>
    <w:bookmarkEnd w:id="55"/>
    <w:bookmarkEnd w:id="56"/>
    <w:bookmarkEnd w:id="57"/>
    <w:bookmarkEnd w:id="58"/>
    <w:bookmarkEnd w:id="59"/>
    <w:bookmarkEnd w:id="60"/>
    <w:p w:rsidR="002C2AD9" w:rsidRPr="00ED379E" w:rsidRDefault="002C2AD9" w:rsidP="008C0EE2">
      <w:pPr>
        <w:ind w:left="720" w:hanging="720"/>
        <w:jc w:val="both"/>
        <w:rPr>
          <w:noProof/>
          <w:sz w:val="22"/>
          <w:szCs w:val="22"/>
        </w:rPr>
      </w:pPr>
      <w:r w:rsidRPr="00ED379E">
        <w:rPr>
          <w:noProof/>
          <w:sz w:val="22"/>
          <w:szCs w:val="22"/>
        </w:rPr>
        <w:t xml:space="preserve">Vaithianathan, R., Wilson, M., Maloney, T. and Baird, S. (2016). </w:t>
      </w:r>
      <w:r w:rsidRPr="004F4C26">
        <w:rPr>
          <w:i/>
          <w:noProof/>
          <w:sz w:val="22"/>
          <w:szCs w:val="22"/>
        </w:rPr>
        <w:t>The Impact of the Family Start Home Visiting Programme on Outcomes for Mothers and Children: A Quasi-Experimental Study</w:t>
      </w:r>
      <w:r w:rsidRPr="00ED379E">
        <w:rPr>
          <w:noProof/>
          <w:sz w:val="22"/>
          <w:szCs w:val="22"/>
        </w:rPr>
        <w:t xml:space="preserve">. Wellington: Ministry of Social Development. </w:t>
      </w:r>
    </w:p>
    <w:p w:rsidR="002C2AD9" w:rsidRDefault="002C2AD9" w:rsidP="008C0EE2">
      <w:pPr>
        <w:ind w:left="720" w:hanging="720"/>
        <w:jc w:val="both"/>
        <w:rPr>
          <w:noProof/>
          <w:sz w:val="22"/>
          <w:szCs w:val="22"/>
        </w:rPr>
      </w:pPr>
    </w:p>
    <w:p w:rsidR="002C2AD9" w:rsidRDefault="002C2AD9" w:rsidP="008C0EE2">
      <w:pPr>
        <w:ind w:left="720" w:hanging="720"/>
        <w:jc w:val="both"/>
        <w:rPr>
          <w:noProof/>
          <w:sz w:val="22"/>
          <w:szCs w:val="22"/>
        </w:rPr>
      </w:pPr>
      <w:r w:rsidRPr="00CC169F">
        <w:rPr>
          <w:noProof/>
          <w:sz w:val="22"/>
          <w:szCs w:val="22"/>
        </w:rPr>
        <w:t>Woodwar</w:t>
      </w:r>
      <w:r>
        <w:rPr>
          <w:noProof/>
          <w:sz w:val="22"/>
          <w:szCs w:val="22"/>
        </w:rPr>
        <w:t xml:space="preserve">d, L. and D. Fergusson (1999). </w:t>
      </w:r>
      <w:r w:rsidRPr="00CC169F">
        <w:rPr>
          <w:noProof/>
          <w:sz w:val="22"/>
          <w:szCs w:val="22"/>
        </w:rPr>
        <w:t xml:space="preserve">Early conduct problems and later risk of teenage pregnancy in girls. </w:t>
      </w:r>
      <w:r w:rsidRPr="007E0124">
        <w:rPr>
          <w:i/>
          <w:noProof/>
          <w:sz w:val="22"/>
          <w:szCs w:val="22"/>
        </w:rPr>
        <w:t>Development and Psychopathology</w:t>
      </w:r>
      <w:r w:rsidRPr="00CC169F">
        <w:rPr>
          <w:noProof/>
          <w:sz w:val="22"/>
          <w:szCs w:val="22"/>
        </w:rPr>
        <w:t xml:space="preserve"> </w:t>
      </w:r>
      <w:r w:rsidRPr="007E0124">
        <w:rPr>
          <w:noProof/>
          <w:sz w:val="22"/>
          <w:szCs w:val="22"/>
        </w:rPr>
        <w:t>11</w:t>
      </w:r>
      <w:r>
        <w:rPr>
          <w:noProof/>
          <w:sz w:val="22"/>
          <w:szCs w:val="22"/>
        </w:rPr>
        <w:t xml:space="preserve"> </w:t>
      </w:r>
      <w:r w:rsidRPr="00CC169F">
        <w:rPr>
          <w:noProof/>
          <w:sz w:val="22"/>
          <w:szCs w:val="22"/>
        </w:rPr>
        <w:t>(01): 127-141.</w:t>
      </w:r>
    </w:p>
    <w:p w:rsidR="002C2AD9" w:rsidRDefault="002C2AD9" w:rsidP="008C0EE2">
      <w:pPr>
        <w:ind w:left="720" w:hanging="720"/>
        <w:jc w:val="both"/>
        <w:rPr>
          <w:noProof/>
          <w:sz w:val="22"/>
          <w:szCs w:val="22"/>
        </w:rPr>
      </w:pPr>
    </w:p>
    <w:p w:rsidR="00424984" w:rsidRDefault="002C2AD9" w:rsidP="008C0EE2">
      <w:pPr>
        <w:ind w:left="720" w:hanging="720"/>
        <w:jc w:val="both"/>
        <w:rPr>
          <w:noProof/>
          <w:sz w:val="22"/>
          <w:szCs w:val="22"/>
        </w:rPr>
      </w:pPr>
      <w:r>
        <w:rPr>
          <w:noProof/>
          <w:sz w:val="22"/>
          <w:szCs w:val="22"/>
        </w:rPr>
        <w:t>Work and Income (n</w:t>
      </w:r>
      <w:r w:rsidR="00673FB8">
        <w:rPr>
          <w:noProof/>
          <w:sz w:val="22"/>
          <w:szCs w:val="22"/>
        </w:rPr>
        <w:t>o date</w:t>
      </w:r>
      <w:r>
        <w:rPr>
          <w:noProof/>
          <w:sz w:val="22"/>
          <w:szCs w:val="22"/>
        </w:rPr>
        <w:t xml:space="preserve">) </w:t>
      </w:r>
      <w:r w:rsidRPr="007F0D8E">
        <w:rPr>
          <w:i/>
          <w:noProof/>
          <w:sz w:val="22"/>
          <w:szCs w:val="22"/>
        </w:rPr>
        <w:t>Young Parent Payment</w:t>
      </w:r>
      <w:r>
        <w:rPr>
          <w:noProof/>
          <w:sz w:val="22"/>
          <w:szCs w:val="22"/>
        </w:rPr>
        <w:t xml:space="preserve">. </w:t>
      </w:r>
    </w:p>
    <w:p w:rsidR="002C2AD9" w:rsidRDefault="00424984" w:rsidP="008C0EE2">
      <w:pPr>
        <w:ind w:left="720" w:hanging="720"/>
        <w:jc w:val="both"/>
        <w:rPr>
          <w:rStyle w:val="Hyperlink"/>
          <w:noProof/>
          <w:sz w:val="22"/>
          <w:szCs w:val="22"/>
        </w:rPr>
      </w:pPr>
      <w:r>
        <w:rPr>
          <w:noProof/>
          <w:sz w:val="22"/>
          <w:szCs w:val="22"/>
        </w:rPr>
        <w:tab/>
      </w:r>
      <w:hyperlink r:id="rId10" w:history="1">
        <w:r w:rsidR="002C2AD9" w:rsidRPr="00962C7F">
          <w:rPr>
            <w:rStyle w:val="Hyperlink"/>
            <w:noProof/>
            <w:sz w:val="22"/>
            <w:szCs w:val="22"/>
          </w:rPr>
          <w:t>http://www.workandincome.govt.nz/individuals/a-z-benefits/young-parent-payment.html</w:t>
        </w:r>
      </w:hyperlink>
    </w:p>
    <w:p w:rsidR="002C2AD9" w:rsidRDefault="002C2AD9" w:rsidP="002C2AD9">
      <w:pPr>
        <w:jc w:val="both"/>
        <w:rPr>
          <w:rStyle w:val="Hyperlink"/>
          <w:noProof/>
          <w:sz w:val="22"/>
          <w:szCs w:val="22"/>
        </w:rPr>
      </w:pPr>
    </w:p>
    <w:p w:rsidR="002C2AD9" w:rsidRPr="00CC169F" w:rsidRDefault="002C2AD9" w:rsidP="002C2AD9">
      <w:pPr>
        <w:jc w:val="both"/>
        <w:rPr>
          <w:noProof/>
          <w:sz w:val="22"/>
          <w:szCs w:val="22"/>
        </w:rPr>
      </w:pPr>
    </w:p>
    <w:p w:rsidR="002C2AD9" w:rsidRDefault="002C2AD9" w:rsidP="002C2AD9">
      <w:pPr>
        <w:pStyle w:val="Body"/>
        <w:spacing w:before="0" w:after="0" w:line="240" w:lineRule="auto"/>
        <w:jc w:val="both"/>
        <w:rPr>
          <w:rFonts w:cs="Times New Roman"/>
          <w:sz w:val="22"/>
          <w:lang w:val="en-NZ"/>
        </w:rPr>
      </w:pPr>
    </w:p>
    <w:p w:rsidR="002C2AD9" w:rsidRDefault="002C2AD9">
      <w:pPr>
        <w:rPr>
          <w:rStyle w:val="None"/>
          <w:rFonts w:eastAsiaTheme="majorEastAsia" w:cstheme="majorBidi"/>
          <w:bCs/>
          <w:color w:val="000000"/>
          <w:sz w:val="36"/>
          <w:szCs w:val="28"/>
          <w:u w:color="000000"/>
        </w:rPr>
      </w:pPr>
      <w:r>
        <w:rPr>
          <w:rStyle w:val="None"/>
          <w:color w:val="000000"/>
          <w:u w:color="000000"/>
        </w:rPr>
        <w:br w:type="page"/>
      </w:r>
    </w:p>
    <w:p w:rsidR="00E05949" w:rsidRDefault="009A1012" w:rsidP="004F4C26">
      <w:pPr>
        <w:pStyle w:val="Heading1"/>
        <w:numPr>
          <w:ilvl w:val="0"/>
          <w:numId w:val="0"/>
        </w:numPr>
        <w:spacing w:before="0"/>
        <w:ind w:hanging="432"/>
        <w:rPr>
          <w:rStyle w:val="None"/>
          <w:rFonts w:ascii="Times New Roman" w:eastAsia="Times New Roman" w:hAnsi="Times New Roman" w:cs="Times New Roman"/>
          <w:bCs w:val="0"/>
          <w:color w:val="000000"/>
          <w:sz w:val="24"/>
          <w:szCs w:val="24"/>
          <w:u w:color="000000"/>
        </w:rPr>
      </w:pPr>
      <w:bookmarkStart w:id="61" w:name="_Toc473803318"/>
      <w:r>
        <w:rPr>
          <w:rStyle w:val="None"/>
          <w:rFonts w:ascii="Times New Roman" w:hAnsi="Times New Roman"/>
          <w:color w:val="000000"/>
          <w:u w:color="000000"/>
        </w:rPr>
        <w:t>A</w:t>
      </w:r>
      <w:r w:rsidR="00DA56B5">
        <w:rPr>
          <w:rStyle w:val="None"/>
          <w:rFonts w:ascii="Times New Roman" w:hAnsi="Times New Roman"/>
          <w:color w:val="000000"/>
          <w:u w:color="000000"/>
        </w:rPr>
        <w:t>ppendix</w:t>
      </w:r>
      <w:r>
        <w:rPr>
          <w:rStyle w:val="None"/>
          <w:rFonts w:ascii="Times New Roman" w:hAnsi="Times New Roman"/>
          <w:color w:val="000000"/>
          <w:u w:color="000000"/>
        </w:rPr>
        <w:t xml:space="preserve"> </w:t>
      </w:r>
      <w:r w:rsidR="002C2AD9">
        <w:rPr>
          <w:rStyle w:val="None"/>
          <w:rFonts w:ascii="Times New Roman" w:hAnsi="Times New Roman"/>
          <w:color w:val="000000"/>
          <w:u w:color="000000"/>
        </w:rPr>
        <w:t>–</w:t>
      </w:r>
      <w:r w:rsidR="00A13912">
        <w:rPr>
          <w:rStyle w:val="None"/>
          <w:rFonts w:ascii="Times New Roman" w:hAnsi="Times New Roman"/>
          <w:color w:val="000000"/>
          <w:u w:color="000000"/>
        </w:rPr>
        <w:t xml:space="preserve"> </w:t>
      </w:r>
      <w:r w:rsidR="002C2AD9">
        <w:rPr>
          <w:rStyle w:val="None"/>
          <w:rFonts w:ascii="Times New Roman" w:hAnsi="Times New Roman"/>
          <w:color w:val="000000"/>
          <w:u w:color="000000"/>
        </w:rPr>
        <w:t>Supplementary Tables and Figures</w:t>
      </w:r>
      <w:bookmarkEnd w:id="61"/>
    </w:p>
    <w:p w:rsidR="008532A2" w:rsidRDefault="008532A2" w:rsidP="004F4C26">
      <w:pPr>
        <w:pStyle w:val="Body"/>
        <w:spacing w:before="0" w:after="0" w:line="240" w:lineRule="auto"/>
        <w:jc w:val="both"/>
        <w:rPr>
          <w:rFonts w:cs="Times New Roman"/>
          <w:b/>
          <w:sz w:val="22"/>
        </w:rPr>
      </w:pPr>
    </w:p>
    <w:p w:rsidR="006C39FE" w:rsidRDefault="00EB1E61" w:rsidP="006C39FE">
      <w:pPr>
        <w:pStyle w:val="Caption"/>
        <w:jc w:val="center"/>
        <w:rPr>
          <w:sz w:val="22"/>
          <w:szCs w:val="22"/>
        </w:rPr>
      </w:pPr>
      <w:bookmarkStart w:id="62" w:name="_Toc475430724"/>
      <w:r>
        <w:t xml:space="preserve">Appendix </w:t>
      </w:r>
      <w:r w:rsidR="006C39FE">
        <w:t xml:space="preserve">Table </w:t>
      </w:r>
      <w:r w:rsidR="006C39FE">
        <w:fldChar w:fldCharType="begin"/>
      </w:r>
      <w:r w:rsidR="006C39FE">
        <w:instrText xml:space="preserve"> SEQ Table \* ARABIC </w:instrText>
      </w:r>
      <w:r w:rsidR="006C39FE">
        <w:fldChar w:fldCharType="separate"/>
      </w:r>
      <w:r w:rsidR="006C39FE">
        <w:rPr>
          <w:noProof/>
        </w:rPr>
        <w:t>1</w:t>
      </w:r>
      <w:r w:rsidR="006C39FE">
        <w:fldChar w:fldCharType="end"/>
      </w:r>
      <w:r w:rsidR="006C39FE">
        <w:t xml:space="preserve">: </w:t>
      </w:r>
      <w:r w:rsidR="006C39FE" w:rsidRPr="005C0707">
        <w:t>Teen Parent Units in operation</w:t>
      </w:r>
      <w:bookmarkEnd w:id="62"/>
      <w:r w:rsidR="006C39FE" w:rsidRPr="005C0707">
        <w:t xml:space="preserve"> </w:t>
      </w:r>
    </w:p>
    <w:tbl>
      <w:tblPr>
        <w:tblW w:w="8472" w:type="dxa"/>
        <w:tblCellMar>
          <w:left w:w="0" w:type="dxa"/>
          <w:right w:w="0" w:type="dxa"/>
        </w:tblCellMar>
        <w:tblLook w:val="04A0" w:firstRow="1" w:lastRow="0" w:firstColumn="1" w:lastColumn="0" w:noHBand="0" w:noVBand="1"/>
      </w:tblPr>
      <w:tblGrid>
        <w:gridCol w:w="3936"/>
        <w:gridCol w:w="4536"/>
      </w:tblGrid>
      <w:tr w:rsidR="00D04C7B" w:rsidTr="00D04C7B">
        <w:tc>
          <w:tcPr>
            <w:tcW w:w="39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04C7B" w:rsidRDefault="00D04C7B" w:rsidP="00D04C7B">
            <w:pPr>
              <w:spacing w:before="40" w:after="40" w:line="276" w:lineRule="auto"/>
              <w:rPr>
                <w:rFonts w:eastAsiaTheme="minorHAnsi"/>
                <w:b/>
                <w:bCs/>
                <w:sz w:val="22"/>
                <w:szCs w:val="22"/>
              </w:rPr>
            </w:pPr>
            <w:r>
              <w:rPr>
                <w:b/>
                <w:bCs/>
                <w:sz w:val="22"/>
                <w:szCs w:val="22"/>
              </w:rPr>
              <w:t>Teen Parent Unit Name</w:t>
            </w:r>
          </w:p>
        </w:tc>
        <w:tc>
          <w:tcPr>
            <w:tcW w:w="45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04C7B" w:rsidRDefault="00D04C7B" w:rsidP="00D04C7B">
            <w:pPr>
              <w:spacing w:before="40" w:after="40" w:line="276" w:lineRule="auto"/>
              <w:rPr>
                <w:rFonts w:eastAsiaTheme="minorHAnsi"/>
                <w:b/>
                <w:bCs/>
                <w:sz w:val="22"/>
                <w:szCs w:val="22"/>
              </w:rPr>
            </w:pPr>
            <w:r>
              <w:rPr>
                <w:b/>
                <w:bCs/>
                <w:sz w:val="22"/>
                <w:szCs w:val="22"/>
              </w:rPr>
              <w:t>Governing School</w:t>
            </w:r>
          </w:p>
        </w:tc>
      </w:tr>
      <w:tr w:rsidR="00D04C7B" w:rsidTr="00D04C7B">
        <w:tc>
          <w:tcPr>
            <w:tcW w:w="3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4C7B" w:rsidRDefault="00D04C7B" w:rsidP="00D04C7B">
            <w:pPr>
              <w:spacing w:before="40" w:after="40" w:line="276" w:lineRule="auto"/>
              <w:rPr>
                <w:rFonts w:eastAsiaTheme="minorHAnsi"/>
                <w:sz w:val="22"/>
                <w:szCs w:val="22"/>
              </w:rPr>
            </w:pPr>
            <w:r>
              <w:rPr>
                <w:sz w:val="22"/>
                <w:szCs w:val="22"/>
              </w:rPr>
              <w:t xml:space="preserve">He Mataariki School for Teen Parents </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D04C7B" w:rsidRDefault="00D04C7B" w:rsidP="00D04C7B">
            <w:pPr>
              <w:pStyle w:val="NoSpacing"/>
              <w:spacing w:before="40" w:after="40" w:line="276" w:lineRule="auto"/>
              <w:rPr>
                <w:sz w:val="22"/>
                <w:szCs w:val="22"/>
              </w:rPr>
            </w:pPr>
            <w:r>
              <w:rPr>
                <w:sz w:val="22"/>
                <w:szCs w:val="22"/>
              </w:rPr>
              <w:t>Mangakahia Area School, Whangarei</w:t>
            </w:r>
          </w:p>
        </w:tc>
      </w:tr>
      <w:tr w:rsidR="00D04C7B" w:rsidTr="00D04C7B">
        <w:tc>
          <w:tcPr>
            <w:tcW w:w="3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4C7B" w:rsidRDefault="00D04C7B" w:rsidP="00D04C7B">
            <w:pPr>
              <w:spacing w:before="40" w:after="40" w:line="276" w:lineRule="auto"/>
              <w:rPr>
                <w:rFonts w:eastAsiaTheme="minorHAnsi"/>
                <w:sz w:val="22"/>
                <w:szCs w:val="22"/>
              </w:rPr>
            </w:pPr>
            <w:r>
              <w:rPr>
                <w:sz w:val="22"/>
                <w:szCs w:val="22"/>
              </w:rPr>
              <w:t>Connected Learning Centre</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D04C7B" w:rsidRDefault="00D04C7B" w:rsidP="00D04C7B">
            <w:pPr>
              <w:pStyle w:val="NoSpacing"/>
              <w:spacing w:before="40" w:after="40" w:line="276" w:lineRule="auto"/>
              <w:rPr>
                <w:sz w:val="22"/>
                <w:szCs w:val="22"/>
              </w:rPr>
            </w:pPr>
            <w:r>
              <w:rPr>
                <w:sz w:val="22"/>
                <w:szCs w:val="22"/>
              </w:rPr>
              <w:t xml:space="preserve">Tangaroa College, Auckland </w:t>
            </w:r>
          </w:p>
        </w:tc>
      </w:tr>
      <w:tr w:rsidR="00D04C7B" w:rsidTr="00D04C7B">
        <w:tc>
          <w:tcPr>
            <w:tcW w:w="3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4C7B" w:rsidRDefault="00D04C7B" w:rsidP="00D04C7B">
            <w:pPr>
              <w:spacing w:before="40" w:after="40" w:line="276" w:lineRule="auto"/>
              <w:rPr>
                <w:rFonts w:eastAsiaTheme="minorHAnsi"/>
                <w:sz w:val="22"/>
                <w:szCs w:val="22"/>
              </w:rPr>
            </w:pPr>
            <w:r>
              <w:rPr>
                <w:sz w:val="22"/>
                <w:szCs w:val="22"/>
              </w:rPr>
              <w:t>He Wero o nga Wahine</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D04C7B" w:rsidRDefault="00D04C7B" w:rsidP="00D04C7B">
            <w:pPr>
              <w:pStyle w:val="NoSpacing"/>
              <w:spacing w:before="40" w:after="40" w:line="276" w:lineRule="auto"/>
              <w:rPr>
                <w:sz w:val="22"/>
                <w:szCs w:val="22"/>
              </w:rPr>
            </w:pPr>
            <w:r>
              <w:rPr>
                <w:sz w:val="22"/>
                <w:szCs w:val="22"/>
              </w:rPr>
              <w:t xml:space="preserve">Henderson High School, Auckland </w:t>
            </w:r>
          </w:p>
        </w:tc>
      </w:tr>
      <w:tr w:rsidR="00D04C7B" w:rsidTr="00D04C7B">
        <w:tc>
          <w:tcPr>
            <w:tcW w:w="3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4C7B" w:rsidRDefault="00D04C7B" w:rsidP="00D04C7B">
            <w:pPr>
              <w:spacing w:before="40" w:after="40" w:line="276" w:lineRule="auto"/>
              <w:rPr>
                <w:rFonts w:eastAsiaTheme="minorHAnsi"/>
                <w:sz w:val="22"/>
                <w:szCs w:val="22"/>
              </w:rPr>
            </w:pPr>
            <w:r>
              <w:rPr>
                <w:sz w:val="22"/>
                <w:szCs w:val="22"/>
              </w:rPr>
              <w:t>Eden Campus</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D04C7B" w:rsidRDefault="00D04C7B" w:rsidP="00D04C7B">
            <w:pPr>
              <w:pStyle w:val="NoSpacing"/>
              <w:spacing w:before="40" w:after="40" w:line="276" w:lineRule="auto"/>
              <w:rPr>
                <w:sz w:val="22"/>
                <w:szCs w:val="22"/>
              </w:rPr>
            </w:pPr>
            <w:r>
              <w:rPr>
                <w:sz w:val="22"/>
                <w:szCs w:val="22"/>
              </w:rPr>
              <w:t xml:space="preserve">Auckland Girls’ Grammar, Auckland </w:t>
            </w:r>
          </w:p>
        </w:tc>
      </w:tr>
      <w:tr w:rsidR="00D04C7B" w:rsidTr="00D04C7B">
        <w:tc>
          <w:tcPr>
            <w:tcW w:w="3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4C7B" w:rsidRDefault="00253EF9" w:rsidP="00D04C7B">
            <w:pPr>
              <w:spacing w:before="40" w:after="40" w:line="276" w:lineRule="auto"/>
              <w:rPr>
                <w:rFonts w:eastAsiaTheme="minorHAnsi"/>
                <w:sz w:val="22"/>
                <w:szCs w:val="22"/>
              </w:rPr>
            </w:pPr>
            <w:r>
              <w:rPr>
                <w:sz w:val="22"/>
                <w:szCs w:val="22"/>
              </w:rPr>
              <w:t>Taonga Education Centre</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D04C7B" w:rsidRDefault="00D04C7B" w:rsidP="00D04C7B">
            <w:pPr>
              <w:pStyle w:val="NoSpacing"/>
              <w:spacing w:before="40" w:after="40" w:line="276" w:lineRule="auto"/>
              <w:rPr>
                <w:sz w:val="22"/>
                <w:szCs w:val="22"/>
              </w:rPr>
            </w:pPr>
            <w:r>
              <w:rPr>
                <w:sz w:val="22"/>
                <w:szCs w:val="22"/>
              </w:rPr>
              <w:t xml:space="preserve">James Cook High School, Auckland </w:t>
            </w:r>
          </w:p>
        </w:tc>
      </w:tr>
      <w:tr w:rsidR="00D04C7B" w:rsidRPr="00153999" w:rsidTr="00D04C7B">
        <w:tc>
          <w:tcPr>
            <w:tcW w:w="3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4C7B" w:rsidRDefault="00D04C7B" w:rsidP="00D04C7B">
            <w:pPr>
              <w:spacing w:before="40" w:after="40" w:line="276" w:lineRule="auto"/>
              <w:rPr>
                <w:rFonts w:eastAsiaTheme="minorHAnsi"/>
                <w:sz w:val="22"/>
                <w:szCs w:val="22"/>
              </w:rPr>
            </w:pPr>
            <w:r w:rsidRPr="00153999">
              <w:rPr>
                <w:sz w:val="22"/>
                <w:szCs w:val="22"/>
              </w:rPr>
              <w:t>He Puawai Teen Parent Unit</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D04C7B" w:rsidRPr="00153999" w:rsidRDefault="00D04C7B" w:rsidP="00D04C7B">
            <w:pPr>
              <w:pStyle w:val="NoSpacing"/>
              <w:spacing w:before="40" w:after="40" w:line="276" w:lineRule="auto"/>
              <w:rPr>
                <w:sz w:val="22"/>
                <w:szCs w:val="22"/>
              </w:rPr>
            </w:pPr>
            <w:r>
              <w:rPr>
                <w:sz w:val="22"/>
                <w:szCs w:val="22"/>
              </w:rPr>
              <w:t xml:space="preserve">Fraser High School, </w:t>
            </w:r>
            <w:r w:rsidRPr="00153999">
              <w:rPr>
                <w:sz w:val="22"/>
                <w:szCs w:val="22"/>
              </w:rPr>
              <w:t>Hamilton</w:t>
            </w:r>
          </w:p>
        </w:tc>
      </w:tr>
      <w:tr w:rsidR="00D04C7B" w:rsidTr="00D04C7B">
        <w:tc>
          <w:tcPr>
            <w:tcW w:w="3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4C7B" w:rsidRDefault="00D04C7B" w:rsidP="00D04C7B">
            <w:pPr>
              <w:spacing w:before="40" w:after="40" w:line="276" w:lineRule="auto"/>
              <w:rPr>
                <w:rFonts w:eastAsiaTheme="minorHAnsi"/>
                <w:sz w:val="22"/>
                <w:szCs w:val="22"/>
              </w:rPr>
            </w:pPr>
            <w:r>
              <w:rPr>
                <w:sz w:val="22"/>
                <w:szCs w:val="22"/>
              </w:rPr>
              <w:t xml:space="preserve">Pa Harakeke </w:t>
            </w:r>
            <w:r w:rsidRPr="00153999">
              <w:rPr>
                <w:sz w:val="22"/>
                <w:szCs w:val="22"/>
              </w:rPr>
              <w:t>Continuing Education Centre</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D04C7B" w:rsidRDefault="00D04C7B" w:rsidP="00D04C7B">
            <w:pPr>
              <w:spacing w:before="40" w:after="40" w:line="276" w:lineRule="auto"/>
              <w:rPr>
                <w:rFonts w:eastAsiaTheme="minorHAnsi"/>
                <w:sz w:val="22"/>
                <w:szCs w:val="22"/>
              </w:rPr>
            </w:pPr>
            <w:r>
              <w:rPr>
                <w:sz w:val="22"/>
                <w:szCs w:val="22"/>
              </w:rPr>
              <w:t>Tokoroa High School, Tokoroa</w:t>
            </w:r>
          </w:p>
        </w:tc>
      </w:tr>
      <w:tr w:rsidR="00D04C7B" w:rsidTr="00D04C7B">
        <w:tc>
          <w:tcPr>
            <w:tcW w:w="3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4C7B" w:rsidRDefault="00D04C7B" w:rsidP="00D04C7B">
            <w:pPr>
              <w:spacing w:before="40" w:after="40" w:line="276" w:lineRule="auto"/>
              <w:rPr>
                <w:rFonts w:eastAsiaTheme="minorHAnsi"/>
                <w:sz w:val="22"/>
                <w:szCs w:val="22"/>
              </w:rPr>
            </w:pPr>
            <w:r>
              <w:rPr>
                <w:sz w:val="22"/>
                <w:szCs w:val="22"/>
              </w:rPr>
              <w:t>Rotorua School for Young Parents</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D04C7B" w:rsidRDefault="00D04C7B" w:rsidP="00D04C7B">
            <w:pPr>
              <w:spacing w:before="40" w:after="40" w:line="276" w:lineRule="auto"/>
              <w:rPr>
                <w:rFonts w:eastAsiaTheme="minorHAnsi"/>
                <w:sz w:val="22"/>
                <w:szCs w:val="22"/>
              </w:rPr>
            </w:pPr>
            <w:r>
              <w:rPr>
                <w:sz w:val="22"/>
                <w:szCs w:val="22"/>
              </w:rPr>
              <w:t>Rotorua Girls' High School, Rotorua</w:t>
            </w:r>
          </w:p>
        </w:tc>
      </w:tr>
      <w:tr w:rsidR="00D04C7B" w:rsidTr="00D04C7B">
        <w:tc>
          <w:tcPr>
            <w:tcW w:w="3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4C7B" w:rsidRDefault="00D04C7B" w:rsidP="00D04C7B">
            <w:pPr>
              <w:spacing w:before="40" w:after="40" w:line="276" w:lineRule="auto"/>
              <w:rPr>
                <w:rFonts w:eastAsiaTheme="minorHAnsi"/>
                <w:sz w:val="22"/>
                <w:szCs w:val="22"/>
              </w:rPr>
            </w:pPr>
            <w:r>
              <w:rPr>
                <w:sz w:val="22"/>
                <w:szCs w:val="22"/>
              </w:rPr>
              <w:t>Te Whakatipuranga</w:t>
            </w:r>
            <w:r w:rsidR="00253EF9">
              <w:rPr>
                <w:sz w:val="22"/>
                <w:szCs w:val="22"/>
              </w:rPr>
              <w:t xml:space="preserve"> School for Young Parents</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D04C7B" w:rsidRDefault="00D04C7B" w:rsidP="00DA7BA9">
            <w:pPr>
              <w:spacing w:before="40" w:after="40" w:line="276" w:lineRule="auto"/>
              <w:rPr>
                <w:rFonts w:eastAsiaTheme="minorHAnsi"/>
                <w:sz w:val="22"/>
                <w:szCs w:val="22"/>
              </w:rPr>
            </w:pPr>
            <w:r>
              <w:rPr>
                <w:sz w:val="22"/>
                <w:szCs w:val="22"/>
              </w:rPr>
              <w:t xml:space="preserve">Otumoetai </w:t>
            </w:r>
            <w:r w:rsidRPr="00D04C7B">
              <w:rPr>
                <w:sz w:val="22"/>
                <w:szCs w:val="22"/>
              </w:rPr>
              <w:t xml:space="preserve">College, Tauranga </w:t>
            </w:r>
          </w:p>
        </w:tc>
      </w:tr>
      <w:tr w:rsidR="00D04C7B" w:rsidTr="00D04C7B">
        <w:tc>
          <w:tcPr>
            <w:tcW w:w="3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4C7B" w:rsidRDefault="00D04C7B" w:rsidP="00D04C7B">
            <w:pPr>
              <w:spacing w:before="40" w:after="40" w:line="276" w:lineRule="auto"/>
              <w:rPr>
                <w:rFonts w:eastAsiaTheme="minorHAnsi"/>
                <w:sz w:val="22"/>
                <w:szCs w:val="22"/>
              </w:rPr>
            </w:pPr>
            <w:r>
              <w:rPr>
                <w:sz w:val="22"/>
                <w:szCs w:val="22"/>
              </w:rPr>
              <w:t>Te Tari Ako Matua Taiohi Teen Parent Education Centre</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D04C7B" w:rsidRDefault="00D04C7B" w:rsidP="00D04C7B">
            <w:pPr>
              <w:spacing w:before="40" w:after="40" w:line="276" w:lineRule="auto"/>
              <w:rPr>
                <w:rFonts w:eastAsiaTheme="minorHAnsi"/>
                <w:sz w:val="22"/>
                <w:szCs w:val="22"/>
              </w:rPr>
            </w:pPr>
            <w:r>
              <w:rPr>
                <w:sz w:val="22"/>
                <w:szCs w:val="22"/>
              </w:rPr>
              <w:t>Tarawera High School, Kawerau</w:t>
            </w:r>
          </w:p>
        </w:tc>
      </w:tr>
      <w:tr w:rsidR="00D04C7B" w:rsidTr="00D04C7B">
        <w:tc>
          <w:tcPr>
            <w:tcW w:w="3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4C7B" w:rsidRDefault="00D04C7B" w:rsidP="00D04C7B">
            <w:pPr>
              <w:spacing w:before="40" w:after="40" w:line="276" w:lineRule="auto"/>
              <w:rPr>
                <w:rFonts w:eastAsiaTheme="minorHAnsi"/>
                <w:sz w:val="22"/>
                <w:szCs w:val="22"/>
              </w:rPr>
            </w:pPr>
            <w:r>
              <w:rPr>
                <w:sz w:val="22"/>
                <w:szCs w:val="22"/>
              </w:rPr>
              <w:t>Hawke's Bay School for Teenage Parents</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D04C7B" w:rsidRDefault="00D04C7B" w:rsidP="00D04C7B">
            <w:pPr>
              <w:spacing w:before="40" w:after="40" w:line="276" w:lineRule="auto"/>
              <w:rPr>
                <w:rFonts w:eastAsiaTheme="minorHAnsi"/>
                <w:sz w:val="22"/>
                <w:szCs w:val="22"/>
              </w:rPr>
            </w:pPr>
            <w:r>
              <w:rPr>
                <w:sz w:val="22"/>
                <w:szCs w:val="22"/>
              </w:rPr>
              <w:t>William Colenso College, Napier</w:t>
            </w:r>
          </w:p>
        </w:tc>
      </w:tr>
      <w:tr w:rsidR="00D04C7B" w:rsidTr="00D04C7B">
        <w:tc>
          <w:tcPr>
            <w:tcW w:w="3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4C7B" w:rsidRDefault="00D04C7B" w:rsidP="00D04C7B">
            <w:pPr>
              <w:spacing w:before="40" w:after="40" w:line="276" w:lineRule="auto"/>
              <w:rPr>
                <w:rFonts w:eastAsiaTheme="minorHAnsi"/>
                <w:sz w:val="22"/>
                <w:szCs w:val="22"/>
              </w:rPr>
            </w:pPr>
            <w:r>
              <w:rPr>
                <w:sz w:val="22"/>
                <w:szCs w:val="22"/>
              </w:rPr>
              <w:t>Te Whare Whai Hua Teenage Parent</w:t>
            </w:r>
            <w:r w:rsidR="00253EF9">
              <w:rPr>
                <w:sz w:val="22"/>
                <w:szCs w:val="22"/>
              </w:rPr>
              <w:t>s</w:t>
            </w:r>
            <w:r>
              <w:rPr>
                <w:sz w:val="22"/>
                <w:szCs w:val="22"/>
              </w:rPr>
              <w:t xml:space="preserve"> Centre</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D04C7B" w:rsidRDefault="00D04C7B" w:rsidP="00D04C7B">
            <w:pPr>
              <w:spacing w:before="40" w:after="40" w:line="276" w:lineRule="auto"/>
              <w:rPr>
                <w:rFonts w:eastAsiaTheme="minorHAnsi"/>
                <w:sz w:val="22"/>
                <w:szCs w:val="22"/>
              </w:rPr>
            </w:pPr>
            <w:r>
              <w:rPr>
                <w:sz w:val="22"/>
                <w:szCs w:val="22"/>
              </w:rPr>
              <w:t xml:space="preserve">Lytton High School, Gisborne </w:t>
            </w:r>
          </w:p>
        </w:tc>
      </w:tr>
      <w:tr w:rsidR="00D04C7B" w:rsidTr="00D04C7B">
        <w:tc>
          <w:tcPr>
            <w:tcW w:w="3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4C7B" w:rsidRDefault="00D04C7B" w:rsidP="00D04C7B">
            <w:pPr>
              <w:spacing w:before="40" w:after="40" w:line="276" w:lineRule="auto"/>
              <w:rPr>
                <w:rFonts w:eastAsiaTheme="minorHAnsi"/>
                <w:sz w:val="22"/>
                <w:szCs w:val="22"/>
              </w:rPr>
            </w:pPr>
            <w:r w:rsidRPr="00153999">
              <w:rPr>
                <w:sz w:val="22"/>
                <w:szCs w:val="22"/>
              </w:rPr>
              <w:t>Te Tipu Whenua o Pa Harakeke</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D04C7B" w:rsidRDefault="00D04C7B" w:rsidP="00D04C7B">
            <w:pPr>
              <w:spacing w:before="40" w:after="40" w:line="276" w:lineRule="auto"/>
              <w:rPr>
                <w:rFonts w:eastAsiaTheme="minorHAnsi"/>
                <w:sz w:val="22"/>
                <w:szCs w:val="22"/>
              </w:rPr>
            </w:pPr>
            <w:r>
              <w:rPr>
                <w:sz w:val="22"/>
                <w:szCs w:val="22"/>
              </w:rPr>
              <w:t>Flaxmere College, Flaxmere, Hastings</w:t>
            </w:r>
          </w:p>
        </w:tc>
      </w:tr>
      <w:tr w:rsidR="00D04C7B" w:rsidTr="00D04C7B">
        <w:tc>
          <w:tcPr>
            <w:tcW w:w="3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4C7B" w:rsidRDefault="00D04C7B" w:rsidP="00D04C7B">
            <w:pPr>
              <w:spacing w:before="40" w:after="40" w:line="276" w:lineRule="auto"/>
              <w:rPr>
                <w:rFonts w:eastAsiaTheme="minorHAnsi"/>
                <w:sz w:val="22"/>
                <w:szCs w:val="22"/>
              </w:rPr>
            </w:pPr>
            <w:r>
              <w:rPr>
                <w:sz w:val="22"/>
                <w:szCs w:val="22"/>
              </w:rPr>
              <w:t>Whaimana Ako Teen Parent Unit</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D04C7B" w:rsidRDefault="00D04C7B" w:rsidP="00D04C7B">
            <w:pPr>
              <w:spacing w:before="40" w:after="40" w:line="276" w:lineRule="auto"/>
              <w:rPr>
                <w:rFonts w:eastAsiaTheme="minorHAnsi"/>
                <w:sz w:val="22"/>
                <w:szCs w:val="22"/>
              </w:rPr>
            </w:pPr>
            <w:r>
              <w:rPr>
                <w:sz w:val="22"/>
                <w:szCs w:val="22"/>
              </w:rPr>
              <w:t>Stratford High School, Stratford</w:t>
            </w:r>
          </w:p>
        </w:tc>
      </w:tr>
      <w:tr w:rsidR="00D04C7B" w:rsidTr="00D04C7B">
        <w:tc>
          <w:tcPr>
            <w:tcW w:w="3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4C7B" w:rsidRDefault="00D04C7B" w:rsidP="00D04C7B">
            <w:pPr>
              <w:spacing w:before="40" w:after="40" w:line="276" w:lineRule="auto"/>
              <w:rPr>
                <w:rFonts w:eastAsiaTheme="minorHAnsi"/>
                <w:sz w:val="22"/>
                <w:szCs w:val="22"/>
              </w:rPr>
            </w:pPr>
            <w:r>
              <w:rPr>
                <w:sz w:val="22"/>
                <w:szCs w:val="22"/>
              </w:rPr>
              <w:t>Whakatipuria Teen Parent Unit</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D04C7B" w:rsidRDefault="00D04C7B" w:rsidP="00D04C7B">
            <w:pPr>
              <w:spacing w:before="40" w:after="40" w:line="276" w:lineRule="auto"/>
              <w:rPr>
                <w:rFonts w:eastAsiaTheme="minorHAnsi"/>
                <w:sz w:val="22"/>
                <w:szCs w:val="22"/>
              </w:rPr>
            </w:pPr>
            <w:r>
              <w:rPr>
                <w:sz w:val="22"/>
                <w:szCs w:val="22"/>
              </w:rPr>
              <w:t>Freyberg High School, Palmerston North</w:t>
            </w:r>
          </w:p>
        </w:tc>
      </w:tr>
      <w:tr w:rsidR="00D04C7B" w:rsidTr="00D04C7B">
        <w:tc>
          <w:tcPr>
            <w:tcW w:w="3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4C7B" w:rsidRDefault="00D04C7B" w:rsidP="00D04C7B">
            <w:pPr>
              <w:spacing w:before="40" w:after="40" w:line="276" w:lineRule="auto"/>
              <w:rPr>
                <w:rFonts w:eastAsiaTheme="minorHAnsi"/>
                <w:sz w:val="22"/>
                <w:szCs w:val="22"/>
              </w:rPr>
            </w:pPr>
            <w:r>
              <w:rPr>
                <w:sz w:val="22"/>
                <w:szCs w:val="22"/>
              </w:rPr>
              <w:t>He Whare Poipoia</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D04C7B" w:rsidRDefault="00D04C7B" w:rsidP="00D04C7B">
            <w:pPr>
              <w:spacing w:before="40" w:after="40" w:line="276" w:lineRule="auto"/>
              <w:rPr>
                <w:rFonts w:eastAsiaTheme="minorHAnsi"/>
                <w:sz w:val="22"/>
                <w:szCs w:val="22"/>
              </w:rPr>
            </w:pPr>
            <w:r>
              <w:rPr>
                <w:sz w:val="22"/>
                <w:szCs w:val="22"/>
              </w:rPr>
              <w:t>Waiopehu College, Levin</w:t>
            </w:r>
          </w:p>
        </w:tc>
      </w:tr>
      <w:tr w:rsidR="00D04C7B" w:rsidTr="00D04C7B">
        <w:tc>
          <w:tcPr>
            <w:tcW w:w="3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4C7B" w:rsidRDefault="00D04C7B" w:rsidP="00D04C7B">
            <w:pPr>
              <w:spacing w:before="40" w:after="40" w:line="276" w:lineRule="auto"/>
              <w:rPr>
                <w:rFonts w:eastAsiaTheme="minorHAnsi"/>
                <w:sz w:val="22"/>
                <w:szCs w:val="22"/>
              </w:rPr>
            </w:pPr>
            <w:r>
              <w:rPr>
                <w:sz w:val="22"/>
                <w:szCs w:val="22"/>
              </w:rPr>
              <w:t>Titiro Whakamua</w:t>
            </w:r>
            <w:r w:rsidR="00253EF9">
              <w:rPr>
                <w:sz w:val="22"/>
                <w:szCs w:val="22"/>
              </w:rPr>
              <w:t xml:space="preserve"> Teen Parent Programme</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D04C7B" w:rsidRDefault="00D04C7B" w:rsidP="00D04C7B">
            <w:pPr>
              <w:spacing w:before="40" w:after="40" w:line="276" w:lineRule="auto"/>
              <w:rPr>
                <w:rFonts w:eastAsiaTheme="minorHAnsi"/>
                <w:sz w:val="22"/>
                <w:szCs w:val="22"/>
              </w:rPr>
            </w:pPr>
            <w:r>
              <w:rPr>
                <w:sz w:val="22"/>
                <w:szCs w:val="22"/>
              </w:rPr>
              <w:t xml:space="preserve">Heretaunga College, Upper Hutt </w:t>
            </w:r>
          </w:p>
        </w:tc>
      </w:tr>
      <w:tr w:rsidR="00D04C7B" w:rsidTr="00D04C7B">
        <w:tc>
          <w:tcPr>
            <w:tcW w:w="3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4C7B" w:rsidRDefault="00D04C7B" w:rsidP="00D04C7B">
            <w:pPr>
              <w:spacing w:before="40" w:after="40" w:line="276" w:lineRule="auto"/>
              <w:rPr>
                <w:rFonts w:eastAsiaTheme="minorHAnsi"/>
                <w:sz w:val="22"/>
                <w:szCs w:val="22"/>
              </w:rPr>
            </w:pPr>
            <w:r>
              <w:rPr>
                <w:sz w:val="22"/>
                <w:szCs w:val="22"/>
              </w:rPr>
              <w:t>He Huarahi Tamariki</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D04C7B" w:rsidRDefault="00D04C7B" w:rsidP="00DA7BA9">
            <w:pPr>
              <w:spacing w:before="40" w:after="40" w:line="276" w:lineRule="auto"/>
              <w:rPr>
                <w:rFonts w:eastAsiaTheme="minorHAnsi"/>
                <w:sz w:val="22"/>
                <w:szCs w:val="22"/>
              </w:rPr>
            </w:pPr>
            <w:r>
              <w:rPr>
                <w:sz w:val="22"/>
                <w:szCs w:val="22"/>
              </w:rPr>
              <w:t>Wellington E</w:t>
            </w:r>
            <w:r w:rsidR="00DA7BA9">
              <w:rPr>
                <w:sz w:val="22"/>
                <w:szCs w:val="22"/>
              </w:rPr>
              <w:t>ast Girls' College, Wellington</w:t>
            </w:r>
          </w:p>
        </w:tc>
      </w:tr>
      <w:tr w:rsidR="00D04C7B" w:rsidTr="00D04C7B">
        <w:tc>
          <w:tcPr>
            <w:tcW w:w="3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4C7B" w:rsidRDefault="00D04C7B" w:rsidP="00D04C7B">
            <w:pPr>
              <w:spacing w:before="40" w:after="40" w:line="276" w:lineRule="auto"/>
              <w:rPr>
                <w:rFonts w:eastAsiaTheme="minorHAnsi"/>
                <w:sz w:val="22"/>
                <w:szCs w:val="22"/>
              </w:rPr>
            </w:pPr>
            <w:r>
              <w:rPr>
                <w:sz w:val="22"/>
                <w:szCs w:val="22"/>
              </w:rPr>
              <w:t>Wairarapa Teen Parent Unit</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D04C7B" w:rsidRDefault="00D04C7B" w:rsidP="00D04C7B">
            <w:pPr>
              <w:spacing w:before="40" w:after="40" w:line="276" w:lineRule="auto"/>
              <w:rPr>
                <w:rFonts w:eastAsiaTheme="minorHAnsi"/>
                <w:sz w:val="22"/>
                <w:szCs w:val="22"/>
              </w:rPr>
            </w:pPr>
            <w:r>
              <w:rPr>
                <w:sz w:val="22"/>
                <w:szCs w:val="22"/>
              </w:rPr>
              <w:t xml:space="preserve">Makoura College, Masterton </w:t>
            </w:r>
          </w:p>
        </w:tc>
      </w:tr>
      <w:tr w:rsidR="00D04C7B" w:rsidTr="00D04C7B">
        <w:tc>
          <w:tcPr>
            <w:tcW w:w="3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4C7B" w:rsidRDefault="00D04C7B" w:rsidP="00D04C7B">
            <w:pPr>
              <w:spacing w:before="120" w:after="120" w:line="276" w:lineRule="auto"/>
              <w:rPr>
                <w:rFonts w:eastAsiaTheme="minorHAnsi"/>
                <w:b/>
                <w:bCs/>
                <w:sz w:val="22"/>
                <w:szCs w:val="22"/>
              </w:rPr>
            </w:pPr>
            <w:r>
              <w:rPr>
                <w:sz w:val="22"/>
                <w:szCs w:val="22"/>
              </w:rPr>
              <w:t xml:space="preserve">Nelson </w:t>
            </w:r>
            <w:r w:rsidRPr="00153999">
              <w:rPr>
                <w:sz w:val="22"/>
                <w:szCs w:val="22"/>
              </w:rPr>
              <w:t>Young Parents’ School</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D04C7B" w:rsidRDefault="00D04C7B" w:rsidP="00DA7BA9">
            <w:pPr>
              <w:spacing w:before="120" w:after="120" w:line="276" w:lineRule="auto"/>
              <w:rPr>
                <w:rFonts w:eastAsiaTheme="minorHAnsi"/>
                <w:sz w:val="22"/>
                <w:szCs w:val="22"/>
              </w:rPr>
            </w:pPr>
            <w:r>
              <w:rPr>
                <w:sz w:val="22"/>
                <w:szCs w:val="22"/>
              </w:rPr>
              <w:t xml:space="preserve">Nelson College for Girls, Nelson </w:t>
            </w:r>
          </w:p>
        </w:tc>
      </w:tr>
      <w:tr w:rsidR="00D04C7B" w:rsidTr="00D04C7B">
        <w:tc>
          <w:tcPr>
            <w:tcW w:w="3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4C7B" w:rsidRDefault="00D04C7B" w:rsidP="00D04C7B">
            <w:pPr>
              <w:spacing w:before="40" w:after="40" w:line="276" w:lineRule="auto"/>
              <w:rPr>
                <w:rFonts w:eastAsiaTheme="minorHAnsi"/>
                <w:sz w:val="22"/>
                <w:szCs w:val="22"/>
              </w:rPr>
            </w:pPr>
            <w:r>
              <w:rPr>
                <w:sz w:val="22"/>
                <w:szCs w:val="22"/>
              </w:rPr>
              <w:t>Karanga Mai Young Parents College</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D04C7B" w:rsidRDefault="00D04C7B" w:rsidP="00D04C7B">
            <w:pPr>
              <w:spacing w:before="40" w:after="40" w:line="276" w:lineRule="auto"/>
              <w:rPr>
                <w:rFonts w:eastAsiaTheme="minorHAnsi"/>
                <w:sz w:val="22"/>
                <w:szCs w:val="22"/>
              </w:rPr>
            </w:pPr>
            <w:r>
              <w:rPr>
                <w:sz w:val="22"/>
                <w:szCs w:val="22"/>
              </w:rPr>
              <w:t xml:space="preserve">Kaiapoi High School, Kaiapoi </w:t>
            </w:r>
          </w:p>
        </w:tc>
      </w:tr>
      <w:tr w:rsidR="00D04C7B" w:rsidTr="00D04C7B">
        <w:tc>
          <w:tcPr>
            <w:tcW w:w="3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4C7B" w:rsidRDefault="00D04C7B" w:rsidP="00D04C7B">
            <w:pPr>
              <w:spacing w:before="40" w:after="40" w:line="276" w:lineRule="auto"/>
              <w:rPr>
                <w:rFonts w:eastAsiaTheme="minorHAnsi"/>
                <w:sz w:val="22"/>
                <w:szCs w:val="22"/>
              </w:rPr>
            </w:pPr>
            <w:r>
              <w:rPr>
                <w:sz w:val="22"/>
                <w:szCs w:val="22"/>
              </w:rPr>
              <w:t>Kimihia Parents’ College</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D04C7B" w:rsidRDefault="00D04C7B" w:rsidP="00D04C7B">
            <w:pPr>
              <w:spacing w:before="40" w:after="40" w:line="276" w:lineRule="auto"/>
              <w:rPr>
                <w:rFonts w:eastAsiaTheme="minorHAnsi"/>
                <w:sz w:val="22"/>
                <w:szCs w:val="22"/>
              </w:rPr>
            </w:pPr>
            <w:r>
              <w:rPr>
                <w:sz w:val="22"/>
                <w:szCs w:val="22"/>
              </w:rPr>
              <w:t xml:space="preserve">Linwood College, Christchurch </w:t>
            </w:r>
          </w:p>
        </w:tc>
      </w:tr>
      <w:tr w:rsidR="00D04C7B" w:rsidTr="00D04C7B">
        <w:tc>
          <w:tcPr>
            <w:tcW w:w="3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4C7B" w:rsidRDefault="00D04C7B" w:rsidP="00D04C7B">
            <w:pPr>
              <w:spacing w:before="40" w:after="40" w:line="276" w:lineRule="auto"/>
              <w:rPr>
                <w:rFonts w:eastAsiaTheme="minorHAnsi"/>
                <w:sz w:val="22"/>
                <w:szCs w:val="22"/>
              </w:rPr>
            </w:pPr>
            <w:r>
              <w:rPr>
                <w:sz w:val="22"/>
                <w:szCs w:val="22"/>
              </w:rPr>
              <w:t>Murihiku Young Parents’ Learning Centre</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D04C7B" w:rsidRDefault="00D04C7B" w:rsidP="00D04C7B">
            <w:pPr>
              <w:spacing w:before="40" w:after="40" w:line="276" w:lineRule="auto"/>
              <w:rPr>
                <w:rFonts w:eastAsiaTheme="minorHAnsi"/>
                <w:sz w:val="22"/>
                <w:szCs w:val="22"/>
              </w:rPr>
            </w:pPr>
            <w:r>
              <w:rPr>
                <w:sz w:val="22"/>
                <w:szCs w:val="22"/>
              </w:rPr>
              <w:t xml:space="preserve">James Hargest College, Invercargill </w:t>
            </w:r>
          </w:p>
        </w:tc>
      </w:tr>
    </w:tbl>
    <w:p w:rsidR="007D59CA" w:rsidRPr="00253EF9" w:rsidRDefault="00DA7BA9" w:rsidP="00DA7BA9">
      <w:pPr>
        <w:pStyle w:val="Caption"/>
        <w:rPr>
          <w:b w:val="0"/>
          <w:sz w:val="20"/>
          <w:szCs w:val="20"/>
        </w:rPr>
      </w:pPr>
      <w:r w:rsidRPr="00DA7BA9">
        <w:rPr>
          <w:b w:val="0"/>
          <w:i/>
          <w:sz w:val="20"/>
          <w:szCs w:val="20"/>
        </w:rPr>
        <w:t>Source:</w:t>
      </w:r>
      <w:r w:rsidR="00253EF9">
        <w:rPr>
          <w:b w:val="0"/>
          <w:i/>
          <w:sz w:val="20"/>
          <w:szCs w:val="20"/>
        </w:rPr>
        <w:t xml:space="preserve"> </w:t>
      </w:r>
      <w:hyperlink r:id="rId11" w:history="1">
        <w:r w:rsidR="00253EF9" w:rsidRPr="00253EF9">
          <w:rPr>
            <w:rStyle w:val="Hyperlink"/>
            <w:b w:val="0"/>
            <w:sz w:val="20"/>
            <w:szCs w:val="20"/>
          </w:rPr>
          <w:t>http://teenparentschools.org.nz/our-schools/</w:t>
        </w:r>
      </w:hyperlink>
    </w:p>
    <w:p w:rsidR="007D59CA" w:rsidRDefault="007D59CA" w:rsidP="007D59CA">
      <w:pPr>
        <w:pStyle w:val="Caption"/>
        <w:jc w:val="center"/>
      </w:pPr>
    </w:p>
    <w:p w:rsidR="00DA7BA9" w:rsidRDefault="00DA7BA9">
      <w:pPr>
        <w:rPr>
          <w:rFonts w:cs="Arial Unicode MS"/>
          <w:b/>
          <w:bCs/>
          <w:color w:val="000000"/>
          <w:sz w:val="22"/>
          <w:szCs w:val="22"/>
          <w:u w:color="000000"/>
          <w:lang w:eastAsia="en-SG"/>
        </w:rPr>
      </w:pPr>
      <w:bookmarkStart w:id="63" w:name="_Toc474320091"/>
      <w:r>
        <w:rPr>
          <w:sz w:val="22"/>
          <w:szCs w:val="22"/>
        </w:rPr>
        <w:br w:type="page"/>
      </w:r>
    </w:p>
    <w:p w:rsidR="007D59CA" w:rsidRPr="003A6EE8" w:rsidRDefault="003A6EE8" w:rsidP="003A6EE8">
      <w:pPr>
        <w:pStyle w:val="Caption"/>
        <w:jc w:val="center"/>
        <w:rPr>
          <w:sz w:val="22"/>
          <w:szCs w:val="22"/>
        </w:rPr>
      </w:pPr>
      <w:r w:rsidRPr="003A6EE8">
        <w:rPr>
          <w:sz w:val="22"/>
          <w:szCs w:val="22"/>
        </w:rPr>
        <w:t xml:space="preserve">Appendix Figure </w:t>
      </w:r>
      <w:r w:rsidRPr="003A6EE8">
        <w:rPr>
          <w:sz w:val="22"/>
          <w:szCs w:val="22"/>
        </w:rPr>
        <w:fldChar w:fldCharType="begin"/>
      </w:r>
      <w:r w:rsidRPr="003A6EE8">
        <w:rPr>
          <w:sz w:val="22"/>
          <w:szCs w:val="22"/>
        </w:rPr>
        <w:instrText xml:space="preserve"> SEQ Figure \* ARABIC </w:instrText>
      </w:r>
      <w:r w:rsidRPr="003A6EE8">
        <w:rPr>
          <w:sz w:val="22"/>
          <w:szCs w:val="22"/>
        </w:rPr>
        <w:fldChar w:fldCharType="separate"/>
      </w:r>
      <w:r w:rsidRPr="003A6EE8">
        <w:rPr>
          <w:noProof/>
          <w:sz w:val="22"/>
          <w:szCs w:val="22"/>
        </w:rPr>
        <w:t>1</w:t>
      </w:r>
      <w:r w:rsidRPr="003A6EE8">
        <w:rPr>
          <w:sz w:val="22"/>
          <w:szCs w:val="22"/>
        </w:rPr>
        <w:fldChar w:fldCharType="end"/>
      </w:r>
      <w:r w:rsidRPr="003A6EE8">
        <w:rPr>
          <w:sz w:val="22"/>
          <w:szCs w:val="22"/>
        </w:rPr>
        <w:t xml:space="preserve">: </w:t>
      </w:r>
      <w:r w:rsidR="003E4D42" w:rsidRPr="00C508A3">
        <w:rPr>
          <w:sz w:val="22"/>
          <w:szCs w:val="22"/>
        </w:rPr>
        <w:t>Historical teen fertility rates in New Zealand</w:t>
      </w:r>
      <w:bookmarkEnd w:id="63"/>
    </w:p>
    <w:p w:rsidR="00DB731F" w:rsidRDefault="00DB731F" w:rsidP="003E4D42">
      <w:r>
        <w:rPr>
          <w:noProof/>
          <w:lang w:val="en-NZ" w:eastAsia="en-NZ"/>
        </w:rPr>
        <w:drawing>
          <wp:inline distT="0" distB="0" distL="0" distR="0" wp14:anchorId="5CBAE1AF" wp14:editId="0870D942">
            <wp:extent cx="6330043" cy="2857500"/>
            <wp:effectExtent l="0" t="0" r="0" b="0"/>
            <wp:docPr id="1073741825"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B731F" w:rsidRDefault="00DB731F" w:rsidP="00DB731F">
      <w:pPr>
        <w:pStyle w:val="Body"/>
        <w:spacing w:after="0" w:line="240" w:lineRule="auto"/>
        <w:jc w:val="both"/>
        <w:rPr>
          <w:rStyle w:val="None"/>
          <w:sz w:val="20"/>
          <w:szCs w:val="20"/>
          <w:lang w:val="en-US"/>
        </w:rPr>
      </w:pPr>
      <w:r>
        <w:rPr>
          <w:rStyle w:val="None"/>
          <w:i/>
          <w:iCs/>
          <w:sz w:val="20"/>
          <w:szCs w:val="20"/>
          <w:lang w:val="fr-FR"/>
        </w:rPr>
        <w:t>Source</w:t>
      </w:r>
      <w:r>
        <w:rPr>
          <w:rStyle w:val="None"/>
          <w:sz w:val="20"/>
          <w:szCs w:val="20"/>
          <w:lang w:val="en-US"/>
        </w:rPr>
        <w:t>: Statistics New Zealand. Notes: Live births per 1,000 mean estimated female population in each age group.</w:t>
      </w:r>
    </w:p>
    <w:p w:rsidR="00BA21D9" w:rsidRDefault="00BA21D9">
      <w:pPr>
        <w:rPr>
          <w:rFonts w:cs="Arial Unicode MS"/>
          <w:b/>
          <w:bCs/>
          <w:color w:val="000000"/>
          <w:sz w:val="22"/>
          <w:szCs w:val="22"/>
          <w:u w:color="000000"/>
          <w:lang w:eastAsia="en-SG"/>
        </w:rPr>
      </w:pPr>
      <w:r>
        <w:rPr>
          <w:sz w:val="22"/>
          <w:szCs w:val="22"/>
        </w:rPr>
        <w:br w:type="page"/>
      </w:r>
    </w:p>
    <w:p w:rsidR="006C39FE" w:rsidRPr="006C39FE" w:rsidRDefault="00EB1E61" w:rsidP="006C39FE">
      <w:pPr>
        <w:pStyle w:val="Caption"/>
        <w:jc w:val="center"/>
        <w:rPr>
          <w:sz w:val="22"/>
          <w:szCs w:val="22"/>
        </w:rPr>
      </w:pPr>
      <w:bookmarkStart w:id="64" w:name="_Toc475430725"/>
      <w:r>
        <w:rPr>
          <w:sz w:val="22"/>
          <w:szCs w:val="22"/>
        </w:rPr>
        <w:t xml:space="preserve">Appendix </w:t>
      </w:r>
      <w:r w:rsidR="006C39FE" w:rsidRPr="006C39FE">
        <w:rPr>
          <w:sz w:val="22"/>
          <w:szCs w:val="22"/>
        </w:rPr>
        <w:t xml:space="preserve">Table </w:t>
      </w:r>
      <w:r w:rsidR="006C39FE" w:rsidRPr="006C39FE">
        <w:rPr>
          <w:sz w:val="22"/>
          <w:szCs w:val="22"/>
        </w:rPr>
        <w:fldChar w:fldCharType="begin"/>
      </w:r>
      <w:r w:rsidR="006C39FE" w:rsidRPr="006C39FE">
        <w:rPr>
          <w:sz w:val="22"/>
          <w:szCs w:val="22"/>
        </w:rPr>
        <w:instrText xml:space="preserve"> SEQ Table \* ARABIC </w:instrText>
      </w:r>
      <w:r w:rsidR="006C39FE" w:rsidRPr="006C39FE">
        <w:rPr>
          <w:sz w:val="22"/>
          <w:szCs w:val="22"/>
        </w:rPr>
        <w:fldChar w:fldCharType="separate"/>
      </w:r>
      <w:r>
        <w:rPr>
          <w:noProof/>
          <w:sz w:val="22"/>
          <w:szCs w:val="22"/>
        </w:rPr>
        <w:t>2</w:t>
      </w:r>
      <w:r w:rsidR="006C39FE" w:rsidRPr="006C39FE">
        <w:rPr>
          <w:sz w:val="22"/>
          <w:szCs w:val="22"/>
        </w:rPr>
        <w:fldChar w:fldCharType="end"/>
      </w:r>
      <w:r w:rsidR="006C39FE" w:rsidRPr="006C39FE">
        <w:rPr>
          <w:sz w:val="22"/>
          <w:szCs w:val="22"/>
        </w:rPr>
        <w:t xml:space="preserve">: Maximum Likelihood Probit results, estimated effects for </w:t>
      </w:r>
      <w:r w:rsidR="00A941E3">
        <w:rPr>
          <w:sz w:val="22"/>
          <w:szCs w:val="22"/>
        </w:rPr>
        <w:t>t</w:t>
      </w:r>
      <w:r w:rsidR="006C39FE" w:rsidRPr="006C39FE">
        <w:rPr>
          <w:sz w:val="22"/>
          <w:szCs w:val="22"/>
        </w:rPr>
        <w:t xml:space="preserve">een </w:t>
      </w:r>
      <w:r w:rsidR="00A941E3">
        <w:rPr>
          <w:sz w:val="22"/>
          <w:szCs w:val="22"/>
        </w:rPr>
        <w:t>m</w:t>
      </w:r>
      <w:r w:rsidR="006C39FE" w:rsidRPr="006C39FE">
        <w:rPr>
          <w:sz w:val="22"/>
          <w:szCs w:val="22"/>
        </w:rPr>
        <w:t xml:space="preserve">others on </w:t>
      </w:r>
      <w:r w:rsidR="00A941E3">
        <w:rPr>
          <w:sz w:val="22"/>
          <w:szCs w:val="22"/>
        </w:rPr>
        <w:t>p</w:t>
      </w:r>
      <w:r w:rsidR="006C39FE" w:rsidRPr="006C39FE">
        <w:rPr>
          <w:sz w:val="22"/>
          <w:szCs w:val="22"/>
        </w:rPr>
        <w:t xml:space="preserve">robability of </w:t>
      </w:r>
      <w:r w:rsidR="00A941E3">
        <w:rPr>
          <w:sz w:val="22"/>
          <w:szCs w:val="22"/>
        </w:rPr>
        <w:t>p</w:t>
      </w:r>
      <w:r w:rsidR="006C39FE" w:rsidRPr="006C39FE">
        <w:rPr>
          <w:sz w:val="22"/>
          <w:szCs w:val="22"/>
        </w:rPr>
        <w:t>ost-</w:t>
      </w:r>
      <w:r w:rsidR="00A941E3">
        <w:rPr>
          <w:sz w:val="22"/>
          <w:szCs w:val="22"/>
        </w:rPr>
        <w:t>b</w:t>
      </w:r>
      <w:r w:rsidR="006C39FE" w:rsidRPr="006C39FE">
        <w:rPr>
          <w:sz w:val="22"/>
          <w:szCs w:val="22"/>
        </w:rPr>
        <w:t xml:space="preserve">irth </w:t>
      </w:r>
      <w:r w:rsidR="00A941E3">
        <w:rPr>
          <w:sz w:val="22"/>
          <w:szCs w:val="22"/>
        </w:rPr>
        <w:t>e</w:t>
      </w:r>
      <w:r w:rsidR="006C39FE" w:rsidRPr="006C39FE">
        <w:rPr>
          <w:sz w:val="22"/>
          <w:szCs w:val="22"/>
        </w:rPr>
        <w:t>nrolment</w:t>
      </w:r>
      <w:bookmarkEnd w:id="64"/>
    </w:p>
    <w:tbl>
      <w:tblPr>
        <w:tblW w:w="0" w:type="auto"/>
        <w:jc w:val="center"/>
        <w:tblBorders>
          <w:top w:val="single" w:sz="4" w:space="0" w:color="000000"/>
          <w:bottom w:val="single" w:sz="4" w:space="0" w:color="000000"/>
          <w:insideH w:val="single" w:sz="4" w:space="0" w:color="000000"/>
        </w:tblBorders>
        <w:tblCellMar>
          <w:left w:w="0" w:type="dxa"/>
          <w:right w:w="0" w:type="dxa"/>
        </w:tblCellMar>
        <w:tblLook w:val="0600" w:firstRow="0" w:lastRow="0" w:firstColumn="0" w:lastColumn="0" w:noHBand="1" w:noVBand="1"/>
      </w:tblPr>
      <w:tblGrid>
        <w:gridCol w:w="4366"/>
        <w:gridCol w:w="1985"/>
      </w:tblGrid>
      <w:tr w:rsidR="00BA21D9" w:rsidRPr="0043730F" w:rsidTr="0063534E">
        <w:trPr>
          <w:trHeight w:val="794"/>
          <w:jc w:val="center"/>
        </w:trPr>
        <w:tc>
          <w:tcPr>
            <w:tcW w:w="4366" w:type="dxa"/>
            <w:tcBorders>
              <w:top w:val="single" w:sz="8" w:space="0" w:color="000000"/>
              <w:bottom w:val="single" w:sz="8" w:space="0" w:color="000000"/>
            </w:tcBorders>
            <w:shd w:val="clear" w:color="auto" w:fill="auto"/>
            <w:tcMar>
              <w:top w:w="15" w:type="dxa"/>
              <w:left w:w="108" w:type="dxa"/>
              <w:bottom w:w="0" w:type="dxa"/>
              <w:right w:w="108" w:type="dxa"/>
            </w:tcMar>
            <w:vAlign w:val="bottom"/>
            <w:hideMark/>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NZ" w:eastAsia="en-NZ"/>
              </w:rPr>
            </w:pPr>
            <w:r w:rsidRPr="004F4C26">
              <w:rPr>
                <w:color w:val="000000" w:themeColor="text1"/>
                <w:kern w:val="24"/>
                <w:sz w:val="20"/>
                <w:szCs w:val="20"/>
                <w:bdr w:val="none" w:sz="0" w:space="0" w:color="auto"/>
                <w:lang w:eastAsia="en-NZ"/>
              </w:rPr>
              <w:t> </w:t>
            </w:r>
          </w:p>
        </w:tc>
        <w:tc>
          <w:tcPr>
            <w:tcW w:w="1985" w:type="dxa"/>
            <w:tcBorders>
              <w:top w:val="single" w:sz="8" w:space="0" w:color="000000"/>
              <w:bottom w:val="single" w:sz="8" w:space="0" w:color="000000"/>
            </w:tcBorders>
            <w:shd w:val="clear" w:color="auto" w:fill="auto"/>
            <w:tcMar>
              <w:top w:w="15" w:type="dxa"/>
              <w:left w:w="108" w:type="dxa"/>
              <w:bottom w:w="0" w:type="dxa"/>
              <w:right w:w="108" w:type="dxa"/>
            </w:tcMar>
            <w:vAlign w:val="bottom"/>
            <w:hideMark/>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Estimated Marginal </w:t>
            </w:r>
            <w:r w:rsidRPr="004F4C26">
              <w:rPr>
                <w:color w:val="000000" w:themeColor="text1"/>
                <w:kern w:val="24"/>
                <w:sz w:val="20"/>
                <w:szCs w:val="20"/>
                <w:bdr w:val="none" w:sz="0" w:space="0" w:color="auto"/>
                <w:lang w:eastAsia="en-NZ"/>
              </w:rPr>
              <w:t>Effect</w:t>
            </w:r>
            <w:r>
              <w:rPr>
                <w:color w:val="000000" w:themeColor="text1"/>
                <w:kern w:val="24"/>
                <w:sz w:val="20"/>
                <w:szCs w:val="20"/>
                <w:bdr w:val="none" w:sz="0" w:space="0" w:color="auto"/>
                <w:lang w:eastAsia="en-NZ"/>
              </w:rPr>
              <w:t>s</w:t>
            </w:r>
            <w:r w:rsidRPr="004F4C26">
              <w:rPr>
                <w:color w:val="000000" w:themeColor="text1"/>
                <w:kern w:val="24"/>
                <w:sz w:val="20"/>
                <w:szCs w:val="20"/>
                <w:bdr w:val="none" w:sz="0" w:space="0" w:color="auto"/>
                <w:lang w:eastAsia="en-NZ"/>
              </w:rPr>
              <w:t xml:space="preserve"> </w:t>
            </w:r>
            <w:r>
              <w:rPr>
                <w:color w:val="000000" w:themeColor="text1"/>
                <w:kern w:val="24"/>
                <w:sz w:val="20"/>
                <w:szCs w:val="20"/>
                <w:bdr w:val="none" w:sz="0" w:space="0" w:color="auto"/>
                <w:lang w:eastAsia="en-NZ"/>
              </w:rPr>
              <w:t>and Standard Errors in Parentheses</w:t>
            </w:r>
          </w:p>
        </w:tc>
      </w:tr>
      <w:tr w:rsidR="00BA21D9" w:rsidRPr="0043730F" w:rsidTr="0063534E">
        <w:trPr>
          <w:trHeight w:val="284"/>
          <w:jc w:val="center"/>
        </w:trPr>
        <w:tc>
          <w:tcPr>
            <w:tcW w:w="4366" w:type="dxa"/>
            <w:tcBorders>
              <w:top w:val="single" w:sz="8" w:space="0" w:color="000000"/>
            </w:tcBorders>
            <w:shd w:val="clear" w:color="auto" w:fill="auto"/>
            <w:tcMar>
              <w:top w:w="28" w:type="dxa"/>
              <w:left w:w="108" w:type="dxa"/>
              <w:bottom w:w="28" w:type="dxa"/>
              <w:right w:w="108" w:type="dxa"/>
            </w:tcMar>
            <w:vAlign w:val="center"/>
            <w:hideMark/>
          </w:tcPr>
          <w:p w:rsidR="00BA21D9" w:rsidRPr="002A02F2"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sz w:val="20"/>
                <w:szCs w:val="20"/>
                <w:bdr w:val="none" w:sz="0" w:space="0" w:color="auto"/>
                <w:lang w:val="en-NZ" w:eastAsia="en-NZ"/>
              </w:rPr>
            </w:pPr>
            <w:r w:rsidRPr="002A02F2">
              <w:rPr>
                <w:b/>
                <w:color w:val="000000" w:themeColor="text1"/>
                <w:kern w:val="24"/>
                <w:sz w:val="20"/>
                <w:szCs w:val="20"/>
                <w:bdr w:val="none" w:sz="0" w:space="0" w:color="auto"/>
                <w:lang w:eastAsia="en-NZ"/>
              </w:rPr>
              <w:t xml:space="preserve">Distance of young woman’s school at conception to TPU &lt; 20 km </w:t>
            </w:r>
            <m:oMath>
              <m:r>
                <m:rPr>
                  <m:sty m:val="bi"/>
                </m:rPr>
                <w:rPr>
                  <w:rFonts w:ascii="Cambria Math" w:hAnsi="Cambria Math" w:cs="Arial"/>
                  <w:color w:val="000000" w:themeColor="text1"/>
                  <w:kern w:val="24"/>
                  <w:sz w:val="20"/>
                  <w:szCs w:val="20"/>
                  <w:bdr w:val="none" w:sz="0" w:space="0" w:color="auto"/>
                  <w:lang w:eastAsia="en-NZ"/>
                </w:rPr>
                <m:t>(</m:t>
              </m:r>
              <m:r>
                <m:rPr>
                  <m:sty m:val="bi"/>
                </m:rPr>
                <w:rPr>
                  <w:rFonts w:ascii="Cambria Math" w:hAnsi="Cambria Math" w:cs="Arial" w:hint="eastAsia"/>
                  <w:color w:val="000000" w:themeColor="text1"/>
                  <w:kern w:val="24"/>
                  <w:sz w:val="20"/>
                  <w:szCs w:val="20"/>
                  <w:bdr w:val="none" w:sz="0" w:space="0" w:color="auto"/>
                  <w:lang w:eastAsia="en-NZ"/>
                </w:rPr>
                <m:t> </m:t>
              </m:r>
              <m:r>
                <m:rPr>
                  <m:sty m:val="bi"/>
                </m:rPr>
                <w:rPr>
                  <w:rFonts w:ascii="Cambria Math" w:hAnsi="Cambria Math" w:cs="Arial"/>
                  <w:color w:val="000000" w:themeColor="text1"/>
                  <w:kern w:val="24"/>
                  <w:sz w:val="20"/>
                  <w:szCs w:val="20"/>
                  <w:bdr w:val="none" w:sz="0" w:space="0" w:color="auto"/>
                  <w:lang w:eastAsia="en-NZ"/>
                </w:rPr>
                <m:t>TP</m:t>
              </m:r>
              <m:sSub>
                <m:sSubPr>
                  <m:ctrlPr>
                    <w:rPr>
                      <w:rFonts w:ascii="Cambria Math" w:hAnsi="Cambria Math" w:cs="Arial"/>
                      <w:b/>
                      <w:i/>
                      <w:iCs/>
                      <w:color w:val="000000" w:themeColor="text1"/>
                      <w:kern w:val="24"/>
                      <w:sz w:val="20"/>
                      <w:szCs w:val="20"/>
                      <w:bdr w:val="none" w:sz="0" w:space="0" w:color="auto"/>
                      <w:lang w:val="en-NZ" w:eastAsia="en-NZ"/>
                    </w:rPr>
                  </m:ctrlPr>
                </m:sSubPr>
                <m:e>
                  <m:r>
                    <m:rPr>
                      <m:sty m:val="bi"/>
                    </m:rPr>
                    <w:rPr>
                      <w:rFonts w:ascii="Cambria Math" w:hAnsi="Cambria Math" w:cs="Arial"/>
                      <w:color w:val="000000" w:themeColor="text1"/>
                      <w:kern w:val="24"/>
                      <w:sz w:val="20"/>
                      <w:szCs w:val="20"/>
                      <w:bdr w:val="none" w:sz="0" w:space="0" w:color="auto"/>
                      <w:lang w:eastAsia="en-NZ"/>
                    </w:rPr>
                    <m:t>U</m:t>
                  </m:r>
                </m:e>
                <m:sub>
                  <m:r>
                    <m:rPr>
                      <m:sty m:val="bi"/>
                    </m:rPr>
                    <w:rPr>
                      <w:rFonts w:ascii="Cambria Math" w:hAnsi="Cambria Math" w:cs="Arial"/>
                      <w:color w:val="000000" w:themeColor="text1"/>
                      <w:kern w:val="24"/>
                      <w:sz w:val="20"/>
                      <w:szCs w:val="20"/>
                      <w:bdr w:val="none" w:sz="0" w:space="0" w:color="auto"/>
                      <w:lang w:eastAsia="en-NZ"/>
                    </w:rPr>
                    <m:t>20</m:t>
                  </m:r>
                  <m:r>
                    <m:rPr>
                      <m:sty m:val="bi"/>
                    </m:rPr>
                    <w:rPr>
                      <w:rFonts w:ascii="Cambria Math" w:hAnsi="Cambria Math" w:cs="Arial"/>
                      <w:color w:val="000000" w:themeColor="text1"/>
                      <w:kern w:val="24"/>
                      <w:sz w:val="20"/>
                      <w:szCs w:val="20"/>
                      <w:bdr w:val="none" w:sz="0" w:space="0" w:color="auto"/>
                      <w:lang w:eastAsia="en-NZ"/>
                    </w:rPr>
                    <m:t>KM</m:t>
                  </m:r>
                </m:sub>
              </m:sSub>
              <m:r>
                <m:rPr>
                  <m:sty m:val="bi"/>
                </m:rPr>
                <w:rPr>
                  <w:rFonts w:ascii="Cambria Math" w:hAnsi="Cambria Math" w:cs="Arial"/>
                  <w:color w:val="000000" w:themeColor="text1"/>
                  <w:kern w:val="24"/>
                  <w:sz w:val="20"/>
                  <w:szCs w:val="20"/>
                  <w:bdr w:val="none" w:sz="0" w:space="0" w:color="auto"/>
                  <w:lang w:eastAsia="en-NZ"/>
                </w:rPr>
                <m:t>)</m:t>
              </m:r>
            </m:oMath>
            <w:r w:rsidRPr="002A02F2">
              <w:rPr>
                <w:b/>
                <w:color w:val="000000" w:themeColor="text1"/>
                <w:kern w:val="24"/>
                <w:sz w:val="20"/>
                <w:szCs w:val="20"/>
                <w:bdr w:val="none" w:sz="0" w:space="0" w:color="auto"/>
                <w:lang w:eastAsia="en-NZ"/>
              </w:rPr>
              <w:t> </w:t>
            </w:r>
          </w:p>
        </w:tc>
        <w:tc>
          <w:tcPr>
            <w:tcW w:w="1985" w:type="dxa"/>
            <w:tcBorders>
              <w:top w:val="single" w:sz="8" w:space="0" w:color="000000"/>
            </w:tcBorders>
            <w:shd w:val="clear" w:color="auto" w:fill="auto"/>
            <w:tcMar>
              <w:top w:w="28" w:type="dxa"/>
              <w:left w:w="108" w:type="dxa"/>
              <w:bottom w:w="28" w:type="dxa"/>
              <w:right w:w="108" w:type="dxa"/>
            </w:tcMar>
            <w:vAlign w:val="center"/>
            <w:hideMark/>
          </w:tcPr>
          <w:p w:rsidR="00BA21D9" w:rsidRPr="002A02F2"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sz w:val="20"/>
                <w:szCs w:val="20"/>
                <w:bdr w:val="none" w:sz="0" w:space="0" w:color="auto"/>
                <w:lang w:val="en-NZ" w:eastAsia="en-NZ"/>
              </w:rPr>
            </w:pPr>
            <w:r w:rsidRPr="002A02F2">
              <w:rPr>
                <w:b/>
                <w:color w:val="000000" w:themeColor="text1"/>
                <w:kern w:val="24"/>
                <w:sz w:val="20"/>
                <w:szCs w:val="20"/>
                <w:bdr w:val="none" w:sz="0" w:space="0" w:color="auto"/>
                <w:lang w:eastAsia="en-NZ"/>
              </w:rPr>
              <w:t xml:space="preserve">  0.040</w:t>
            </w:r>
            <w:r w:rsidRPr="00BB5B9D">
              <w:rPr>
                <w:color w:val="000000" w:themeColor="text1"/>
                <w:kern w:val="24"/>
                <w:sz w:val="20"/>
                <w:szCs w:val="20"/>
                <w:bdr w:val="none" w:sz="0" w:space="0" w:color="auto"/>
                <w:vertAlign w:val="superscript"/>
                <w:lang w:eastAsia="en-NZ"/>
              </w:rPr>
              <w:t>**</w:t>
            </w:r>
          </w:p>
          <w:p w:rsidR="00BA21D9" w:rsidRPr="002A02F2"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sz w:val="20"/>
                <w:szCs w:val="20"/>
                <w:bdr w:val="none" w:sz="0" w:space="0" w:color="auto"/>
                <w:lang w:val="en-NZ" w:eastAsia="en-NZ"/>
              </w:rPr>
            </w:pPr>
            <w:r w:rsidRPr="002A02F2">
              <w:rPr>
                <w:b/>
                <w:color w:val="000000" w:themeColor="text1"/>
                <w:kern w:val="24"/>
                <w:sz w:val="20"/>
                <w:szCs w:val="20"/>
                <w:bdr w:val="none" w:sz="0" w:space="0" w:color="auto"/>
                <w:lang w:eastAsia="en-NZ"/>
              </w:rPr>
              <w:t>(0.017)</w:t>
            </w:r>
          </w:p>
        </w:tc>
      </w:tr>
      <w:tr w:rsidR="00BA21D9" w:rsidRPr="0043730F" w:rsidTr="0063534E">
        <w:trPr>
          <w:trHeight w:val="284"/>
          <w:jc w:val="center"/>
        </w:trPr>
        <w:tc>
          <w:tcPr>
            <w:tcW w:w="4366" w:type="dxa"/>
            <w:shd w:val="clear" w:color="auto" w:fill="auto"/>
            <w:tcMar>
              <w:top w:w="28" w:type="dxa"/>
              <w:left w:w="108" w:type="dxa"/>
              <w:bottom w:w="28" w:type="dxa"/>
              <w:right w:w="108" w:type="dxa"/>
            </w:tcMar>
            <w:vAlign w:val="center"/>
            <w:hideMark/>
          </w:tcPr>
          <w:p w:rsidR="00BA21D9" w:rsidRPr="002A02F2"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sz w:val="20"/>
                <w:szCs w:val="20"/>
                <w:bdr w:val="none" w:sz="0" w:space="0" w:color="auto"/>
                <w:lang w:val="en-NZ" w:eastAsia="en-NZ"/>
              </w:rPr>
            </w:pPr>
            <w:r w:rsidRPr="002A02F2">
              <w:rPr>
                <w:b/>
                <w:color w:val="000000" w:themeColor="text1"/>
                <w:kern w:val="24"/>
                <w:sz w:val="20"/>
                <w:szCs w:val="20"/>
                <w:bdr w:val="none" w:sz="0" w:space="0" w:color="auto"/>
                <w:lang w:eastAsia="en-NZ"/>
              </w:rPr>
              <w:t>TPU enrolled at conception (</w:t>
            </w:r>
            <m:oMath>
              <m:r>
                <m:rPr>
                  <m:sty m:val="bi"/>
                </m:rPr>
                <w:rPr>
                  <w:rFonts w:ascii="Cambria Math" w:hAnsi="Cambria Math" w:cs="Arial" w:hint="eastAsia"/>
                  <w:color w:val="000000" w:themeColor="text1"/>
                  <w:kern w:val="24"/>
                  <w:sz w:val="20"/>
                  <w:szCs w:val="20"/>
                  <w:bdr w:val="none" w:sz="0" w:space="0" w:color="auto"/>
                  <w:lang w:eastAsia="en-NZ"/>
                </w:rPr>
                <m:t> </m:t>
              </m:r>
              <m:r>
                <m:rPr>
                  <m:sty m:val="bi"/>
                </m:rPr>
                <w:rPr>
                  <w:rFonts w:ascii="Cambria Math" w:hAnsi="Cambria Math" w:cs="Arial"/>
                  <w:color w:val="000000" w:themeColor="text1"/>
                  <w:kern w:val="24"/>
                  <w:sz w:val="20"/>
                  <w:szCs w:val="20"/>
                  <w:bdr w:val="none" w:sz="0" w:space="0" w:color="auto"/>
                  <w:lang w:eastAsia="en-NZ"/>
                </w:rPr>
                <m:t>TP</m:t>
              </m:r>
              <m:sSub>
                <m:sSubPr>
                  <m:ctrlPr>
                    <w:rPr>
                      <w:rFonts w:ascii="Cambria Math" w:hAnsi="Cambria Math" w:cs="Arial"/>
                      <w:b/>
                      <w:i/>
                      <w:iCs/>
                      <w:color w:val="000000" w:themeColor="text1"/>
                      <w:kern w:val="24"/>
                      <w:sz w:val="20"/>
                      <w:szCs w:val="20"/>
                      <w:bdr w:val="none" w:sz="0" w:space="0" w:color="auto"/>
                      <w:lang w:val="en-NZ" w:eastAsia="en-NZ"/>
                    </w:rPr>
                  </m:ctrlPr>
                </m:sSubPr>
                <m:e>
                  <m:r>
                    <m:rPr>
                      <m:sty m:val="bi"/>
                    </m:rPr>
                    <w:rPr>
                      <w:rFonts w:ascii="Cambria Math" w:hAnsi="Cambria Math" w:cs="Arial"/>
                      <w:color w:val="000000" w:themeColor="text1"/>
                      <w:kern w:val="24"/>
                      <w:sz w:val="20"/>
                      <w:szCs w:val="20"/>
                      <w:bdr w:val="none" w:sz="0" w:space="0" w:color="auto"/>
                      <w:lang w:eastAsia="en-NZ"/>
                    </w:rPr>
                    <m:t>U</m:t>
                  </m:r>
                </m:e>
                <m:sub>
                  <m:r>
                    <m:rPr>
                      <m:sty m:val="bi"/>
                    </m:rPr>
                    <w:rPr>
                      <w:rFonts w:ascii="Cambria Math" w:hAnsi="Cambria Math" w:cs="Arial"/>
                      <w:color w:val="000000" w:themeColor="text1"/>
                      <w:kern w:val="24"/>
                      <w:sz w:val="20"/>
                      <w:szCs w:val="20"/>
                      <w:bdr w:val="none" w:sz="0" w:space="0" w:color="auto"/>
                      <w:lang w:eastAsia="en-NZ"/>
                    </w:rPr>
                    <m:t>Pre-Birth</m:t>
                  </m:r>
                </m:sub>
              </m:sSub>
              <m:r>
                <m:rPr>
                  <m:sty m:val="bi"/>
                </m:rPr>
                <w:rPr>
                  <w:rFonts w:ascii="Cambria Math" w:hAnsi="Cambria Math" w:cs="Arial"/>
                  <w:color w:val="000000" w:themeColor="text1"/>
                  <w:kern w:val="24"/>
                  <w:sz w:val="20"/>
                  <w:szCs w:val="20"/>
                  <w:bdr w:val="none" w:sz="0" w:space="0" w:color="auto"/>
                  <w:lang w:eastAsia="en-NZ"/>
                </w:rPr>
                <m:t>)</m:t>
              </m:r>
            </m:oMath>
            <w:r w:rsidRPr="002A02F2">
              <w:rPr>
                <w:b/>
                <w:color w:val="000000" w:themeColor="text1"/>
                <w:kern w:val="24"/>
                <w:sz w:val="20"/>
                <w:szCs w:val="20"/>
                <w:bdr w:val="none" w:sz="0" w:space="0" w:color="auto"/>
                <w:lang w:eastAsia="en-NZ"/>
              </w:rPr>
              <w:t> </w:t>
            </w:r>
          </w:p>
        </w:tc>
        <w:tc>
          <w:tcPr>
            <w:tcW w:w="1985" w:type="dxa"/>
            <w:shd w:val="clear" w:color="auto" w:fill="auto"/>
            <w:tcMar>
              <w:top w:w="28" w:type="dxa"/>
              <w:left w:w="108" w:type="dxa"/>
              <w:bottom w:w="28" w:type="dxa"/>
              <w:right w:w="108" w:type="dxa"/>
            </w:tcMar>
            <w:vAlign w:val="center"/>
            <w:hideMark/>
          </w:tcPr>
          <w:p w:rsidR="00BA21D9" w:rsidRPr="002A02F2"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sz w:val="20"/>
                <w:szCs w:val="20"/>
                <w:bdr w:val="none" w:sz="0" w:space="0" w:color="auto"/>
                <w:lang w:val="en-NZ" w:eastAsia="en-NZ"/>
              </w:rPr>
            </w:pPr>
            <w:r w:rsidRPr="002A02F2">
              <w:rPr>
                <w:b/>
                <w:color w:val="000000" w:themeColor="text1"/>
                <w:kern w:val="24"/>
                <w:sz w:val="20"/>
                <w:szCs w:val="20"/>
                <w:bdr w:val="none" w:sz="0" w:space="0" w:color="auto"/>
                <w:lang w:eastAsia="en-NZ"/>
              </w:rPr>
              <w:t xml:space="preserve">   0.111</w:t>
            </w:r>
            <w:r w:rsidRPr="00BB5B9D">
              <w:rPr>
                <w:color w:val="000000" w:themeColor="text1"/>
                <w:kern w:val="24"/>
                <w:sz w:val="20"/>
                <w:szCs w:val="20"/>
                <w:bdr w:val="none" w:sz="0" w:space="0" w:color="auto"/>
                <w:vertAlign w:val="superscript"/>
                <w:lang w:eastAsia="en-NZ"/>
              </w:rPr>
              <w:t>***</w:t>
            </w:r>
          </w:p>
          <w:p w:rsidR="00BA21D9" w:rsidRPr="002A02F2"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sz w:val="20"/>
                <w:szCs w:val="20"/>
                <w:bdr w:val="none" w:sz="0" w:space="0" w:color="auto"/>
                <w:lang w:val="en-NZ" w:eastAsia="en-NZ"/>
              </w:rPr>
            </w:pPr>
            <w:r w:rsidRPr="002A02F2">
              <w:rPr>
                <w:rFonts w:eastAsia="Times New Roman"/>
                <w:b/>
                <w:sz w:val="20"/>
                <w:szCs w:val="20"/>
                <w:bdr w:val="none" w:sz="0" w:space="0" w:color="auto"/>
                <w:lang w:val="en-NZ" w:eastAsia="en-NZ"/>
              </w:rPr>
              <w:t>(0.036)</w:t>
            </w:r>
          </w:p>
        </w:tc>
      </w:tr>
      <w:tr w:rsidR="00BA21D9" w:rsidRPr="0043730F" w:rsidTr="0063534E">
        <w:trPr>
          <w:trHeight w:val="284"/>
          <w:jc w:val="center"/>
        </w:trPr>
        <w:tc>
          <w:tcPr>
            <w:tcW w:w="4366" w:type="dxa"/>
            <w:shd w:val="clear" w:color="auto" w:fill="auto"/>
            <w:tcMar>
              <w:top w:w="28" w:type="dxa"/>
              <w:left w:w="108" w:type="dxa"/>
              <w:bottom w:w="28" w:type="dxa"/>
              <w:right w:w="108" w:type="dxa"/>
            </w:tcMar>
            <w:vAlign w:val="center"/>
            <w:hideMark/>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NZ" w:eastAsia="en-NZ"/>
              </w:rPr>
            </w:pPr>
            <w:r w:rsidRPr="004F4C26">
              <w:rPr>
                <w:color w:val="000000" w:themeColor="text1"/>
                <w:kern w:val="24"/>
                <w:sz w:val="20"/>
                <w:szCs w:val="20"/>
                <w:bdr w:val="none" w:sz="0" w:space="0" w:color="auto"/>
                <w:lang w:eastAsia="en-NZ"/>
              </w:rPr>
              <w:t>School enrolled at conception</w:t>
            </w:r>
          </w:p>
        </w:tc>
        <w:tc>
          <w:tcPr>
            <w:tcW w:w="1985" w:type="dxa"/>
            <w:shd w:val="clear" w:color="auto" w:fill="auto"/>
            <w:tcMar>
              <w:top w:w="28" w:type="dxa"/>
              <w:left w:w="108" w:type="dxa"/>
              <w:bottom w:w="28" w:type="dxa"/>
              <w:right w:w="108" w:type="dxa"/>
            </w:tcMar>
            <w:vAlign w:val="center"/>
            <w:hideMark/>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0.265</w:t>
            </w:r>
            <w:r w:rsidRPr="001F3FFC">
              <w:rPr>
                <w:color w:val="000000" w:themeColor="text1"/>
                <w:kern w:val="24"/>
                <w:sz w:val="20"/>
                <w:szCs w:val="20"/>
                <w:bdr w:val="none" w:sz="0" w:space="0" w:color="auto"/>
                <w:vertAlign w:val="superscript"/>
                <w:lang w:eastAsia="en-NZ"/>
              </w:rPr>
              <w:t>***</w:t>
            </w:r>
          </w:p>
          <w:p w:rsidR="00BA21D9" w:rsidRPr="001F3FFC"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lang w:val="en-NZ" w:eastAsia="en-NZ"/>
              </w:rPr>
            </w:pPr>
            <w:r w:rsidRPr="001F3FFC">
              <w:rPr>
                <w:rFonts w:eastAsia="Times New Roman"/>
                <w:sz w:val="20"/>
                <w:szCs w:val="20"/>
                <w:bdr w:val="none" w:sz="0" w:space="0" w:color="auto"/>
                <w:lang w:val="en-NZ" w:eastAsia="en-NZ"/>
              </w:rPr>
              <w:t>(0.016)</w:t>
            </w:r>
          </w:p>
        </w:tc>
      </w:tr>
      <w:tr w:rsidR="00BA21D9" w:rsidRPr="0043730F" w:rsidTr="0063534E">
        <w:trPr>
          <w:trHeight w:val="284"/>
          <w:jc w:val="center"/>
        </w:trPr>
        <w:tc>
          <w:tcPr>
            <w:tcW w:w="4366"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European</w:t>
            </w:r>
          </w:p>
        </w:tc>
        <w:tc>
          <w:tcPr>
            <w:tcW w:w="1985"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099</w:t>
            </w:r>
            <w:r w:rsidRPr="001F3FFC">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(0.023</w:t>
            </w:r>
            <w:r w:rsidRPr="001F3FFC">
              <w:rPr>
                <w:rFonts w:eastAsia="Times New Roman"/>
                <w:sz w:val="20"/>
                <w:szCs w:val="20"/>
                <w:bdr w:val="none" w:sz="0" w:space="0" w:color="auto"/>
                <w:lang w:val="en-NZ" w:eastAsia="en-NZ"/>
              </w:rPr>
              <w:t>)</w:t>
            </w:r>
          </w:p>
        </w:tc>
      </w:tr>
      <w:tr w:rsidR="00BA21D9" w:rsidRPr="0043730F" w:rsidTr="0063534E">
        <w:trPr>
          <w:trHeight w:val="284"/>
          <w:jc w:val="center"/>
        </w:trPr>
        <w:tc>
          <w:tcPr>
            <w:tcW w:w="4366"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Maori</w:t>
            </w:r>
          </w:p>
        </w:tc>
        <w:tc>
          <w:tcPr>
            <w:tcW w:w="1985"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029</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(0.023</w:t>
            </w:r>
            <w:r w:rsidRPr="001F3FFC">
              <w:rPr>
                <w:rFonts w:eastAsia="Times New Roman"/>
                <w:sz w:val="20"/>
                <w:szCs w:val="20"/>
                <w:bdr w:val="none" w:sz="0" w:space="0" w:color="auto"/>
                <w:lang w:val="en-NZ" w:eastAsia="en-NZ"/>
              </w:rPr>
              <w:t>)</w:t>
            </w:r>
          </w:p>
        </w:tc>
      </w:tr>
      <w:tr w:rsidR="00BA21D9" w:rsidRPr="0043730F" w:rsidTr="0063534E">
        <w:trPr>
          <w:trHeight w:val="284"/>
          <w:jc w:val="center"/>
        </w:trPr>
        <w:tc>
          <w:tcPr>
            <w:tcW w:w="4366" w:type="dxa"/>
            <w:shd w:val="clear" w:color="auto" w:fill="auto"/>
            <w:tcMar>
              <w:top w:w="28" w:type="dxa"/>
              <w:left w:w="108" w:type="dxa"/>
              <w:bottom w:w="28" w:type="dxa"/>
              <w:right w:w="108" w:type="dxa"/>
            </w:tcMar>
            <w:vAlign w:val="cente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Pacific</w:t>
            </w:r>
          </w:p>
        </w:tc>
        <w:tc>
          <w:tcPr>
            <w:tcW w:w="1985"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024</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(0.028</w:t>
            </w:r>
            <w:r w:rsidRPr="001F3FFC">
              <w:rPr>
                <w:rFonts w:eastAsia="Times New Roman"/>
                <w:sz w:val="20"/>
                <w:szCs w:val="20"/>
                <w:bdr w:val="none" w:sz="0" w:space="0" w:color="auto"/>
                <w:lang w:val="en-NZ" w:eastAsia="en-NZ"/>
              </w:rPr>
              <w:t>)</w:t>
            </w:r>
          </w:p>
        </w:tc>
      </w:tr>
      <w:tr w:rsidR="00BA21D9" w:rsidRPr="0043730F" w:rsidTr="0063534E">
        <w:trPr>
          <w:trHeight w:val="284"/>
          <w:jc w:val="center"/>
        </w:trPr>
        <w:tc>
          <w:tcPr>
            <w:tcW w:w="4366" w:type="dxa"/>
            <w:shd w:val="clear" w:color="auto" w:fill="auto"/>
            <w:tcMar>
              <w:top w:w="28" w:type="dxa"/>
              <w:left w:w="108" w:type="dxa"/>
              <w:bottom w:w="28" w:type="dxa"/>
              <w:right w:w="108" w:type="dxa"/>
            </w:tcMar>
            <w:vAlign w:val="cente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Asian</w:t>
            </w:r>
          </w:p>
        </w:tc>
        <w:tc>
          <w:tcPr>
            <w:tcW w:w="1985"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114</w:t>
            </w:r>
            <w:r>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(0.066</w:t>
            </w:r>
            <w:r w:rsidRPr="001F3FFC">
              <w:rPr>
                <w:rFonts w:eastAsia="Times New Roman"/>
                <w:sz w:val="20"/>
                <w:szCs w:val="20"/>
                <w:bdr w:val="none" w:sz="0" w:space="0" w:color="auto"/>
                <w:lang w:val="en-NZ" w:eastAsia="en-NZ"/>
              </w:rPr>
              <w:t>)</w:t>
            </w:r>
          </w:p>
        </w:tc>
      </w:tr>
      <w:tr w:rsidR="00BA21D9" w:rsidRPr="0043730F" w:rsidTr="0063534E">
        <w:trPr>
          <w:trHeight w:val="284"/>
          <w:jc w:val="center"/>
        </w:trPr>
        <w:tc>
          <w:tcPr>
            <w:tcW w:w="4366" w:type="dxa"/>
            <w:shd w:val="clear" w:color="auto" w:fill="auto"/>
            <w:tcMar>
              <w:top w:w="28" w:type="dxa"/>
              <w:left w:w="108" w:type="dxa"/>
              <w:bottom w:w="28" w:type="dxa"/>
              <w:right w:w="108" w:type="dxa"/>
            </w:tcMar>
            <w:vAlign w:val="cente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Other ethnicity</w:t>
            </w:r>
          </w:p>
        </w:tc>
        <w:tc>
          <w:tcPr>
            <w:tcW w:w="1985"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004</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(0.071</w:t>
            </w:r>
            <w:r w:rsidRPr="001F3FFC">
              <w:rPr>
                <w:rFonts w:eastAsia="Times New Roman"/>
                <w:sz w:val="20"/>
                <w:szCs w:val="20"/>
                <w:bdr w:val="none" w:sz="0" w:space="0" w:color="auto"/>
                <w:lang w:val="en-NZ" w:eastAsia="en-NZ"/>
              </w:rPr>
              <w:t>)</w:t>
            </w:r>
          </w:p>
        </w:tc>
      </w:tr>
      <w:tr w:rsidR="00BA21D9" w:rsidRPr="0043730F" w:rsidTr="0063534E">
        <w:trPr>
          <w:trHeight w:val="284"/>
          <w:jc w:val="center"/>
        </w:trPr>
        <w:tc>
          <w:tcPr>
            <w:tcW w:w="4366" w:type="dxa"/>
            <w:shd w:val="clear" w:color="auto" w:fill="auto"/>
            <w:tcMar>
              <w:top w:w="28" w:type="dxa"/>
              <w:left w:w="108" w:type="dxa"/>
              <w:bottom w:w="28" w:type="dxa"/>
              <w:right w:w="108" w:type="dxa"/>
            </w:tcMar>
            <w:vAlign w:val="cente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1992 birth cohort</w:t>
            </w:r>
          </w:p>
        </w:tc>
        <w:tc>
          <w:tcPr>
            <w:tcW w:w="1985"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030</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(0.018</w:t>
            </w:r>
            <w:r w:rsidRPr="001F3FFC">
              <w:rPr>
                <w:rFonts w:eastAsia="Times New Roman"/>
                <w:sz w:val="20"/>
                <w:szCs w:val="20"/>
                <w:bdr w:val="none" w:sz="0" w:space="0" w:color="auto"/>
                <w:lang w:val="en-NZ" w:eastAsia="en-NZ"/>
              </w:rPr>
              <w:t>)</w:t>
            </w:r>
          </w:p>
        </w:tc>
      </w:tr>
      <w:tr w:rsidR="00BA21D9" w:rsidRPr="0043730F" w:rsidTr="0063534E">
        <w:trPr>
          <w:trHeight w:val="284"/>
          <w:jc w:val="center"/>
        </w:trPr>
        <w:tc>
          <w:tcPr>
            <w:tcW w:w="4366" w:type="dxa"/>
            <w:shd w:val="clear" w:color="auto" w:fill="auto"/>
            <w:tcMar>
              <w:top w:w="28" w:type="dxa"/>
              <w:left w:w="108" w:type="dxa"/>
              <w:bottom w:w="28" w:type="dxa"/>
              <w:right w:w="108" w:type="dxa"/>
            </w:tcMar>
            <w:vAlign w:val="cente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1993 birth cohort</w:t>
            </w:r>
          </w:p>
        </w:tc>
        <w:tc>
          <w:tcPr>
            <w:tcW w:w="1985"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017</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(0.020</w:t>
            </w:r>
            <w:r w:rsidRPr="001F3FFC">
              <w:rPr>
                <w:rFonts w:eastAsia="Times New Roman"/>
                <w:sz w:val="20"/>
                <w:szCs w:val="20"/>
                <w:bdr w:val="none" w:sz="0" w:space="0" w:color="auto"/>
                <w:lang w:val="en-NZ" w:eastAsia="en-NZ"/>
              </w:rPr>
              <w:t>)</w:t>
            </w:r>
          </w:p>
        </w:tc>
      </w:tr>
      <w:tr w:rsidR="00BA21D9" w:rsidRPr="0043730F" w:rsidTr="0063534E">
        <w:trPr>
          <w:trHeight w:val="284"/>
          <w:jc w:val="center"/>
        </w:trPr>
        <w:tc>
          <w:tcPr>
            <w:tcW w:w="4366" w:type="dxa"/>
            <w:shd w:val="clear" w:color="auto" w:fill="auto"/>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sidRPr="0099559F">
              <w:rPr>
                <w:color w:val="000000" w:themeColor="text1"/>
                <w:kern w:val="24"/>
                <w:sz w:val="20"/>
                <w:szCs w:val="20"/>
                <w:bdr w:val="none" w:sz="0" w:space="0" w:color="auto"/>
                <w:lang w:eastAsia="en-NZ"/>
              </w:rPr>
              <w:t>1994 birth cohort</w:t>
            </w:r>
          </w:p>
        </w:tc>
        <w:tc>
          <w:tcPr>
            <w:tcW w:w="1985"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110</w:t>
            </w:r>
            <w:r w:rsidRPr="001F3FFC">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(0.026</w:t>
            </w:r>
            <w:r w:rsidRPr="001F3FFC">
              <w:rPr>
                <w:rFonts w:eastAsia="Times New Roman"/>
                <w:sz w:val="20"/>
                <w:szCs w:val="20"/>
                <w:bdr w:val="none" w:sz="0" w:space="0" w:color="auto"/>
                <w:lang w:val="en-NZ" w:eastAsia="en-NZ"/>
              </w:rPr>
              <w:t>)</w:t>
            </w:r>
          </w:p>
        </w:tc>
      </w:tr>
      <w:tr w:rsidR="00BA21D9" w:rsidRPr="0043730F" w:rsidTr="0063534E">
        <w:trPr>
          <w:trHeight w:val="284"/>
          <w:jc w:val="center"/>
        </w:trPr>
        <w:tc>
          <w:tcPr>
            <w:tcW w:w="4366" w:type="dxa"/>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sidRPr="0099559F">
              <w:rPr>
                <w:rFonts w:eastAsia="Times New Roman"/>
                <w:color w:val="000000"/>
                <w:sz w:val="20"/>
                <w:szCs w:val="20"/>
                <w:bdr w:val="none" w:sz="0" w:space="0" w:color="auto"/>
                <w:lang w:val="en-NZ" w:eastAsia="en-NZ"/>
              </w:rPr>
              <w:t xml:space="preserve">Minor urban area </w:t>
            </w:r>
          </w:p>
        </w:tc>
        <w:tc>
          <w:tcPr>
            <w:tcW w:w="1985"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019</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(0.023</w:t>
            </w:r>
            <w:r w:rsidRPr="001F3FFC">
              <w:rPr>
                <w:rFonts w:eastAsia="Times New Roman"/>
                <w:sz w:val="20"/>
                <w:szCs w:val="20"/>
                <w:bdr w:val="none" w:sz="0" w:space="0" w:color="auto"/>
                <w:lang w:val="en-NZ" w:eastAsia="en-NZ"/>
              </w:rPr>
              <w:t>)</w:t>
            </w:r>
          </w:p>
        </w:tc>
      </w:tr>
      <w:tr w:rsidR="00BA21D9" w:rsidRPr="0043730F" w:rsidTr="0063534E">
        <w:trPr>
          <w:trHeight w:val="284"/>
          <w:jc w:val="center"/>
        </w:trPr>
        <w:tc>
          <w:tcPr>
            <w:tcW w:w="4366" w:type="dxa"/>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sidRPr="0099559F">
              <w:rPr>
                <w:rFonts w:eastAsia="Times New Roman"/>
                <w:color w:val="000000"/>
                <w:sz w:val="20"/>
                <w:szCs w:val="20"/>
                <w:bdr w:val="none" w:sz="0" w:space="0" w:color="auto"/>
                <w:lang w:val="en-NZ" w:eastAsia="en-NZ"/>
              </w:rPr>
              <w:t>Secondary urban area</w:t>
            </w:r>
          </w:p>
        </w:tc>
        <w:tc>
          <w:tcPr>
            <w:tcW w:w="1985"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012</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(0.026</w:t>
            </w:r>
            <w:r w:rsidRPr="001F3FFC">
              <w:rPr>
                <w:rFonts w:eastAsia="Times New Roman"/>
                <w:sz w:val="20"/>
                <w:szCs w:val="20"/>
                <w:bdr w:val="none" w:sz="0" w:space="0" w:color="auto"/>
                <w:lang w:val="en-NZ" w:eastAsia="en-NZ"/>
              </w:rPr>
              <w:t>)</w:t>
            </w:r>
          </w:p>
        </w:tc>
      </w:tr>
      <w:tr w:rsidR="00BA21D9" w:rsidRPr="0043730F" w:rsidTr="0063534E">
        <w:trPr>
          <w:trHeight w:val="284"/>
          <w:jc w:val="center"/>
        </w:trPr>
        <w:tc>
          <w:tcPr>
            <w:tcW w:w="4366" w:type="dxa"/>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sidRPr="0099559F">
              <w:rPr>
                <w:rFonts w:eastAsia="Times New Roman"/>
                <w:color w:val="000000"/>
                <w:sz w:val="20"/>
                <w:szCs w:val="20"/>
                <w:bdr w:val="none" w:sz="0" w:space="0" w:color="auto"/>
                <w:lang w:val="en-NZ" w:eastAsia="en-NZ"/>
              </w:rPr>
              <w:t xml:space="preserve">Rural area </w:t>
            </w:r>
          </w:p>
        </w:tc>
        <w:tc>
          <w:tcPr>
            <w:tcW w:w="1985"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017</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(0.044</w:t>
            </w:r>
            <w:r w:rsidRPr="001F3FFC">
              <w:rPr>
                <w:rFonts w:eastAsia="Times New Roman"/>
                <w:sz w:val="20"/>
                <w:szCs w:val="20"/>
                <w:bdr w:val="none" w:sz="0" w:space="0" w:color="auto"/>
                <w:lang w:val="en-NZ" w:eastAsia="en-NZ"/>
              </w:rPr>
              <w:t>)</w:t>
            </w:r>
          </w:p>
        </w:tc>
      </w:tr>
      <w:tr w:rsidR="00BA21D9" w:rsidRPr="0043730F" w:rsidTr="0063534E">
        <w:trPr>
          <w:trHeight w:val="284"/>
          <w:jc w:val="center"/>
        </w:trPr>
        <w:tc>
          <w:tcPr>
            <w:tcW w:w="4366" w:type="dxa"/>
            <w:shd w:val="clear" w:color="auto" w:fill="auto"/>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sidRPr="0099559F">
              <w:rPr>
                <w:rFonts w:eastAsia="Times New Roman"/>
                <w:color w:val="000000"/>
                <w:sz w:val="20"/>
                <w:szCs w:val="20"/>
                <w:bdr w:val="none" w:sz="0" w:space="0" w:color="auto"/>
                <w:lang w:val="en-NZ" w:eastAsia="en-NZ"/>
              </w:rPr>
              <w:t>Rural/urban not applicable/missing</w:t>
            </w:r>
          </w:p>
        </w:tc>
        <w:tc>
          <w:tcPr>
            <w:tcW w:w="1985"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012</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(0.026</w:t>
            </w:r>
            <w:r w:rsidRPr="001F3FFC">
              <w:rPr>
                <w:rFonts w:eastAsia="Times New Roman"/>
                <w:sz w:val="20"/>
                <w:szCs w:val="20"/>
                <w:bdr w:val="none" w:sz="0" w:space="0" w:color="auto"/>
                <w:lang w:val="en-NZ" w:eastAsia="en-NZ"/>
              </w:rPr>
              <w:t>)</w:t>
            </w:r>
          </w:p>
        </w:tc>
      </w:tr>
      <w:tr w:rsidR="00BA21D9" w:rsidRPr="0043730F" w:rsidTr="0063534E">
        <w:trPr>
          <w:trHeight w:val="284"/>
          <w:jc w:val="center"/>
        </w:trPr>
        <w:tc>
          <w:tcPr>
            <w:tcW w:w="4366" w:type="dxa"/>
            <w:shd w:val="clear" w:color="auto" w:fill="auto"/>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sidRPr="0099559F">
              <w:rPr>
                <w:color w:val="000000" w:themeColor="text1"/>
                <w:kern w:val="24"/>
                <w:sz w:val="20"/>
                <w:szCs w:val="20"/>
                <w:bdr w:val="none" w:sz="0" w:space="0" w:color="auto"/>
                <w:lang w:eastAsia="en-NZ"/>
              </w:rPr>
              <w:t>Ever placed in CYF care</w:t>
            </w:r>
          </w:p>
        </w:tc>
        <w:tc>
          <w:tcPr>
            <w:tcW w:w="1985"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021</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(0.023</w:t>
            </w:r>
            <w:r w:rsidRPr="001F3FFC">
              <w:rPr>
                <w:rFonts w:eastAsia="Times New Roman"/>
                <w:sz w:val="20"/>
                <w:szCs w:val="20"/>
                <w:bdr w:val="none" w:sz="0" w:space="0" w:color="auto"/>
                <w:lang w:val="en-NZ" w:eastAsia="en-NZ"/>
              </w:rPr>
              <w:t>)</w:t>
            </w:r>
          </w:p>
        </w:tc>
      </w:tr>
      <w:tr w:rsidR="00BA21D9" w:rsidRPr="0043730F" w:rsidTr="0063534E">
        <w:trPr>
          <w:trHeight w:val="284"/>
          <w:jc w:val="center"/>
        </w:trPr>
        <w:tc>
          <w:tcPr>
            <w:tcW w:w="4366" w:type="dxa"/>
            <w:shd w:val="clear" w:color="auto" w:fill="auto"/>
            <w:tcMar>
              <w:top w:w="28" w:type="dxa"/>
              <w:left w:w="108" w:type="dxa"/>
              <w:bottom w:w="28" w:type="dxa"/>
              <w:right w:w="108" w:type="dxa"/>
            </w:tcMar>
            <w:vAlign w:val="center"/>
          </w:tcPr>
          <w:p w:rsidR="00BA21D9" w:rsidRPr="0099559F" w:rsidRDefault="00BA21D9" w:rsidP="005575E4">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sidRPr="0099559F">
              <w:rPr>
                <w:color w:val="000000" w:themeColor="text1"/>
                <w:kern w:val="24"/>
                <w:sz w:val="20"/>
                <w:szCs w:val="20"/>
                <w:bdr w:val="none" w:sz="0" w:space="0" w:color="auto"/>
                <w:lang w:eastAsia="en-NZ"/>
              </w:rPr>
              <w:t xml:space="preserve">Ever </w:t>
            </w:r>
            <w:r w:rsidR="005575E4">
              <w:rPr>
                <w:color w:val="000000" w:themeColor="text1"/>
                <w:kern w:val="24"/>
                <w:sz w:val="20"/>
                <w:szCs w:val="20"/>
                <w:bdr w:val="none" w:sz="0" w:space="0" w:color="auto"/>
                <w:lang w:eastAsia="en-NZ"/>
              </w:rPr>
              <w:t>CYF Y</w:t>
            </w:r>
            <w:r w:rsidR="005575E4" w:rsidRPr="0099559F">
              <w:rPr>
                <w:color w:val="000000" w:themeColor="text1"/>
                <w:kern w:val="24"/>
                <w:sz w:val="20"/>
                <w:szCs w:val="20"/>
                <w:bdr w:val="none" w:sz="0" w:space="0" w:color="auto"/>
                <w:lang w:eastAsia="en-NZ"/>
              </w:rPr>
              <w:t xml:space="preserve">outh </w:t>
            </w:r>
            <w:r w:rsidR="005575E4">
              <w:rPr>
                <w:color w:val="000000" w:themeColor="text1"/>
                <w:kern w:val="24"/>
                <w:sz w:val="20"/>
                <w:szCs w:val="20"/>
                <w:bdr w:val="none" w:sz="0" w:space="0" w:color="auto"/>
                <w:lang w:eastAsia="en-NZ"/>
              </w:rPr>
              <w:t>J</w:t>
            </w:r>
            <w:r w:rsidR="005575E4" w:rsidRPr="0099559F">
              <w:rPr>
                <w:color w:val="000000" w:themeColor="text1"/>
                <w:kern w:val="24"/>
                <w:sz w:val="20"/>
                <w:szCs w:val="20"/>
                <w:bdr w:val="none" w:sz="0" w:space="0" w:color="auto"/>
                <w:lang w:eastAsia="en-NZ"/>
              </w:rPr>
              <w:t xml:space="preserve">ustice </w:t>
            </w:r>
            <w:r w:rsidRPr="0099559F">
              <w:rPr>
                <w:color w:val="000000" w:themeColor="text1"/>
                <w:kern w:val="24"/>
                <w:sz w:val="20"/>
                <w:szCs w:val="20"/>
                <w:bdr w:val="none" w:sz="0" w:space="0" w:color="auto"/>
                <w:lang w:eastAsia="en-NZ"/>
              </w:rPr>
              <w:t>involvement</w:t>
            </w:r>
          </w:p>
        </w:tc>
        <w:tc>
          <w:tcPr>
            <w:tcW w:w="1985"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012</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(0.023</w:t>
            </w:r>
            <w:r w:rsidRPr="001F3FFC">
              <w:rPr>
                <w:rFonts w:eastAsia="Times New Roman"/>
                <w:sz w:val="20"/>
                <w:szCs w:val="20"/>
                <w:bdr w:val="none" w:sz="0" w:space="0" w:color="auto"/>
                <w:lang w:val="en-NZ" w:eastAsia="en-NZ"/>
              </w:rPr>
              <w:t>)</w:t>
            </w:r>
          </w:p>
        </w:tc>
      </w:tr>
      <w:tr w:rsidR="00BA21D9" w:rsidRPr="0043730F" w:rsidTr="0063534E">
        <w:trPr>
          <w:trHeight w:val="284"/>
          <w:jc w:val="center"/>
        </w:trPr>
        <w:tc>
          <w:tcPr>
            <w:tcW w:w="4366" w:type="dxa"/>
            <w:shd w:val="clear" w:color="auto" w:fill="auto"/>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sidRPr="0099559F">
              <w:rPr>
                <w:color w:val="000000" w:themeColor="text1"/>
                <w:kern w:val="24"/>
                <w:sz w:val="20"/>
                <w:szCs w:val="20"/>
                <w:bdr w:val="none" w:sz="0" w:space="0" w:color="auto"/>
                <w:lang w:eastAsia="en-NZ"/>
              </w:rPr>
              <w:t>School in bottom three deciles</w:t>
            </w:r>
          </w:p>
        </w:tc>
        <w:tc>
          <w:tcPr>
            <w:tcW w:w="1985"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021</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(0.017</w:t>
            </w:r>
            <w:r w:rsidRPr="001F3FFC">
              <w:rPr>
                <w:rFonts w:eastAsia="Times New Roman"/>
                <w:sz w:val="20"/>
                <w:szCs w:val="20"/>
                <w:bdr w:val="none" w:sz="0" w:space="0" w:color="auto"/>
                <w:lang w:val="en-NZ" w:eastAsia="en-NZ"/>
              </w:rPr>
              <w:t>)</w:t>
            </w:r>
          </w:p>
        </w:tc>
      </w:tr>
      <w:tr w:rsidR="00BA21D9" w:rsidRPr="0043730F" w:rsidTr="0063534E">
        <w:trPr>
          <w:trHeight w:val="284"/>
          <w:jc w:val="center"/>
        </w:trPr>
        <w:tc>
          <w:tcPr>
            <w:tcW w:w="4366" w:type="dxa"/>
            <w:tcMar>
              <w:top w:w="28" w:type="dxa"/>
              <w:left w:w="108" w:type="dxa"/>
              <w:bottom w:w="28" w:type="dxa"/>
              <w:right w:w="108" w:type="dxa"/>
            </w:tcMar>
            <w:vAlign w:val="center"/>
          </w:tcPr>
          <w:p w:rsidR="00BA21D9" w:rsidRPr="0099559F" w:rsidRDefault="00BA21D9" w:rsidP="008720EC">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Pr>
                <w:rFonts w:eastAsia="Times New Roman"/>
                <w:color w:val="000000"/>
                <w:sz w:val="20"/>
                <w:szCs w:val="20"/>
                <w:bdr w:val="none" w:sz="0" w:space="0" w:color="auto"/>
                <w:lang w:val="en-NZ" w:eastAsia="en-NZ"/>
              </w:rPr>
              <w:t xml:space="preserve">South </w:t>
            </w:r>
            <w:r w:rsidRPr="0099559F">
              <w:rPr>
                <w:rFonts w:eastAsia="Times New Roman"/>
                <w:color w:val="000000"/>
                <w:sz w:val="20"/>
                <w:szCs w:val="20"/>
                <w:bdr w:val="none" w:sz="0" w:space="0" w:color="auto"/>
                <w:lang w:val="en-NZ" w:eastAsia="en-NZ"/>
              </w:rPr>
              <w:t xml:space="preserve">Auckland </w:t>
            </w:r>
            <w:r w:rsidR="008720EC">
              <w:rPr>
                <w:rFonts w:eastAsia="Times New Roman"/>
                <w:color w:val="000000"/>
                <w:sz w:val="20"/>
                <w:szCs w:val="20"/>
                <w:bdr w:val="none" w:sz="0" w:space="0" w:color="auto"/>
                <w:lang w:val="en-NZ" w:eastAsia="en-NZ"/>
              </w:rPr>
              <w:t>MoE</w:t>
            </w:r>
            <w:r w:rsidR="00DF661F">
              <w:rPr>
                <w:rFonts w:eastAsia="Times New Roman"/>
                <w:color w:val="000000"/>
                <w:sz w:val="20"/>
                <w:szCs w:val="20"/>
                <w:bdr w:val="none" w:sz="0" w:space="0" w:color="auto"/>
                <w:lang w:val="en-NZ" w:eastAsia="en-NZ"/>
              </w:rPr>
              <w:t xml:space="preserve"> </w:t>
            </w:r>
            <w:r w:rsidRPr="0099559F">
              <w:rPr>
                <w:rFonts w:eastAsia="Times New Roman"/>
                <w:color w:val="000000"/>
                <w:sz w:val="20"/>
                <w:szCs w:val="20"/>
                <w:bdr w:val="none" w:sz="0" w:space="0" w:color="auto"/>
                <w:lang w:val="en-NZ" w:eastAsia="en-NZ"/>
              </w:rPr>
              <w:t>office</w:t>
            </w:r>
          </w:p>
        </w:tc>
        <w:tc>
          <w:tcPr>
            <w:tcW w:w="1985"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038</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(0.032</w:t>
            </w:r>
            <w:r w:rsidRPr="001F3FFC">
              <w:rPr>
                <w:rFonts w:eastAsia="Times New Roman"/>
                <w:sz w:val="20"/>
                <w:szCs w:val="20"/>
                <w:bdr w:val="none" w:sz="0" w:space="0" w:color="auto"/>
                <w:lang w:val="en-NZ" w:eastAsia="en-NZ"/>
              </w:rPr>
              <w:t>)</w:t>
            </w:r>
          </w:p>
        </w:tc>
      </w:tr>
      <w:tr w:rsidR="00BA21D9" w:rsidRPr="0043730F" w:rsidTr="0063534E">
        <w:trPr>
          <w:trHeight w:val="284"/>
          <w:jc w:val="center"/>
        </w:trPr>
        <w:tc>
          <w:tcPr>
            <w:tcW w:w="4366" w:type="dxa"/>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sidRPr="0099559F">
              <w:rPr>
                <w:rFonts w:eastAsia="Times New Roman"/>
                <w:color w:val="000000"/>
                <w:sz w:val="20"/>
                <w:szCs w:val="20"/>
                <w:bdr w:val="none" w:sz="0" w:space="0" w:color="auto"/>
                <w:lang w:val="en-NZ" w:eastAsia="en-NZ"/>
              </w:rPr>
              <w:t xml:space="preserve">Christchurch </w:t>
            </w:r>
            <w:r w:rsidR="008720EC">
              <w:rPr>
                <w:rFonts w:eastAsia="Times New Roman"/>
                <w:color w:val="000000"/>
                <w:sz w:val="20"/>
                <w:szCs w:val="20"/>
                <w:bdr w:val="none" w:sz="0" w:space="0" w:color="auto"/>
                <w:lang w:val="en-NZ" w:eastAsia="en-NZ"/>
              </w:rPr>
              <w:t>MoE</w:t>
            </w:r>
            <w:r w:rsidR="00DF661F">
              <w:rPr>
                <w:rFonts w:eastAsia="Times New Roman"/>
                <w:color w:val="000000"/>
                <w:sz w:val="20"/>
                <w:szCs w:val="20"/>
                <w:bdr w:val="none" w:sz="0" w:space="0" w:color="auto"/>
                <w:lang w:val="en-NZ" w:eastAsia="en-NZ"/>
              </w:rPr>
              <w:t xml:space="preserve"> </w:t>
            </w:r>
            <w:r w:rsidRPr="0099559F">
              <w:rPr>
                <w:rFonts w:eastAsia="Times New Roman"/>
                <w:color w:val="000000"/>
                <w:sz w:val="20"/>
                <w:szCs w:val="20"/>
                <w:bdr w:val="none" w:sz="0" w:space="0" w:color="auto"/>
                <w:lang w:val="en-NZ" w:eastAsia="en-NZ"/>
              </w:rPr>
              <w:t>office</w:t>
            </w:r>
          </w:p>
        </w:tc>
        <w:tc>
          <w:tcPr>
            <w:tcW w:w="1985"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143</w:t>
            </w:r>
            <w:r w:rsidRPr="001F3FFC">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(0.035</w:t>
            </w:r>
            <w:r w:rsidRPr="001F3FFC">
              <w:rPr>
                <w:rFonts w:eastAsia="Times New Roman"/>
                <w:sz w:val="20"/>
                <w:szCs w:val="20"/>
                <w:bdr w:val="none" w:sz="0" w:space="0" w:color="auto"/>
                <w:lang w:val="en-NZ" w:eastAsia="en-NZ"/>
              </w:rPr>
              <w:t>)</w:t>
            </w:r>
          </w:p>
        </w:tc>
      </w:tr>
      <w:tr w:rsidR="00BA21D9" w:rsidRPr="0043730F" w:rsidTr="0063534E">
        <w:trPr>
          <w:trHeight w:val="284"/>
          <w:jc w:val="center"/>
        </w:trPr>
        <w:tc>
          <w:tcPr>
            <w:tcW w:w="4366" w:type="dxa"/>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sidRPr="0099559F">
              <w:rPr>
                <w:rFonts w:eastAsia="Times New Roman"/>
                <w:color w:val="000000"/>
                <w:sz w:val="20"/>
                <w:szCs w:val="20"/>
                <w:bdr w:val="none" w:sz="0" w:space="0" w:color="auto"/>
                <w:lang w:val="en-NZ" w:eastAsia="en-NZ"/>
              </w:rPr>
              <w:t xml:space="preserve">Dunedin </w:t>
            </w:r>
            <w:r w:rsidR="008720EC">
              <w:rPr>
                <w:rFonts w:eastAsia="Times New Roman"/>
                <w:color w:val="000000"/>
                <w:sz w:val="20"/>
                <w:szCs w:val="20"/>
                <w:bdr w:val="none" w:sz="0" w:space="0" w:color="auto"/>
                <w:lang w:val="en-NZ" w:eastAsia="en-NZ"/>
              </w:rPr>
              <w:t>MoE</w:t>
            </w:r>
            <w:r w:rsidR="00DF661F">
              <w:rPr>
                <w:rFonts w:eastAsia="Times New Roman"/>
                <w:color w:val="000000"/>
                <w:sz w:val="20"/>
                <w:szCs w:val="20"/>
                <w:bdr w:val="none" w:sz="0" w:space="0" w:color="auto"/>
                <w:lang w:val="en-NZ" w:eastAsia="en-NZ"/>
              </w:rPr>
              <w:t xml:space="preserve"> </w:t>
            </w:r>
            <w:r w:rsidRPr="0099559F">
              <w:rPr>
                <w:rFonts w:eastAsia="Times New Roman"/>
                <w:color w:val="000000"/>
                <w:sz w:val="20"/>
                <w:szCs w:val="20"/>
                <w:bdr w:val="none" w:sz="0" w:space="0" w:color="auto"/>
                <w:lang w:val="en-NZ" w:eastAsia="en-NZ"/>
              </w:rPr>
              <w:t>office</w:t>
            </w:r>
          </w:p>
        </w:tc>
        <w:tc>
          <w:tcPr>
            <w:tcW w:w="1985"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117</w:t>
            </w:r>
            <w:r>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(0.055</w:t>
            </w:r>
            <w:r w:rsidRPr="001F3FFC">
              <w:rPr>
                <w:rFonts w:eastAsia="Times New Roman"/>
                <w:sz w:val="20"/>
                <w:szCs w:val="20"/>
                <w:bdr w:val="none" w:sz="0" w:space="0" w:color="auto"/>
                <w:lang w:val="en-NZ" w:eastAsia="en-NZ"/>
              </w:rPr>
              <w:t>)</w:t>
            </w:r>
          </w:p>
        </w:tc>
      </w:tr>
      <w:tr w:rsidR="00BA21D9" w:rsidRPr="0043730F" w:rsidTr="0063534E">
        <w:trPr>
          <w:trHeight w:val="284"/>
          <w:jc w:val="center"/>
        </w:trPr>
        <w:tc>
          <w:tcPr>
            <w:tcW w:w="4366" w:type="dxa"/>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sidRPr="0099559F">
              <w:rPr>
                <w:rFonts w:eastAsia="Times New Roman"/>
                <w:color w:val="000000"/>
                <w:sz w:val="20"/>
                <w:szCs w:val="20"/>
                <w:bdr w:val="none" w:sz="0" w:space="0" w:color="auto"/>
                <w:lang w:val="en-NZ" w:eastAsia="en-NZ"/>
              </w:rPr>
              <w:t xml:space="preserve">Hamilton </w:t>
            </w:r>
            <w:r w:rsidR="008720EC">
              <w:rPr>
                <w:rFonts w:eastAsia="Times New Roman"/>
                <w:color w:val="000000"/>
                <w:sz w:val="20"/>
                <w:szCs w:val="20"/>
                <w:bdr w:val="none" w:sz="0" w:space="0" w:color="auto"/>
                <w:lang w:val="en-NZ" w:eastAsia="en-NZ"/>
              </w:rPr>
              <w:t>MoE</w:t>
            </w:r>
            <w:r w:rsidR="00DF661F">
              <w:rPr>
                <w:rFonts w:eastAsia="Times New Roman"/>
                <w:color w:val="000000"/>
                <w:sz w:val="20"/>
                <w:szCs w:val="20"/>
                <w:bdr w:val="none" w:sz="0" w:space="0" w:color="auto"/>
                <w:lang w:val="en-NZ" w:eastAsia="en-NZ"/>
              </w:rPr>
              <w:t xml:space="preserve"> </w:t>
            </w:r>
            <w:r w:rsidRPr="0099559F">
              <w:rPr>
                <w:rFonts w:eastAsia="Times New Roman"/>
                <w:color w:val="000000"/>
                <w:sz w:val="20"/>
                <w:szCs w:val="20"/>
                <w:bdr w:val="none" w:sz="0" w:space="0" w:color="auto"/>
                <w:lang w:val="en-NZ" w:eastAsia="en-NZ"/>
              </w:rPr>
              <w:t>office</w:t>
            </w:r>
          </w:p>
        </w:tc>
        <w:tc>
          <w:tcPr>
            <w:tcW w:w="1985"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078</w:t>
            </w:r>
            <w:r w:rsidRPr="001F3FFC">
              <w:rPr>
                <w:color w:val="000000" w:themeColor="text1"/>
                <w:kern w:val="24"/>
                <w:sz w:val="20"/>
                <w:szCs w:val="20"/>
                <w:bdr w:val="none" w:sz="0" w:space="0" w:color="auto"/>
                <w:vertAlign w:val="superscript"/>
                <w:lang w:eastAsia="en-NZ"/>
              </w:rPr>
              <w:t>***</w:t>
            </w:r>
          </w:p>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i/>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(0.031</w:t>
            </w:r>
            <w:r w:rsidRPr="001F3FFC">
              <w:rPr>
                <w:rFonts w:eastAsia="Times New Roman"/>
                <w:sz w:val="20"/>
                <w:szCs w:val="20"/>
                <w:bdr w:val="none" w:sz="0" w:space="0" w:color="auto"/>
                <w:lang w:val="en-NZ" w:eastAsia="en-NZ"/>
              </w:rPr>
              <w:t>)</w:t>
            </w:r>
          </w:p>
        </w:tc>
      </w:tr>
    </w:tbl>
    <w:p w:rsidR="00BA21D9" w:rsidRPr="0099559F" w:rsidRDefault="00BA21D9" w:rsidP="00BA21D9">
      <w:pPr>
        <w:jc w:val="center"/>
        <w:rPr>
          <w:i/>
          <w:sz w:val="20"/>
          <w:szCs w:val="20"/>
        </w:rPr>
      </w:pPr>
      <w:r>
        <w:br w:type="page"/>
      </w:r>
      <w:r w:rsidR="005575E4" w:rsidRPr="003E4D42">
        <w:rPr>
          <w:i/>
          <w:sz w:val="20"/>
          <w:szCs w:val="20"/>
        </w:rPr>
        <w:t xml:space="preserve">Appendix </w:t>
      </w:r>
      <w:r w:rsidRPr="003E4D42">
        <w:rPr>
          <w:i/>
          <w:sz w:val="20"/>
          <w:szCs w:val="20"/>
        </w:rPr>
        <w:t>Table</w:t>
      </w:r>
      <w:r w:rsidRPr="0099559F">
        <w:rPr>
          <w:i/>
          <w:sz w:val="20"/>
          <w:szCs w:val="20"/>
        </w:rPr>
        <w:t xml:space="preserve"> </w:t>
      </w:r>
      <w:r w:rsidR="00EB1E61">
        <w:rPr>
          <w:i/>
          <w:sz w:val="20"/>
          <w:szCs w:val="20"/>
        </w:rPr>
        <w:t>2 c</w:t>
      </w:r>
      <w:r w:rsidRPr="0099559F">
        <w:rPr>
          <w:i/>
          <w:sz w:val="20"/>
          <w:szCs w:val="20"/>
        </w:rPr>
        <w:t>ontinued</w:t>
      </w:r>
    </w:p>
    <w:tbl>
      <w:tblPr>
        <w:tblW w:w="0" w:type="auto"/>
        <w:jc w:val="center"/>
        <w:tblBorders>
          <w:top w:val="single" w:sz="4" w:space="0" w:color="auto"/>
          <w:bottom w:val="single" w:sz="4" w:space="0" w:color="auto"/>
          <w:insideH w:val="single" w:sz="4" w:space="0" w:color="auto"/>
        </w:tblBorders>
        <w:tblLayout w:type="fixed"/>
        <w:tblCellMar>
          <w:left w:w="0" w:type="dxa"/>
          <w:right w:w="0" w:type="dxa"/>
        </w:tblCellMar>
        <w:tblLook w:val="0600" w:firstRow="0" w:lastRow="0" w:firstColumn="0" w:lastColumn="0" w:noHBand="1" w:noVBand="1"/>
      </w:tblPr>
      <w:tblGrid>
        <w:gridCol w:w="4510"/>
        <w:gridCol w:w="4510"/>
      </w:tblGrid>
      <w:tr w:rsidR="00BA21D9" w:rsidRPr="0043730F" w:rsidTr="00FF65F3">
        <w:trPr>
          <w:trHeight w:val="284"/>
          <w:jc w:val="center"/>
        </w:trPr>
        <w:tc>
          <w:tcPr>
            <w:tcW w:w="4510" w:type="dxa"/>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br w:type="page"/>
            </w:r>
            <w:r w:rsidRPr="0099559F">
              <w:rPr>
                <w:rFonts w:eastAsia="Times New Roman"/>
                <w:color w:val="000000"/>
                <w:sz w:val="20"/>
                <w:szCs w:val="20"/>
                <w:bdr w:val="none" w:sz="0" w:space="0" w:color="auto"/>
                <w:lang w:val="en-NZ" w:eastAsia="en-NZ"/>
              </w:rPr>
              <w:t xml:space="preserve">Invercargill </w:t>
            </w:r>
            <w:r w:rsidR="008720EC">
              <w:rPr>
                <w:rFonts w:eastAsia="Times New Roman"/>
                <w:color w:val="000000"/>
                <w:sz w:val="20"/>
                <w:szCs w:val="20"/>
                <w:bdr w:val="none" w:sz="0" w:space="0" w:color="auto"/>
                <w:lang w:val="en-NZ" w:eastAsia="en-NZ"/>
              </w:rPr>
              <w:t xml:space="preserve">MoE </w:t>
            </w:r>
            <w:r w:rsidRPr="0099559F">
              <w:rPr>
                <w:rFonts w:eastAsia="Times New Roman"/>
                <w:color w:val="000000"/>
                <w:sz w:val="20"/>
                <w:szCs w:val="20"/>
                <w:bdr w:val="none" w:sz="0" w:space="0" w:color="auto"/>
                <w:lang w:val="en-NZ" w:eastAsia="en-NZ"/>
              </w:rPr>
              <w:t>office</w:t>
            </w:r>
          </w:p>
        </w:tc>
        <w:tc>
          <w:tcPr>
            <w:tcW w:w="4510"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159</w:t>
            </w:r>
            <w:r w:rsidRPr="001F3FFC">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(0.052</w:t>
            </w:r>
            <w:r w:rsidRPr="001F3FFC">
              <w:rPr>
                <w:rFonts w:eastAsia="Times New Roman"/>
                <w:sz w:val="20"/>
                <w:szCs w:val="20"/>
                <w:bdr w:val="none" w:sz="0" w:space="0" w:color="auto"/>
                <w:lang w:val="en-NZ" w:eastAsia="en-NZ"/>
              </w:rPr>
              <w:t>)</w:t>
            </w:r>
          </w:p>
        </w:tc>
      </w:tr>
      <w:tr w:rsidR="00BA21D9" w:rsidRPr="0043730F" w:rsidTr="00FF65F3">
        <w:trPr>
          <w:trHeight w:val="284"/>
          <w:jc w:val="center"/>
        </w:trPr>
        <w:tc>
          <w:tcPr>
            <w:tcW w:w="4510" w:type="dxa"/>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sidRPr="0099559F">
              <w:rPr>
                <w:rFonts w:eastAsia="Times New Roman"/>
                <w:color w:val="000000"/>
                <w:sz w:val="20"/>
                <w:szCs w:val="20"/>
                <w:bdr w:val="none" w:sz="0" w:space="0" w:color="auto"/>
                <w:lang w:val="en-NZ" w:eastAsia="en-NZ"/>
              </w:rPr>
              <w:t xml:space="preserve">Napier </w:t>
            </w:r>
            <w:r w:rsidR="008720EC">
              <w:rPr>
                <w:rFonts w:eastAsia="Times New Roman"/>
                <w:color w:val="000000"/>
                <w:sz w:val="20"/>
                <w:szCs w:val="20"/>
                <w:bdr w:val="none" w:sz="0" w:space="0" w:color="auto"/>
                <w:lang w:val="en-NZ" w:eastAsia="en-NZ"/>
              </w:rPr>
              <w:t xml:space="preserve">MoE </w:t>
            </w:r>
            <w:r w:rsidRPr="0099559F">
              <w:rPr>
                <w:rFonts w:eastAsia="Times New Roman"/>
                <w:color w:val="000000"/>
                <w:sz w:val="20"/>
                <w:szCs w:val="20"/>
                <w:bdr w:val="none" w:sz="0" w:space="0" w:color="auto"/>
                <w:lang w:val="en-NZ" w:eastAsia="en-NZ"/>
              </w:rPr>
              <w:t>office</w:t>
            </w:r>
          </w:p>
        </w:tc>
        <w:tc>
          <w:tcPr>
            <w:tcW w:w="4510"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138</w:t>
            </w:r>
            <w:r w:rsidRPr="001F3FFC">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(0.035</w:t>
            </w:r>
            <w:r w:rsidRPr="001F3FFC">
              <w:rPr>
                <w:rFonts w:eastAsia="Times New Roman"/>
                <w:sz w:val="20"/>
                <w:szCs w:val="20"/>
                <w:bdr w:val="none" w:sz="0" w:space="0" w:color="auto"/>
                <w:lang w:val="en-NZ" w:eastAsia="en-NZ"/>
              </w:rPr>
              <w:t>)</w:t>
            </w:r>
          </w:p>
        </w:tc>
      </w:tr>
      <w:tr w:rsidR="00BA21D9" w:rsidRPr="0043730F" w:rsidTr="00FF65F3">
        <w:trPr>
          <w:trHeight w:val="284"/>
          <w:jc w:val="center"/>
        </w:trPr>
        <w:tc>
          <w:tcPr>
            <w:tcW w:w="4510" w:type="dxa"/>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sidRPr="0099559F">
              <w:rPr>
                <w:rFonts w:eastAsia="Times New Roman"/>
                <w:color w:val="000000"/>
                <w:sz w:val="20"/>
                <w:szCs w:val="20"/>
                <w:bdr w:val="none" w:sz="0" w:space="0" w:color="auto"/>
                <w:lang w:val="en-NZ" w:eastAsia="en-NZ"/>
              </w:rPr>
              <w:t xml:space="preserve">Nelson </w:t>
            </w:r>
            <w:r w:rsidR="008720EC">
              <w:rPr>
                <w:rFonts w:eastAsia="Times New Roman"/>
                <w:color w:val="000000"/>
                <w:sz w:val="20"/>
                <w:szCs w:val="20"/>
                <w:bdr w:val="none" w:sz="0" w:space="0" w:color="auto"/>
                <w:lang w:val="en-NZ" w:eastAsia="en-NZ"/>
              </w:rPr>
              <w:t xml:space="preserve">MoE </w:t>
            </w:r>
            <w:r w:rsidRPr="0099559F">
              <w:rPr>
                <w:rFonts w:eastAsia="Times New Roman"/>
                <w:color w:val="000000"/>
                <w:sz w:val="20"/>
                <w:szCs w:val="20"/>
                <w:bdr w:val="none" w:sz="0" w:space="0" w:color="auto"/>
                <w:lang w:val="en-NZ" w:eastAsia="en-NZ"/>
              </w:rPr>
              <w:t>office</w:t>
            </w:r>
          </w:p>
        </w:tc>
        <w:tc>
          <w:tcPr>
            <w:tcW w:w="4510"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019</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(0.047</w:t>
            </w:r>
            <w:r w:rsidRPr="001F3FFC">
              <w:rPr>
                <w:rFonts w:eastAsia="Times New Roman"/>
                <w:sz w:val="20"/>
                <w:szCs w:val="20"/>
                <w:bdr w:val="none" w:sz="0" w:space="0" w:color="auto"/>
                <w:lang w:val="en-NZ" w:eastAsia="en-NZ"/>
              </w:rPr>
              <w:t>)</w:t>
            </w:r>
          </w:p>
        </w:tc>
      </w:tr>
      <w:tr w:rsidR="00BA21D9" w:rsidRPr="0043730F" w:rsidTr="00FF65F3">
        <w:trPr>
          <w:trHeight w:val="284"/>
          <w:jc w:val="center"/>
        </w:trPr>
        <w:tc>
          <w:tcPr>
            <w:tcW w:w="4510" w:type="dxa"/>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sidRPr="0099559F">
              <w:rPr>
                <w:rFonts w:eastAsia="Times New Roman"/>
                <w:color w:val="000000"/>
                <w:sz w:val="20"/>
                <w:szCs w:val="20"/>
                <w:bdr w:val="none" w:sz="0" w:space="0" w:color="auto"/>
                <w:lang w:val="en-NZ" w:eastAsia="en-NZ"/>
              </w:rPr>
              <w:t xml:space="preserve">Rotorua </w:t>
            </w:r>
            <w:r w:rsidR="008720EC">
              <w:rPr>
                <w:rFonts w:eastAsia="Times New Roman"/>
                <w:color w:val="000000"/>
                <w:sz w:val="20"/>
                <w:szCs w:val="20"/>
                <w:bdr w:val="none" w:sz="0" w:space="0" w:color="auto"/>
                <w:lang w:val="en-NZ" w:eastAsia="en-NZ"/>
              </w:rPr>
              <w:t xml:space="preserve">MoE </w:t>
            </w:r>
            <w:r w:rsidRPr="0099559F">
              <w:rPr>
                <w:rFonts w:eastAsia="Times New Roman"/>
                <w:color w:val="000000"/>
                <w:sz w:val="20"/>
                <w:szCs w:val="20"/>
                <w:bdr w:val="none" w:sz="0" w:space="0" w:color="auto"/>
                <w:lang w:val="en-NZ" w:eastAsia="en-NZ"/>
              </w:rPr>
              <w:t>office</w:t>
            </w:r>
          </w:p>
        </w:tc>
        <w:tc>
          <w:tcPr>
            <w:tcW w:w="4510"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166</w:t>
            </w:r>
            <w:r w:rsidRPr="001F3FFC">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(0.033</w:t>
            </w:r>
            <w:r w:rsidRPr="001F3FFC">
              <w:rPr>
                <w:rFonts w:eastAsia="Times New Roman"/>
                <w:sz w:val="20"/>
                <w:szCs w:val="20"/>
                <w:bdr w:val="none" w:sz="0" w:space="0" w:color="auto"/>
                <w:lang w:val="en-NZ" w:eastAsia="en-NZ"/>
              </w:rPr>
              <w:t>)</w:t>
            </w:r>
          </w:p>
        </w:tc>
      </w:tr>
      <w:tr w:rsidR="00BA21D9" w:rsidRPr="0043730F" w:rsidTr="00FF65F3">
        <w:trPr>
          <w:trHeight w:val="284"/>
          <w:jc w:val="center"/>
        </w:trPr>
        <w:tc>
          <w:tcPr>
            <w:tcW w:w="4510" w:type="dxa"/>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sidRPr="0099559F">
              <w:rPr>
                <w:rFonts w:eastAsia="Times New Roman"/>
                <w:color w:val="000000"/>
                <w:sz w:val="20"/>
                <w:szCs w:val="20"/>
                <w:bdr w:val="none" w:sz="0" w:space="0" w:color="auto"/>
                <w:lang w:val="en-NZ" w:eastAsia="en-NZ"/>
              </w:rPr>
              <w:t xml:space="preserve">Wellington </w:t>
            </w:r>
            <w:r w:rsidR="008720EC">
              <w:rPr>
                <w:rFonts w:eastAsia="Times New Roman"/>
                <w:color w:val="000000"/>
                <w:sz w:val="20"/>
                <w:szCs w:val="20"/>
                <w:bdr w:val="none" w:sz="0" w:space="0" w:color="auto"/>
                <w:lang w:val="en-NZ" w:eastAsia="en-NZ"/>
              </w:rPr>
              <w:t xml:space="preserve">MoE </w:t>
            </w:r>
            <w:r w:rsidRPr="0099559F">
              <w:rPr>
                <w:rFonts w:eastAsia="Times New Roman"/>
                <w:color w:val="000000"/>
                <w:sz w:val="20"/>
                <w:szCs w:val="20"/>
                <w:bdr w:val="none" w:sz="0" w:space="0" w:color="auto"/>
                <w:lang w:val="en-NZ" w:eastAsia="en-NZ"/>
              </w:rPr>
              <w:t>office</w:t>
            </w:r>
          </w:p>
        </w:tc>
        <w:tc>
          <w:tcPr>
            <w:tcW w:w="4510"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205</w:t>
            </w:r>
            <w:r w:rsidRPr="001F3FFC">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(0.030</w:t>
            </w:r>
            <w:r w:rsidRPr="001F3FFC">
              <w:rPr>
                <w:rFonts w:eastAsia="Times New Roman"/>
                <w:sz w:val="20"/>
                <w:szCs w:val="20"/>
                <w:bdr w:val="none" w:sz="0" w:space="0" w:color="auto"/>
                <w:lang w:val="en-NZ" w:eastAsia="en-NZ"/>
              </w:rPr>
              <w:t>)</w:t>
            </w:r>
          </w:p>
        </w:tc>
      </w:tr>
      <w:tr w:rsidR="00BA21D9" w:rsidRPr="0043730F" w:rsidTr="00FF65F3">
        <w:trPr>
          <w:trHeight w:val="284"/>
          <w:jc w:val="center"/>
        </w:trPr>
        <w:tc>
          <w:tcPr>
            <w:tcW w:w="4510" w:type="dxa"/>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sidRPr="0099559F">
              <w:rPr>
                <w:rFonts w:eastAsia="Times New Roman"/>
                <w:color w:val="000000"/>
                <w:sz w:val="20"/>
                <w:szCs w:val="20"/>
                <w:bdr w:val="none" w:sz="0" w:space="0" w:color="auto"/>
                <w:lang w:val="en-NZ" w:eastAsia="en-NZ"/>
              </w:rPr>
              <w:t xml:space="preserve">Whanganui </w:t>
            </w:r>
            <w:r w:rsidR="008720EC">
              <w:rPr>
                <w:rFonts w:eastAsia="Times New Roman"/>
                <w:color w:val="000000"/>
                <w:sz w:val="20"/>
                <w:szCs w:val="20"/>
                <w:bdr w:val="none" w:sz="0" w:space="0" w:color="auto"/>
                <w:lang w:val="en-NZ" w:eastAsia="en-NZ"/>
              </w:rPr>
              <w:t xml:space="preserve">MoE </w:t>
            </w:r>
            <w:r w:rsidRPr="0099559F">
              <w:rPr>
                <w:rFonts w:eastAsia="Times New Roman"/>
                <w:color w:val="000000"/>
                <w:sz w:val="20"/>
                <w:szCs w:val="20"/>
                <w:bdr w:val="none" w:sz="0" w:space="0" w:color="auto"/>
                <w:lang w:val="en-NZ" w:eastAsia="en-NZ"/>
              </w:rPr>
              <w:t>office</w:t>
            </w:r>
          </w:p>
        </w:tc>
        <w:tc>
          <w:tcPr>
            <w:tcW w:w="4510"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164</w:t>
            </w:r>
            <w:r w:rsidRPr="001F3FFC">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(0.034</w:t>
            </w:r>
            <w:r w:rsidRPr="001F3FFC">
              <w:rPr>
                <w:rFonts w:eastAsia="Times New Roman"/>
                <w:sz w:val="20"/>
                <w:szCs w:val="20"/>
                <w:bdr w:val="none" w:sz="0" w:space="0" w:color="auto"/>
                <w:lang w:val="en-NZ" w:eastAsia="en-NZ"/>
              </w:rPr>
              <w:t>)</w:t>
            </w:r>
          </w:p>
        </w:tc>
      </w:tr>
      <w:tr w:rsidR="00BA21D9" w:rsidRPr="0043730F" w:rsidTr="00FF65F3">
        <w:trPr>
          <w:trHeight w:val="284"/>
          <w:jc w:val="center"/>
        </w:trPr>
        <w:tc>
          <w:tcPr>
            <w:tcW w:w="4510" w:type="dxa"/>
            <w:tcBorders>
              <w:bottom w:val="single" w:sz="8" w:space="0" w:color="auto"/>
            </w:tcBorders>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sidRPr="0099559F">
              <w:rPr>
                <w:rFonts w:eastAsia="Times New Roman"/>
                <w:color w:val="000000"/>
                <w:sz w:val="20"/>
                <w:szCs w:val="20"/>
                <w:bdr w:val="none" w:sz="0" w:space="0" w:color="auto"/>
                <w:lang w:val="en-NZ" w:eastAsia="en-NZ"/>
              </w:rPr>
              <w:t xml:space="preserve">Whangarei </w:t>
            </w:r>
            <w:r w:rsidR="008720EC">
              <w:rPr>
                <w:rFonts w:eastAsia="Times New Roman"/>
                <w:color w:val="000000"/>
                <w:sz w:val="20"/>
                <w:szCs w:val="20"/>
                <w:bdr w:val="none" w:sz="0" w:space="0" w:color="auto"/>
                <w:lang w:val="en-NZ" w:eastAsia="en-NZ"/>
              </w:rPr>
              <w:t xml:space="preserve">MoE </w:t>
            </w:r>
            <w:r w:rsidRPr="0099559F">
              <w:rPr>
                <w:rFonts w:eastAsia="Times New Roman"/>
                <w:color w:val="000000"/>
                <w:sz w:val="20"/>
                <w:szCs w:val="20"/>
                <w:bdr w:val="none" w:sz="0" w:space="0" w:color="auto"/>
                <w:lang w:val="en-NZ" w:eastAsia="en-NZ"/>
              </w:rPr>
              <w:t>office</w:t>
            </w:r>
          </w:p>
        </w:tc>
        <w:tc>
          <w:tcPr>
            <w:tcW w:w="4510" w:type="dxa"/>
            <w:tcBorders>
              <w:bottom w:val="single" w:sz="8" w:space="0" w:color="auto"/>
            </w:tcBorders>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151</w:t>
            </w:r>
            <w:r w:rsidRPr="001F3FFC">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(0.039</w:t>
            </w:r>
            <w:r w:rsidRPr="001F3FFC">
              <w:rPr>
                <w:rFonts w:eastAsia="Times New Roman"/>
                <w:sz w:val="20"/>
                <w:szCs w:val="20"/>
                <w:bdr w:val="none" w:sz="0" w:space="0" w:color="auto"/>
                <w:lang w:val="en-NZ" w:eastAsia="en-NZ"/>
              </w:rPr>
              <w:t>)</w:t>
            </w:r>
          </w:p>
        </w:tc>
      </w:tr>
      <w:tr w:rsidR="00BA21D9" w:rsidRPr="0043730F" w:rsidTr="00FF65F3">
        <w:trPr>
          <w:trHeight w:val="227"/>
          <w:jc w:val="center"/>
        </w:trPr>
        <w:tc>
          <w:tcPr>
            <w:tcW w:w="4510" w:type="dxa"/>
            <w:tcBorders>
              <w:top w:val="single" w:sz="8" w:space="0" w:color="auto"/>
              <w:bottom w:val="nil"/>
            </w:tcBorders>
            <w:shd w:val="clear" w:color="auto" w:fill="auto"/>
            <w:tcMar>
              <w:top w:w="28" w:type="dxa"/>
              <w:left w:w="108" w:type="dxa"/>
              <w:bottom w:w="28" w:type="dxa"/>
              <w:right w:w="108" w:type="dxa"/>
            </w:tcMar>
            <w:hideMark/>
          </w:tcPr>
          <w:p w:rsidR="00BA21D9" w:rsidRPr="004B26AA"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i/>
                <w:sz w:val="20"/>
                <w:szCs w:val="20"/>
                <w:bdr w:val="none" w:sz="0" w:space="0" w:color="auto"/>
                <w:lang w:val="en-NZ" w:eastAsia="en-NZ"/>
              </w:rPr>
            </w:pPr>
            <w:r w:rsidRPr="004B26AA">
              <w:rPr>
                <w:i/>
                <w:color w:val="000000" w:themeColor="text1"/>
                <w:kern w:val="24"/>
                <w:sz w:val="20"/>
                <w:szCs w:val="20"/>
                <w:bdr w:val="none" w:sz="0" w:space="0" w:color="auto"/>
                <w:lang w:val="en-NZ" w:eastAsia="en-NZ"/>
              </w:rPr>
              <w:t>n</w:t>
            </w:r>
          </w:p>
        </w:tc>
        <w:tc>
          <w:tcPr>
            <w:tcW w:w="4510" w:type="dxa"/>
            <w:tcBorders>
              <w:top w:val="single" w:sz="8" w:space="0" w:color="auto"/>
              <w:bottom w:val="nil"/>
            </w:tcBorders>
            <w:shd w:val="clear" w:color="auto" w:fill="auto"/>
            <w:tcMar>
              <w:top w:w="28" w:type="dxa"/>
              <w:left w:w="108" w:type="dxa"/>
              <w:bottom w:w="28" w:type="dxa"/>
              <w:right w:w="108" w:type="dxa"/>
            </w:tcMar>
            <w:hideMark/>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sidRPr="004F4C26">
              <w:rPr>
                <w:rFonts w:eastAsiaTheme="minorEastAsia"/>
                <w:color w:val="000000" w:themeColor="text1"/>
                <w:kern w:val="24"/>
                <w:sz w:val="20"/>
                <w:szCs w:val="20"/>
                <w:bdr w:val="none" w:sz="0" w:space="0" w:color="auto"/>
                <w:lang w:val="en-NZ" w:eastAsia="en-NZ"/>
              </w:rPr>
              <w:t>5,625</w:t>
            </w:r>
          </w:p>
        </w:tc>
      </w:tr>
      <w:tr w:rsidR="00BA21D9" w:rsidRPr="0043730F" w:rsidTr="00FF65F3">
        <w:trPr>
          <w:trHeight w:val="227"/>
          <w:jc w:val="center"/>
        </w:trPr>
        <w:tc>
          <w:tcPr>
            <w:tcW w:w="4510" w:type="dxa"/>
            <w:tcBorders>
              <w:top w:val="nil"/>
              <w:bottom w:val="nil"/>
            </w:tcBorders>
            <w:shd w:val="clear" w:color="auto" w:fill="auto"/>
            <w:tcMar>
              <w:top w:w="28" w:type="dxa"/>
              <w:left w:w="108" w:type="dxa"/>
              <w:bottom w:w="28" w:type="dxa"/>
              <w:right w:w="108" w:type="dxa"/>
            </w:tcMa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val="en-NZ" w:eastAsia="en-NZ"/>
              </w:rPr>
            </w:pPr>
            <w:r>
              <w:rPr>
                <w:color w:val="000000" w:themeColor="text1"/>
                <w:kern w:val="24"/>
                <w:sz w:val="20"/>
                <w:szCs w:val="20"/>
                <w:bdr w:val="none" w:sz="0" w:space="0" w:color="auto"/>
                <w:lang w:val="en-NZ" w:eastAsia="en-NZ"/>
              </w:rPr>
              <w:t>Log-Likelihood Function</w:t>
            </w:r>
          </w:p>
        </w:tc>
        <w:tc>
          <w:tcPr>
            <w:tcW w:w="4510" w:type="dxa"/>
            <w:tcBorders>
              <w:top w:val="nil"/>
              <w:bottom w:val="nil"/>
            </w:tcBorders>
            <w:shd w:val="clear" w:color="auto" w:fill="auto"/>
            <w:tcMar>
              <w:top w:w="28" w:type="dxa"/>
              <w:left w:w="108" w:type="dxa"/>
              <w:bottom w:w="28" w:type="dxa"/>
              <w:right w:w="108" w:type="dxa"/>
            </w:tcMa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EastAsia"/>
                <w:color w:val="000000" w:themeColor="text1"/>
                <w:kern w:val="24"/>
                <w:sz w:val="20"/>
                <w:szCs w:val="20"/>
                <w:bdr w:val="none" w:sz="0" w:space="0" w:color="auto"/>
                <w:lang w:val="en-NZ" w:eastAsia="en-NZ"/>
              </w:rPr>
            </w:pPr>
            <w:r>
              <w:rPr>
                <w:rFonts w:eastAsiaTheme="minorEastAsia"/>
                <w:color w:val="000000" w:themeColor="text1"/>
                <w:kern w:val="24"/>
                <w:sz w:val="20"/>
                <w:szCs w:val="20"/>
                <w:bdr w:val="none" w:sz="0" w:space="0" w:color="auto"/>
                <w:lang w:val="en-NZ" w:eastAsia="en-NZ"/>
              </w:rPr>
              <w:t>-2,791.12</w:t>
            </w:r>
          </w:p>
        </w:tc>
      </w:tr>
      <w:tr w:rsidR="00BA21D9" w:rsidRPr="0043730F" w:rsidTr="00FF65F3">
        <w:trPr>
          <w:trHeight w:val="227"/>
          <w:jc w:val="center"/>
        </w:trPr>
        <w:tc>
          <w:tcPr>
            <w:tcW w:w="4510" w:type="dxa"/>
            <w:tcBorders>
              <w:top w:val="nil"/>
              <w:bottom w:val="single" w:sz="8" w:space="0" w:color="auto"/>
            </w:tcBorders>
            <w:shd w:val="clear" w:color="auto" w:fill="auto"/>
            <w:tcMar>
              <w:top w:w="28" w:type="dxa"/>
              <w:left w:w="108" w:type="dxa"/>
              <w:bottom w:w="28" w:type="dxa"/>
              <w:right w:w="108" w:type="dxa"/>
            </w:tcMa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val="en-NZ" w:eastAsia="en-NZ"/>
              </w:rPr>
            </w:pPr>
            <w:r>
              <w:rPr>
                <w:color w:val="000000" w:themeColor="text1"/>
                <w:kern w:val="24"/>
                <w:sz w:val="20"/>
                <w:szCs w:val="20"/>
                <w:bdr w:val="none" w:sz="0" w:space="0" w:color="auto"/>
                <w:lang w:val="en-NZ" w:eastAsia="en-NZ"/>
              </w:rPr>
              <w:t>Pseudo R</w:t>
            </w:r>
            <w:r w:rsidRPr="001F3FFC">
              <w:rPr>
                <w:color w:val="000000" w:themeColor="text1"/>
                <w:kern w:val="24"/>
                <w:sz w:val="20"/>
                <w:szCs w:val="20"/>
                <w:bdr w:val="none" w:sz="0" w:space="0" w:color="auto"/>
                <w:vertAlign w:val="superscript"/>
                <w:lang w:val="en-NZ" w:eastAsia="en-NZ"/>
              </w:rPr>
              <w:t>2</w:t>
            </w:r>
            <w:r>
              <w:rPr>
                <w:color w:val="000000" w:themeColor="text1"/>
                <w:kern w:val="24"/>
                <w:sz w:val="20"/>
                <w:szCs w:val="20"/>
                <w:bdr w:val="none" w:sz="0" w:space="0" w:color="auto"/>
                <w:lang w:val="en-NZ" w:eastAsia="en-NZ"/>
              </w:rPr>
              <w:t xml:space="preserve"> Statistic</w:t>
            </w:r>
          </w:p>
        </w:tc>
        <w:tc>
          <w:tcPr>
            <w:tcW w:w="4510" w:type="dxa"/>
            <w:tcBorders>
              <w:top w:val="nil"/>
              <w:bottom w:val="single" w:sz="8" w:space="0" w:color="auto"/>
            </w:tcBorders>
            <w:shd w:val="clear" w:color="auto" w:fill="auto"/>
            <w:tcMar>
              <w:top w:w="28" w:type="dxa"/>
              <w:left w:w="108" w:type="dxa"/>
              <w:bottom w:w="28" w:type="dxa"/>
              <w:right w:w="108" w:type="dxa"/>
            </w:tcMa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EastAsia"/>
                <w:color w:val="000000" w:themeColor="text1"/>
                <w:kern w:val="24"/>
                <w:sz w:val="20"/>
                <w:szCs w:val="20"/>
                <w:bdr w:val="none" w:sz="0" w:space="0" w:color="auto"/>
                <w:lang w:val="en-NZ" w:eastAsia="en-NZ"/>
              </w:rPr>
            </w:pPr>
            <w:r>
              <w:rPr>
                <w:rFonts w:eastAsiaTheme="minorEastAsia"/>
                <w:color w:val="000000" w:themeColor="text1"/>
                <w:kern w:val="24"/>
                <w:sz w:val="20"/>
                <w:szCs w:val="20"/>
                <w:bdr w:val="none" w:sz="0" w:space="0" w:color="auto"/>
                <w:lang w:val="en-NZ" w:eastAsia="en-NZ"/>
              </w:rPr>
              <w:t>0.2416</w:t>
            </w:r>
          </w:p>
        </w:tc>
      </w:tr>
    </w:tbl>
    <w:p w:rsidR="00BA21D9" w:rsidRDefault="00BA21D9" w:rsidP="00BA21D9">
      <w:pPr>
        <w:widowControl w:val="0"/>
        <w:autoSpaceDE w:val="0"/>
        <w:autoSpaceDN w:val="0"/>
        <w:adjustRightInd w:val="0"/>
        <w:spacing w:before="80" w:after="80"/>
        <w:jc w:val="both"/>
        <w:rPr>
          <w:sz w:val="20"/>
          <w:szCs w:val="20"/>
        </w:rPr>
      </w:pPr>
      <w:r w:rsidRPr="000C6A33">
        <w:rPr>
          <w:sz w:val="20"/>
          <w:szCs w:val="20"/>
        </w:rPr>
        <w:t>Notes</w:t>
      </w:r>
      <w:r>
        <w:rPr>
          <w:sz w:val="20"/>
          <w:szCs w:val="20"/>
        </w:rPr>
        <w:t>:</w:t>
      </w:r>
    </w:p>
    <w:p w:rsidR="00BA21D9" w:rsidRDefault="00BA21D9" w:rsidP="00BA21D9">
      <w:pPr>
        <w:widowControl w:val="0"/>
        <w:autoSpaceDE w:val="0"/>
        <w:autoSpaceDN w:val="0"/>
        <w:adjustRightInd w:val="0"/>
        <w:jc w:val="both"/>
        <w:rPr>
          <w:sz w:val="20"/>
          <w:szCs w:val="20"/>
        </w:rPr>
      </w:pPr>
      <w:r>
        <w:rPr>
          <w:sz w:val="20"/>
          <w:szCs w:val="20"/>
        </w:rPr>
        <w:t>Full set of regression results.  See the notes at the bottom of Table 7 in the main body of this report for more information on this estimation procedure.</w:t>
      </w:r>
      <w:r w:rsidR="00B95BE7">
        <w:rPr>
          <w:sz w:val="20"/>
          <w:szCs w:val="20"/>
        </w:rPr>
        <w:t xml:space="preserve"> Excluded categories are birth cohort =1991, urban area = Main Urban Area</w:t>
      </w:r>
      <w:r w:rsidR="002A642C">
        <w:rPr>
          <w:sz w:val="20"/>
          <w:szCs w:val="20"/>
        </w:rPr>
        <w:t xml:space="preserve"> and</w:t>
      </w:r>
      <w:r w:rsidR="00B95BE7">
        <w:rPr>
          <w:sz w:val="20"/>
          <w:szCs w:val="20"/>
        </w:rPr>
        <w:t xml:space="preserve"> </w:t>
      </w:r>
      <w:r w:rsidR="008720EC">
        <w:rPr>
          <w:sz w:val="20"/>
          <w:szCs w:val="20"/>
        </w:rPr>
        <w:t>MoE</w:t>
      </w:r>
      <w:r w:rsidR="00DF661F">
        <w:rPr>
          <w:sz w:val="20"/>
          <w:szCs w:val="20"/>
        </w:rPr>
        <w:t xml:space="preserve"> </w:t>
      </w:r>
      <w:r w:rsidR="00B95BE7">
        <w:rPr>
          <w:sz w:val="20"/>
          <w:szCs w:val="20"/>
        </w:rPr>
        <w:t>Office = Auckland N</w:t>
      </w:r>
      <w:r w:rsidR="00B9324F">
        <w:rPr>
          <w:sz w:val="20"/>
          <w:szCs w:val="20"/>
        </w:rPr>
        <w:t xml:space="preserve">orth. </w:t>
      </w:r>
    </w:p>
    <w:p w:rsidR="00BA21D9" w:rsidRDefault="00BA21D9" w:rsidP="00BA21D9">
      <w:pPr>
        <w:widowControl w:val="0"/>
        <w:autoSpaceDE w:val="0"/>
        <w:autoSpaceDN w:val="0"/>
        <w:adjustRightInd w:val="0"/>
        <w:jc w:val="both"/>
        <w:rPr>
          <w:sz w:val="20"/>
          <w:szCs w:val="20"/>
        </w:rPr>
      </w:pPr>
    </w:p>
    <w:p w:rsidR="00BA21D9" w:rsidRDefault="00BA21D9" w:rsidP="00BA21D9">
      <w:pPr>
        <w:widowControl w:val="0"/>
        <w:autoSpaceDE w:val="0"/>
        <w:autoSpaceDN w:val="0"/>
        <w:adjustRightInd w:val="0"/>
        <w:jc w:val="both"/>
        <w:rPr>
          <w:sz w:val="20"/>
          <w:szCs w:val="20"/>
        </w:rPr>
      </w:pPr>
      <w:r w:rsidRPr="000C6A33">
        <w:rPr>
          <w:sz w:val="20"/>
          <w:szCs w:val="20"/>
          <w:vertAlign w:val="superscript"/>
        </w:rPr>
        <w:t>***</w:t>
      </w:r>
      <w:r>
        <w:rPr>
          <w:sz w:val="20"/>
          <w:szCs w:val="20"/>
        </w:rPr>
        <w:t xml:space="preserve"> Estimated partial derivative significantly different from zero</w:t>
      </w:r>
      <w:r w:rsidRPr="004B26AA">
        <w:rPr>
          <w:sz w:val="20"/>
          <w:szCs w:val="20"/>
        </w:rPr>
        <w:t xml:space="preserve"> </w:t>
      </w:r>
      <w:r>
        <w:rPr>
          <w:sz w:val="20"/>
          <w:szCs w:val="20"/>
        </w:rPr>
        <w:t xml:space="preserve">at a 1% level using a </w:t>
      </w:r>
      <w:r w:rsidRPr="000C6A33">
        <w:rPr>
          <w:i/>
          <w:sz w:val="20"/>
          <w:szCs w:val="20"/>
        </w:rPr>
        <w:t xml:space="preserve">t </w:t>
      </w:r>
      <w:r>
        <w:rPr>
          <w:sz w:val="20"/>
          <w:szCs w:val="20"/>
        </w:rPr>
        <w:t>test</w:t>
      </w:r>
    </w:p>
    <w:p w:rsidR="00BA21D9" w:rsidRDefault="00BA21D9" w:rsidP="00BA21D9">
      <w:pPr>
        <w:widowControl w:val="0"/>
        <w:autoSpaceDE w:val="0"/>
        <w:autoSpaceDN w:val="0"/>
        <w:adjustRightInd w:val="0"/>
        <w:jc w:val="both"/>
        <w:rPr>
          <w:sz w:val="20"/>
          <w:szCs w:val="20"/>
        </w:rPr>
      </w:pPr>
      <w:r w:rsidRPr="000C6A33">
        <w:rPr>
          <w:sz w:val="20"/>
          <w:szCs w:val="20"/>
          <w:vertAlign w:val="superscript"/>
        </w:rPr>
        <w:t>**</w:t>
      </w:r>
      <w:r>
        <w:rPr>
          <w:sz w:val="20"/>
          <w:szCs w:val="20"/>
          <w:vertAlign w:val="superscript"/>
        </w:rPr>
        <w:t xml:space="preserve">  </w:t>
      </w:r>
      <w:r>
        <w:rPr>
          <w:sz w:val="20"/>
          <w:szCs w:val="20"/>
        </w:rPr>
        <w:t xml:space="preserve"> Estimated partial derivative significantly different from zero</w:t>
      </w:r>
      <w:r w:rsidRPr="004B26AA">
        <w:rPr>
          <w:sz w:val="20"/>
          <w:szCs w:val="20"/>
        </w:rPr>
        <w:t xml:space="preserve"> </w:t>
      </w:r>
      <w:r>
        <w:rPr>
          <w:sz w:val="20"/>
          <w:szCs w:val="20"/>
        </w:rPr>
        <w:t xml:space="preserve">at a 5% level using a </w:t>
      </w:r>
      <w:r w:rsidRPr="000C6A33">
        <w:rPr>
          <w:i/>
          <w:sz w:val="20"/>
          <w:szCs w:val="20"/>
        </w:rPr>
        <w:t xml:space="preserve">t </w:t>
      </w:r>
      <w:r>
        <w:rPr>
          <w:sz w:val="20"/>
          <w:szCs w:val="20"/>
        </w:rPr>
        <w:t>test</w:t>
      </w:r>
    </w:p>
    <w:p w:rsidR="00BA21D9" w:rsidRDefault="00BA21D9" w:rsidP="00BA21D9">
      <w:pPr>
        <w:widowControl w:val="0"/>
        <w:autoSpaceDE w:val="0"/>
        <w:autoSpaceDN w:val="0"/>
        <w:adjustRightInd w:val="0"/>
        <w:jc w:val="both"/>
        <w:rPr>
          <w:sz w:val="20"/>
          <w:szCs w:val="20"/>
        </w:rPr>
      </w:pPr>
      <w:r>
        <w:rPr>
          <w:sz w:val="20"/>
          <w:szCs w:val="20"/>
          <w:vertAlign w:val="superscript"/>
        </w:rPr>
        <w:t>*</w:t>
      </w:r>
      <w:r>
        <w:rPr>
          <w:sz w:val="20"/>
          <w:szCs w:val="20"/>
        </w:rPr>
        <w:t xml:space="preserve">    Estimated partial derivative significantly different from zero</w:t>
      </w:r>
      <w:r w:rsidRPr="004B26AA">
        <w:rPr>
          <w:sz w:val="20"/>
          <w:szCs w:val="20"/>
        </w:rPr>
        <w:t xml:space="preserve"> </w:t>
      </w:r>
      <w:r>
        <w:rPr>
          <w:sz w:val="20"/>
          <w:szCs w:val="20"/>
        </w:rPr>
        <w:t xml:space="preserve">at a 10% level using a </w:t>
      </w:r>
      <w:r w:rsidRPr="000C6A33">
        <w:rPr>
          <w:i/>
          <w:sz w:val="20"/>
          <w:szCs w:val="20"/>
        </w:rPr>
        <w:t xml:space="preserve">t </w:t>
      </w:r>
      <w:r>
        <w:rPr>
          <w:sz w:val="20"/>
          <w:szCs w:val="20"/>
        </w:rPr>
        <w:t>test</w:t>
      </w:r>
    </w:p>
    <w:p w:rsidR="00BA21D9" w:rsidRDefault="00BA21D9" w:rsidP="00BA21D9">
      <w:pPr>
        <w:widowControl w:val="0"/>
        <w:autoSpaceDE w:val="0"/>
        <w:autoSpaceDN w:val="0"/>
        <w:adjustRightInd w:val="0"/>
        <w:jc w:val="both"/>
        <w:rPr>
          <w:sz w:val="20"/>
          <w:szCs w:val="20"/>
          <w:lang w:val="en-NZ"/>
        </w:rPr>
      </w:pPr>
      <w:r w:rsidRPr="00994E2A">
        <w:rPr>
          <w:sz w:val="20"/>
          <w:szCs w:val="20"/>
        </w:rPr>
        <w:t xml:space="preserve"> </w:t>
      </w:r>
    </w:p>
    <w:p w:rsidR="00BA21D9" w:rsidRDefault="00BA21D9" w:rsidP="00BA21D9">
      <w:pPr>
        <w:rPr>
          <w:sz w:val="22"/>
          <w:szCs w:val="22"/>
          <w:lang w:val="en-NZ" w:eastAsia="en-SG"/>
        </w:rPr>
      </w:pPr>
    </w:p>
    <w:p w:rsidR="00BA21D9" w:rsidRPr="00B6264D" w:rsidRDefault="00BA21D9" w:rsidP="00BA21D9">
      <w:pPr>
        <w:pStyle w:val="Caption"/>
        <w:keepNext/>
        <w:spacing w:before="0" w:after="120"/>
        <w:jc w:val="center"/>
        <w:rPr>
          <w:b w:val="0"/>
          <w:bCs w:val="0"/>
          <w:sz w:val="22"/>
          <w:szCs w:val="22"/>
          <w:lang w:val="en-NZ"/>
        </w:rPr>
      </w:pPr>
      <w:r>
        <w:rPr>
          <w:sz w:val="22"/>
          <w:szCs w:val="22"/>
          <w:lang w:val="en-NZ"/>
        </w:rPr>
        <w:br w:type="page"/>
      </w:r>
    </w:p>
    <w:p w:rsidR="00C508A3" w:rsidRPr="006C39FE" w:rsidRDefault="00EB1E61" w:rsidP="006C39FE">
      <w:pPr>
        <w:pStyle w:val="Caption"/>
        <w:jc w:val="center"/>
        <w:rPr>
          <w:sz w:val="22"/>
          <w:szCs w:val="22"/>
        </w:rPr>
      </w:pPr>
      <w:bookmarkStart w:id="65" w:name="_Toc475430726"/>
      <w:r>
        <w:rPr>
          <w:sz w:val="22"/>
          <w:szCs w:val="22"/>
        </w:rPr>
        <w:t xml:space="preserve">Appendix </w:t>
      </w:r>
      <w:r w:rsidR="006C39FE" w:rsidRPr="006C39FE">
        <w:rPr>
          <w:sz w:val="22"/>
          <w:szCs w:val="22"/>
        </w:rPr>
        <w:t xml:space="preserve">Table </w:t>
      </w:r>
      <w:r w:rsidR="006C39FE" w:rsidRPr="006C39FE">
        <w:rPr>
          <w:sz w:val="22"/>
          <w:szCs w:val="22"/>
        </w:rPr>
        <w:fldChar w:fldCharType="begin"/>
      </w:r>
      <w:r w:rsidR="006C39FE" w:rsidRPr="006C39FE">
        <w:rPr>
          <w:sz w:val="22"/>
          <w:szCs w:val="22"/>
        </w:rPr>
        <w:instrText xml:space="preserve"> SEQ Table \* ARABIC </w:instrText>
      </w:r>
      <w:r w:rsidR="006C39FE" w:rsidRPr="006C39FE">
        <w:rPr>
          <w:sz w:val="22"/>
          <w:szCs w:val="22"/>
        </w:rPr>
        <w:fldChar w:fldCharType="separate"/>
      </w:r>
      <w:r>
        <w:rPr>
          <w:noProof/>
          <w:sz w:val="22"/>
          <w:szCs w:val="22"/>
        </w:rPr>
        <w:t>3</w:t>
      </w:r>
      <w:r w:rsidR="006C39FE" w:rsidRPr="006C39FE">
        <w:rPr>
          <w:sz w:val="22"/>
          <w:szCs w:val="22"/>
        </w:rPr>
        <w:fldChar w:fldCharType="end"/>
      </w:r>
      <w:r w:rsidR="006C39FE" w:rsidRPr="006C39FE">
        <w:rPr>
          <w:sz w:val="22"/>
          <w:szCs w:val="22"/>
        </w:rPr>
        <w:t xml:space="preserve">: Maximum Likelihood Probit </w:t>
      </w:r>
      <w:r w:rsidR="006C39FE">
        <w:rPr>
          <w:sz w:val="22"/>
          <w:szCs w:val="22"/>
        </w:rPr>
        <w:t>r</w:t>
      </w:r>
      <w:r w:rsidR="006C39FE" w:rsidRPr="006C39FE">
        <w:rPr>
          <w:sz w:val="22"/>
          <w:szCs w:val="22"/>
        </w:rPr>
        <w:t>esults, marginal effects on probability of teen mothers completing NCEA Level 1 and 2 qualifications</w:t>
      </w:r>
      <w:r w:rsidR="00A941E3">
        <w:rPr>
          <w:sz w:val="22"/>
          <w:szCs w:val="22"/>
        </w:rPr>
        <w:t>,</w:t>
      </w:r>
      <w:r w:rsidR="006C39FE" w:rsidRPr="006C39FE">
        <w:rPr>
          <w:sz w:val="22"/>
          <w:szCs w:val="22"/>
        </w:rPr>
        <w:t xml:space="preserve"> sub-samples without the qualification before the end of the year of their first birth</w:t>
      </w:r>
      <w:bookmarkEnd w:id="65"/>
    </w:p>
    <w:tbl>
      <w:tblPr>
        <w:tblW w:w="0" w:type="auto"/>
        <w:jc w:val="center"/>
        <w:tblBorders>
          <w:top w:val="single" w:sz="4" w:space="0" w:color="000000"/>
          <w:bottom w:val="single" w:sz="4" w:space="0" w:color="000000"/>
          <w:insideH w:val="single" w:sz="4" w:space="0" w:color="000000"/>
        </w:tblBorders>
        <w:tblCellMar>
          <w:left w:w="0" w:type="dxa"/>
          <w:right w:w="0" w:type="dxa"/>
        </w:tblCellMar>
        <w:tblLook w:val="0600" w:firstRow="0" w:lastRow="0" w:firstColumn="0" w:lastColumn="0" w:noHBand="1" w:noVBand="1"/>
      </w:tblPr>
      <w:tblGrid>
        <w:gridCol w:w="4366"/>
        <w:gridCol w:w="1588"/>
        <w:gridCol w:w="1588"/>
      </w:tblGrid>
      <w:tr w:rsidR="00BA21D9" w:rsidRPr="0043730F" w:rsidTr="0063534E">
        <w:trPr>
          <w:trHeight w:val="510"/>
          <w:jc w:val="center"/>
        </w:trPr>
        <w:tc>
          <w:tcPr>
            <w:tcW w:w="4366" w:type="dxa"/>
            <w:vMerge w:val="restart"/>
            <w:tcBorders>
              <w:top w:val="single" w:sz="8" w:space="0" w:color="000000"/>
            </w:tcBorders>
            <w:shd w:val="clear" w:color="auto" w:fill="auto"/>
            <w:tcMar>
              <w:top w:w="15" w:type="dxa"/>
              <w:left w:w="108" w:type="dxa"/>
              <w:bottom w:w="0" w:type="dxa"/>
              <w:right w:w="108" w:type="dxa"/>
            </w:tcMar>
            <w:vAlign w:val="bottom"/>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sidRPr="004F4C26">
              <w:rPr>
                <w:color w:val="000000" w:themeColor="text1"/>
                <w:kern w:val="24"/>
                <w:sz w:val="20"/>
                <w:szCs w:val="20"/>
                <w:bdr w:val="none" w:sz="0" w:space="0" w:color="auto"/>
                <w:lang w:eastAsia="en-NZ"/>
              </w:rPr>
              <w:t> </w:t>
            </w:r>
          </w:p>
        </w:tc>
        <w:tc>
          <w:tcPr>
            <w:tcW w:w="3176" w:type="dxa"/>
            <w:gridSpan w:val="2"/>
            <w:tcBorders>
              <w:top w:val="single" w:sz="8" w:space="0" w:color="000000"/>
              <w:bottom w:val="single" w:sz="8" w:space="0" w:color="000000"/>
            </w:tcBorders>
            <w:shd w:val="clear" w:color="auto" w:fill="auto"/>
            <w:tcMar>
              <w:top w:w="15" w:type="dxa"/>
              <w:left w:w="108" w:type="dxa"/>
              <w:bottom w:w="0" w:type="dxa"/>
              <w:right w:w="108" w:type="dxa"/>
            </w:tcMar>
            <w:vAlign w:val="bottom"/>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 xml:space="preserve">Estimated Marginal </w:t>
            </w:r>
            <w:r w:rsidRPr="004F4C26">
              <w:rPr>
                <w:color w:val="000000" w:themeColor="text1"/>
                <w:kern w:val="24"/>
                <w:sz w:val="20"/>
                <w:szCs w:val="20"/>
                <w:bdr w:val="none" w:sz="0" w:space="0" w:color="auto"/>
                <w:lang w:eastAsia="en-NZ"/>
              </w:rPr>
              <w:t>Effect</w:t>
            </w:r>
            <w:r>
              <w:rPr>
                <w:color w:val="000000" w:themeColor="text1"/>
                <w:kern w:val="24"/>
                <w:sz w:val="20"/>
                <w:szCs w:val="20"/>
                <w:bdr w:val="none" w:sz="0" w:space="0" w:color="auto"/>
                <w:lang w:eastAsia="en-NZ"/>
              </w:rPr>
              <w:t>s Standard Errors in Parentheses</w:t>
            </w:r>
          </w:p>
        </w:tc>
      </w:tr>
      <w:tr w:rsidR="00BA21D9" w:rsidRPr="0043730F" w:rsidTr="0063534E">
        <w:trPr>
          <w:trHeight w:val="510"/>
          <w:jc w:val="center"/>
        </w:trPr>
        <w:tc>
          <w:tcPr>
            <w:tcW w:w="4366" w:type="dxa"/>
            <w:vMerge/>
            <w:tcBorders>
              <w:bottom w:val="single" w:sz="8" w:space="0" w:color="000000"/>
            </w:tcBorders>
            <w:shd w:val="clear" w:color="auto" w:fill="auto"/>
            <w:tcMar>
              <w:top w:w="15" w:type="dxa"/>
              <w:left w:w="108" w:type="dxa"/>
              <w:bottom w:w="0" w:type="dxa"/>
              <w:right w:w="108" w:type="dxa"/>
            </w:tcMar>
            <w:vAlign w:val="bottom"/>
            <w:hideMark/>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NZ" w:eastAsia="en-NZ"/>
              </w:rPr>
            </w:pPr>
          </w:p>
        </w:tc>
        <w:tc>
          <w:tcPr>
            <w:tcW w:w="1588" w:type="dxa"/>
            <w:tcBorders>
              <w:top w:val="single" w:sz="8" w:space="0" w:color="000000"/>
              <w:bottom w:val="single" w:sz="8" w:space="0" w:color="000000"/>
            </w:tcBorders>
            <w:shd w:val="clear" w:color="auto" w:fill="auto"/>
            <w:tcMar>
              <w:top w:w="15" w:type="dxa"/>
              <w:left w:w="108" w:type="dxa"/>
              <w:bottom w:w="0" w:type="dxa"/>
              <w:right w:w="108" w:type="dxa"/>
            </w:tcMar>
            <w:vAlign w:val="bottom"/>
            <w:hideMark/>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NCEA</w:t>
            </w:r>
          </w:p>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Level 1</w:t>
            </w:r>
          </w:p>
        </w:tc>
        <w:tc>
          <w:tcPr>
            <w:tcW w:w="1588" w:type="dxa"/>
            <w:tcBorders>
              <w:top w:val="single" w:sz="8" w:space="0" w:color="000000"/>
              <w:bottom w:val="single" w:sz="8" w:space="0" w:color="000000"/>
            </w:tcBorders>
            <w:vAlign w:val="bottom"/>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NCEA</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 xml:space="preserve"> Level 2</w:t>
            </w:r>
          </w:p>
        </w:tc>
      </w:tr>
      <w:tr w:rsidR="00BA21D9" w:rsidRPr="0043730F" w:rsidTr="0063534E">
        <w:trPr>
          <w:trHeight w:val="284"/>
          <w:jc w:val="center"/>
        </w:trPr>
        <w:tc>
          <w:tcPr>
            <w:tcW w:w="4366" w:type="dxa"/>
            <w:tcBorders>
              <w:top w:val="single" w:sz="8" w:space="0" w:color="000000"/>
            </w:tcBorders>
            <w:shd w:val="clear" w:color="auto" w:fill="auto"/>
            <w:tcMar>
              <w:top w:w="28" w:type="dxa"/>
              <w:left w:w="108" w:type="dxa"/>
              <w:bottom w:w="28" w:type="dxa"/>
              <w:right w:w="108" w:type="dxa"/>
            </w:tcMar>
            <w:vAlign w:val="center"/>
            <w:hideMark/>
          </w:tcPr>
          <w:p w:rsidR="00BA21D9" w:rsidRPr="002A02F2"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sz w:val="20"/>
                <w:szCs w:val="20"/>
                <w:bdr w:val="none" w:sz="0" w:space="0" w:color="auto"/>
                <w:lang w:val="en-NZ" w:eastAsia="en-NZ"/>
              </w:rPr>
            </w:pPr>
            <w:r w:rsidRPr="002A02F2">
              <w:rPr>
                <w:b/>
                <w:color w:val="000000" w:themeColor="text1"/>
                <w:kern w:val="24"/>
                <w:sz w:val="20"/>
                <w:szCs w:val="20"/>
                <w:bdr w:val="none" w:sz="0" w:space="0" w:color="auto"/>
                <w:lang w:eastAsia="en-NZ"/>
              </w:rPr>
              <w:t xml:space="preserve">Distance of young woman’s </w:t>
            </w:r>
            <w:r>
              <w:rPr>
                <w:b/>
                <w:color w:val="000000" w:themeColor="text1"/>
                <w:kern w:val="24"/>
                <w:sz w:val="20"/>
                <w:szCs w:val="20"/>
                <w:bdr w:val="none" w:sz="0" w:space="0" w:color="auto"/>
                <w:lang w:eastAsia="en-NZ"/>
              </w:rPr>
              <w:t>pre-c</w:t>
            </w:r>
            <w:r w:rsidRPr="002A02F2">
              <w:rPr>
                <w:b/>
                <w:color w:val="000000" w:themeColor="text1"/>
                <w:kern w:val="24"/>
                <w:sz w:val="20"/>
                <w:szCs w:val="20"/>
                <w:bdr w:val="none" w:sz="0" w:space="0" w:color="auto"/>
                <w:lang w:eastAsia="en-NZ"/>
              </w:rPr>
              <w:t xml:space="preserve">onception </w:t>
            </w:r>
            <w:r>
              <w:rPr>
                <w:b/>
                <w:color w:val="000000" w:themeColor="text1"/>
                <w:kern w:val="24"/>
                <w:sz w:val="20"/>
                <w:szCs w:val="20"/>
                <w:bdr w:val="none" w:sz="0" w:space="0" w:color="auto"/>
                <w:lang w:eastAsia="en-NZ"/>
              </w:rPr>
              <w:t xml:space="preserve">school </w:t>
            </w:r>
            <w:r w:rsidRPr="002A02F2">
              <w:rPr>
                <w:b/>
                <w:color w:val="000000" w:themeColor="text1"/>
                <w:kern w:val="24"/>
                <w:sz w:val="20"/>
                <w:szCs w:val="20"/>
                <w:bdr w:val="none" w:sz="0" w:space="0" w:color="auto"/>
                <w:lang w:eastAsia="en-NZ"/>
              </w:rPr>
              <w:t xml:space="preserve">to TPU &lt; 20 km </w:t>
            </w:r>
            <m:oMath>
              <m:r>
                <m:rPr>
                  <m:sty m:val="bi"/>
                </m:rPr>
                <w:rPr>
                  <w:rFonts w:ascii="Cambria Math" w:hAnsi="Cambria Math" w:cs="Arial"/>
                  <w:color w:val="000000" w:themeColor="text1"/>
                  <w:kern w:val="24"/>
                  <w:sz w:val="20"/>
                  <w:szCs w:val="20"/>
                  <w:bdr w:val="none" w:sz="0" w:space="0" w:color="auto"/>
                  <w:lang w:eastAsia="en-NZ"/>
                </w:rPr>
                <m:t>(</m:t>
              </m:r>
              <m:r>
                <m:rPr>
                  <m:sty m:val="bi"/>
                </m:rPr>
                <w:rPr>
                  <w:rFonts w:ascii="Cambria Math" w:hAnsi="Cambria Math" w:cs="Arial" w:hint="eastAsia"/>
                  <w:color w:val="000000" w:themeColor="text1"/>
                  <w:kern w:val="24"/>
                  <w:sz w:val="20"/>
                  <w:szCs w:val="20"/>
                  <w:bdr w:val="none" w:sz="0" w:space="0" w:color="auto"/>
                  <w:lang w:eastAsia="en-NZ"/>
                </w:rPr>
                <m:t> </m:t>
              </m:r>
              <m:r>
                <m:rPr>
                  <m:sty m:val="bi"/>
                </m:rPr>
                <w:rPr>
                  <w:rFonts w:ascii="Cambria Math" w:hAnsi="Cambria Math" w:cs="Arial"/>
                  <w:color w:val="000000" w:themeColor="text1"/>
                  <w:kern w:val="24"/>
                  <w:sz w:val="20"/>
                  <w:szCs w:val="20"/>
                  <w:bdr w:val="none" w:sz="0" w:space="0" w:color="auto"/>
                  <w:lang w:eastAsia="en-NZ"/>
                </w:rPr>
                <m:t>TP</m:t>
              </m:r>
              <m:sSub>
                <m:sSubPr>
                  <m:ctrlPr>
                    <w:rPr>
                      <w:rFonts w:ascii="Cambria Math" w:hAnsi="Cambria Math" w:cs="Arial"/>
                      <w:b/>
                      <w:i/>
                      <w:iCs/>
                      <w:color w:val="000000" w:themeColor="text1"/>
                      <w:kern w:val="24"/>
                      <w:sz w:val="20"/>
                      <w:szCs w:val="20"/>
                      <w:bdr w:val="none" w:sz="0" w:space="0" w:color="auto"/>
                      <w:lang w:val="en-NZ" w:eastAsia="en-NZ"/>
                    </w:rPr>
                  </m:ctrlPr>
                </m:sSubPr>
                <m:e>
                  <m:r>
                    <m:rPr>
                      <m:sty m:val="bi"/>
                    </m:rPr>
                    <w:rPr>
                      <w:rFonts w:ascii="Cambria Math" w:hAnsi="Cambria Math" w:cs="Arial"/>
                      <w:color w:val="000000" w:themeColor="text1"/>
                      <w:kern w:val="24"/>
                      <w:sz w:val="20"/>
                      <w:szCs w:val="20"/>
                      <w:bdr w:val="none" w:sz="0" w:space="0" w:color="auto"/>
                      <w:lang w:eastAsia="en-NZ"/>
                    </w:rPr>
                    <m:t>U</m:t>
                  </m:r>
                </m:e>
                <m:sub>
                  <m:r>
                    <m:rPr>
                      <m:sty m:val="bi"/>
                    </m:rPr>
                    <w:rPr>
                      <w:rFonts w:ascii="Cambria Math" w:hAnsi="Cambria Math" w:cs="Arial"/>
                      <w:color w:val="000000" w:themeColor="text1"/>
                      <w:kern w:val="24"/>
                      <w:sz w:val="20"/>
                      <w:szCs w:val="20"/>
                      <w:bdr w:val="none" w:sz="0" w:space="0" w:color="auto"/>
                      <w:lang w:eastAsia="en-NZ"/>
                    </w:rPr>
                    <m:t>20</m:t>
                  </m:r>
                  <m:r>
                    <m:rPr>
                      <m:sty m:val="bi"/>
                    </m:rPr>
                    <w:rPr>
                      <w:rFonts w:ascii="Cambria Math" w:hAnsi="Cambria Math" w:cs="Arial"/>
                      <w:color w:val="000000" w:themeColor="text1"/>
                      <w:kern w:val="24"/>
                      <w:sz w:val="20"/>
                      <w:szCs w:val="20"/>
                      <w:bdr w:val="none" w:sz="0" w:space="0" w:color="auto"/>
                      <w:lang w:eastAsia="en-NZ"/>
                    </w:rPr>
                    <m:t>KM</m:t>
                  </m:r>
                </m:sub>
              </m:sSub>
              <m:r>
                <m:rPr>
                  <m:sty m:val="bi"/>
                </m:rPr>
                <w:rPr>
                  <w:rFonts w:ascii="Cambria Math" w:hAnsi="Cambria Math" w:cs="Arial"/>
                  <w:color w:val="000000" w:themeColor="text1"/>
                  <w:kern w:val="24"/>
                  <w:sz w:val="20"/>
                  <w:szCs w:val="20"/>
                  <w:bdr w:val="none" w:sz="0" w:space="0" w:color="auto"/>
                  <w:lang w:eastAsia="en-NZ"/>
                </w:rPr>
                <m:t>)</m:t>
              </m:r>
            </m:oMath>
            <w:r w:rsidRPr="002A02F2">
              <w:rPr>
                <w:b/>
                <w:color w:val="000000" w:themeColor="text1"/>
                <w:kern w:val="24"/>
                <w:sz w:val="20"/>
                <w:szCs w:val="20"/>
                <w:bdr w:val="none" w:sz="0" w:space="0" w:color="auto"/>
                <w:lang w:eastAsia="en-NZ"/>
              </w:rPr>
              <w:t> </w:t>
            </w:r>
          </w:p>
        </w:tc>
        <w:tc>
          <w:tcPr>
            <w:tcW w:w="1588" w:type="dxa"/>
            <w:tcBorders>
              <w:top w:val="single" w:sz="8" w:space="0" w:color="000000"/>
            </w:tcBorders>
            <w:shd w:val="clear" w:color="auto" w:fill="auto"/>
            <w:tcMar>
              <w:top w:w="28" w:type="dxa"/>
              <w:left w:w="108" w:type="dxa"/>
              <w:bottom w:w="28" w:type="dxa"/>
              <w:right w:w="108" w:type="dxa"/>
            </w:tcMar>
            <w:vAlign w:val="center"/>
            <w:hideMark/>
          </w:tcPr>
          <w:p w:rsidR="00BA21D9" w:rsidRPr="002A02F2"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sz w:val="20"/>
                <w:szCs w:val="20"/>
                <w:bdr w:val="none" w:sz="0" w:space="0" w:color="auto"/>
                <w:lang w:val="en-NZ" w:eastAsia="en-NZ"/>
              </w:rPr>
            </w:pPr>
            <w:r>
              <w:rPr>
                <w:b/>
                <w:color w:val="000000" w:themeColor="text1"/>
                <w:kern w:val="24"/>
                <w:sz w:val="20"/>
                <w:szCs w:val="20"/>
                <w:bdr w:val="none" w:sz="0" w:space="0" w:color="auto"/>
                <w:lang w:eastAsia="en-NZ"/>
              </w:rPr>
              <w:t>-</w:t>
            </w:r>
            <w:r w:rsidRPr="002A02F2">
              <w:rPr>
                <w:b/>
                <w:color w:val="000000" w:themeColor="text1"/>
                <w:kern w:val="24"/>
                <w:sz w:val="20"/>
                <w:szCs w:val="20"/>
                <w:bdr w:val="none" w:sz="0" w:space="0" w:color="auto"/>
                <w:lang w:eastAsia="en-NZ"/>
              </w:rPr>
              <w:t>0.0</w:t>
            </w:r>
            <w:r>
              <w:rPr>
                <w:b/>
                <w:color w:val="000000" w:themeColor="text1"/>
                <w:kern w:val="24"/>
                <w:sz w:val="20"/>
                <w:szCs w:val="20"/>
                <w:bdr w:val="none" w:sz="0" w:space="0" w:color="auto"/>
                <w:lang w:eastAsia="en-NZ"/>
              </w:rPr>
              <w:t>16</w:t>
            </w:r>
          </w:p>
          <w:p w:rsidR="00BA21D9" w:rsidRPr="002A02F2"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sz w:val="20"/>
                <w:szCs w:val="20"/>
                <w:bdr w:val="none" w:sz="0" w:space="0" w:color="auto"/>
                <w:lang w:val="en-NZ" w:eastAsia="en-NZ"/>
              </w:rPr>
            </w:pPr>
            <w:r>
              <w:rPr>
                <w:b/>
                <w:color w:val="000000" w:themeColor="text1"/>
                <w:kern w:val="24"/>
                <w:sz w:val="20"/>
                <w:szCs w:val="20"/>
                <w:bdr w:val="none" w:sz="0" w:space="0" w:color="auto"/>
                <w:lang w:eastAsia="en-NZ"/>
              </w:rPr>
              <w:t>(0.018</w:t>
            </w:r>
            <w:r w:rsidRPr="002A02F2">
              <w:rPr>
                <w:b/>
                <w:color w:val="000000" w:themeColor="text1"/>
                <w:kern w:val="24"/>
                <w:sz w:val="20"/>
                <w:szCs w:val="20"/>
                <w:bdr w:val="none" w:sz="0" w:space="0" w:color="auto"/>
                <w:lang w:eastAsia="en-NZ"/>
              </w:rPr>
              <w:t>)</w:t>
            </w:r>
          </w:p>
        </w:tc>
        <w:tc>
          <w:tcPr>
            <w:tcW w:w="1588" w:type="dxa"/>
            <w:tcBorders>
              <w:top w:val="single" w:sz="8" w:space="0" w:color="000000"/>
            </w:tcBorders>
            <w:shd w:val="clear" w:color="auto" w:fill="auto"/>
            <w:vAlign w:val="center"/>
          </w:tcPr>
          <w:p w:rsidR="00BA21D9" w:rsidRPr="002A02F2"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sz w:val="20"/>
                <w:szCs w:val="20"/>
                <w:bdr w:val="none" w:sz="0" w:space="0" w:color="auto"/>
                <w:lang w:val="en-NZ" w:eastAsia="en-NZ"/>
              </w:rPr>
            </w:pPr>
            <w:r>
              <w:rPr>
                <w:b/>
                <w:color w:val="000000" w:themeColor="text1"/>
                <w:kern w:val="24"/>
                <w:sz w:val="20"/>
                <w:szCs w:val="20"/>
                <w:bdr w:val="none" w:sz="0" w:space="0" w:color="auto"/>
                <w:lang w:eastAsia="en-NZ"/>
              </w:rPr>
              <w:t>-</w:t>
            </w:r>
            <w:r w:rsidRPr="002A02F2">
              <w:rPr>
                <w:b/>
                <w:color w:val="000000" w:themeColor="text1"/>
                <w:kern w:val="24"/>
                <w:sz w:val="20"/>
                <w:szCs w:val="20"/>
                <w:bdr w:val="none" w:sz="0" w:space="0" w:color="auto"/>
                <w:lang w:eastAsia="en-NZ"/>
              </w:rPr>
              <w:t>0.0</w:t>
            </w:r>
            <w:r>
              <w:rPr>
                <w:b/>
                <w:color w:val="000000" w:themeColor="text1"/>
                <w:kern w:val="24"/>
                <w:sz w:val="20"/>
                <w:szCs w:val="20"/>
                <w:bdr w:val="none" w:sz="0" w:space="0" w:color="auto"/>
                <w:lang w:eastAsia="en-NZ"/>
              </w:rPr>
              <w:t>04</w:t>
            </w:r>
          </w:p>
          <w:p w:rsidR="00BA21D9" w:rsidRPr="002A02F2"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b/>
                <w:color w:val="000000" w:themeColor="text1"/>
                <w:kern w:val="24"/>
                <w:sz w:val="20"/>
                <w:szCs w:val="20"/>
                <w:bdr w:val="none" w:sz="0" w:space="0" w:color="auto"/>
                <w:lang w:eastAsia="en-NZ"/>
              </w:rPr>
            </w:pPr>
            <w:r>
              <w:rPr>
                <w:b/>
                <w:color w:val="000000" w:themeColor="text1"/>
                <w:kern w:val="24"/>
                <w:sz w:val="20"/>
                <w:szCs w:val="20"/>
                <w:bdr w:val="none" w:sz="0" w:space="0" w:color="auto"/>
                <w:lang w:eastAsia="en-NZ"/>
              </w:rPr>
              <w:t>(0.015</w:t>
            </w:r>
            <w:r w:rsidRPr="002A02F2">
              <w:rPr>
                <w:b/>
                <w:color w:val="000000" w:themeColor="text1"/>
                <w:kern w:val="24"/>
                <w:sz w:val="20"/>
                <w:szCs w:val="20"/>
                <w:bdr w:val="none" w:sz="0" w:space="0" w:color="auto"/>
                <w:lang w:eastAsia="en-NZ"/>
              </w:rPr>
              <w:t>)</w:t>
            </w:r>
          </w:p>
        </w:tc>
      </w:tr>
      <w:tr w:rsidR="00BA21D9" w:rsidRPr="0043730F" w:rsidTr="0063534E">
        <w:trPr>
          <w:trHeight w:val="284"/>
          <w:jc w:val="center"/>
        </w:trPr>
        <w:tc>
          <w:tcPr>
            <w:tcW w:w="4366" w:type="dxa"/>
            <w:shd w:val="clear" w:color="auto" w:fill="auto"/>
            <w:tcMar>
              <w:top w:w="28" w:type="dxa"/>
              <w:left w:w="108" w:type="dxa"/>
              <w:bottom w:w="28" w:type="dxa"/>
              <w:right w:w="108" w:type="dxa"/>
            </w:tcMar>
            <w:vAlign w:val="center"/>
            <w:hideMark/>
          </w:tcPr>
          <w:p w:rsidR="00BA21D9" w:rsidRPr="002A02F2"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sz w:val="20"/>
                <w:szCs w:val="20"/>
                <w:bdr w:val="none" w:sz="0" w:space="0" w:color="auto"/>
                <w:lang w:val="en-NZ" w:eastAsia="en-NZ"/>
              </w:rPr>
            </w:pPr>
            <w:r w:rsidRPr="002A02F2">
              <w:rPr>
                <w:b/>
                <w:color w:val="000000" w:themeColor="text1"/>
                <w:kern w:val="24"/>
                <w:sz w:val="20"/>
                <w:szCs w:val="20"/>
                <w:bdr w:val="none" w:sz="0" w:space="0" w:color="auto"/>
                <w:lang w:eastAsia="en-NZ"/>
              </w:rPr>
              <w:t>TPU enrolled at conception (</w:t>
            </w:r>
            <m:oMath>
              <m:r>
                <m:rPr>
                  <m:sty m:val="bi"/>
                </m:rPr>
                <w:rPr>
                  <w:rFonts w:ascii="Cambria Math" w:hAnsi="Cambria Math" w:cs="Arial" w:hint="eastAsia"/>
                  <w:color w:val="000000" w:themeColor="text1"/>
                  <w:kern w:val="24"/>
                  <w:sz w:val="20"/>
                  <w:szCs w:val="20"/>
                  <w:bdr w:val="none" w:sz="0" w:space="0" w:color="auto"/>
                  <w:lang w:eastAsia="en-NZ"/>
                </w:rPr>
                <m:t> </m:t>
              </m:r>
              <m:r>
                <m:rPr>
                  <m:sty m:val="bi"/>
                </m:rPr>
                <w:rPr>
                  <w:rFonts w:ascii="Cambria Math" w:hAnsi="Cambria Math" w:cs="Arial"/>
                  <w:color w:val="000000" w:themeColor="text1"/>
                  <w:kern w:val="24"/>
                  <w:sz w:val="20"/>
                  <w:szCs w:val="20"/>
                  <w:bdr w:val="none" w:sz="0" w:space="0" w:color="auto"/>
                  <w:lang w:eastAsia="en-NZ"/>
                </w:rPr>
                <m:t>TP</m:t>
              </m:r>
              <m:sSub>
                <m:sSubPr>
                  <m:ctrlPr>
                    <w:rPr>
                      <w:rFonts w:ascii="Cambria Math" w:hAnsi="Cambria Math" w:cs="Arial"/>
                      <w:b/>
                      <w:i/>
                      <w:iCs/>
                      <w:color w:val="000000" w:themeColor="text1"/>
                      <w:kern w:val="24"/>
                      <w:sz w:val="20"/>
                      <w:szCs w:val="20"/>
                      <w:bdr w:val="none" w:sz="0" w:space="0" w:color="auto"/>
                      <w:lang w:val="en-NZ" w:eastAsia="en-NZ"/>
                    </w:rPr>
                  </m:ctrlPr>
                </m:sSubPr>
                <m:e>
                  <m:r>
                    <m:rPr>
                      <m:sty m:val="bi"/>
                    </m:rPr>
                    <w:rPr>
                      <w:rFonts w:ascii="Cambria Math" w:hAnsi="Cambria Math" w:cs="Arial"/>
                      <w:color w:val="000000" w:themeColor="text1"/>
                      <w:kern w:val="24"/>
                      <w:sz w:val="20"/>
                      <w:szCs w:val="20"/>
                      <w:bdr w:val="none" w:sz="0" w:space="0" w:color="auto"/>
                      <w:lang w:eastAsia="en-NZ"/>
                    </w:rPr>
                    <m:t>U</m:t>
                  </m:r>
                </m:e>
                <m:sub>
                  <m:r>
                    <m:rPr>
                      <m:sty m:val="bi"/>
                    </m:rPr>
                    <w:rPr>
                      <w:rFonts w:ascii="Cambria Math" w:hAnsi="Cambria Math" w:cs="Arial"/>
                      <w:color w:val="000000" w:themeColor="text1"/>
                      <w:kern w:val="24"/>
                      <w:sz w:val="20"/>
                      <w:szCs w:val="20"/>
                      <w:bdr w:val="none" w:sz="0" w:space="0" w:color="auto"/>
                      <w:lang w:eastAsia="en-NZ"/>
                    </w:rPr>
                    <m:t>Pre-Birth</m:t>
                  </m:r>
                </m:sub>
              </m:sSub>
              <m:r>
                <m:rPr>
                  <m:sty m:val="bi"/>
                </m:rPr>
                <w:rPr>
                  <w:rFonts w:ascii="Cambria Math" w:hAnsi="Cambria Math" w:cs="Arial"/>
                  <w:color w:val="000000" w:themeColor="text1"/>
                  <w:kern w:val="24"/>
                  <w:sz w:val="20"/>
                  <w:szCs w:val="20"/>
                  <w:bdr w:val="none" w:sz="0" w:space="0" w:color="auto"/>
                  <w:lang w:eastAsia="en-NZ"/>
                </w:rPr>
                <m:t>)</m:t>
              </m:r>
            </m:oMath>
            <w:r w:rsidRPr="002A02F2">
              <w:rPr>
                <w:b/>
                <w:color w:val="000000" w:themeColor="text1"/>
                <w:kern w:val="24"/>
                <w:sz w:val="20"/>
                <w:szCs w:val="20"/>
                <w:bdr w:val="none" w:sz="0" w:space="0" w:color="auto"/>
                <w:lang w:eastAsia="en-NZ"/>
              </w:rPr>
              <w:t> </w:t>
            </w:r>
          </w:p>
        </w:tc>
        <w:tc>
          <w:tcPr>
            <w:tcW w:w="1588" w:type="dxa"/>
            <w:shd w:val="clear" w:color="auto" w:fill="auto"/>
            <w:tcMar>
              <w:top w:w="28" w:type="dxa"/>
              <w:left w:w="108" w:type="dxa"/>
              <w:bottom w:w="28" w:type="dxa"/>
              <w:right w:w="108" w:type="dxa"/>
            </w:tcMar>
            <w:vAlign w:val="center"/>
            <w:hideMark/>
          </w:tcPr>
          <w:p w:rsidR="00BA21D9" w:rsidRPr="002A02F2"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sz w:val="20"/>
                <w:szCs w:val="20"/>
                <w:bdr w:val="none" w:sz="0" w:space="0" w:color="auto"/>
                <w:lang w:val="en-NZ" w:eastAsia="en-NZ"/>
              </w:rPr>
            </w:pPr>
            <w:r>
              <w:rPr>
                <w:b/>
                <w:color w:val="000000" w:themeColor="text1"/>
                <w:kern w:val="24"/>
                <w:sz w:val="20"/>
                <w:szCs w:val="20"/>
                <w:bdr w:val="none" w:sz="0" w:space="0" w:color="auto"/>
                <w:lang w:eastAsia="en-NZ"/>
              </w:rPr>
              <w:t xml:space="preserve">   0.097</w:t>
            </w:r>
            <w:r w:rsidRPr="00BB5B9D">
              <w:rPr>
                <w:color w:val="000000" w:themeColor="text1"/>
                <w:kern w:val="24"/>
                <w:sz w:val="20"/>
                <w:szCs w:val="20"/>
                <w:bdr w:val="none" w:sz="0" w:space="0" w:color="auto"/>
                <w:vertAlign w:val="superscript"/>
                <w:lang w:eastAsia="en-NZ"/>
              </w:rPr>
              <w:t>***</w:t>
            </w:r>
          </w:p>
          <w:p w:rsidR="00BA21D9" w:rsidRPr="002A02F2"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sz w:val="20"/>
                <w:szCs w:val="20"/>
                <w:bdr w:val="none" w:sz="0" w:space="0" w:color="auto"/>
                <w:lang w:val="en-NZ" w:eastAsia="en-NZ"/>
              </w:rPr>
            </w:pPr>
            <w:r>
              <w:rPr>
                <w:rFonts w:eastAsia="Times New Roman"/>
                <w:b/>
                <w:sz w:val="20"/>
                <w:szCs w:val="20"/>
                <w:bdr w:val="none" w:sz="0" w:space="0" w:color="auto"/>
                <w:lang w:val="en-NZ" w:eastAsia="en-NZ"/>
              </w:rPr>
              <w:t>(0.037</w:t>
            </w:r>
            <w:r w:rsidRPr="002A02F2">
              <w:rPr>
                <w:rFonts w:eastAsia="Times New Roman"/>
                <w:b/>
                <w:sz w:val="20"/>
                <w:szCs w:val="20"/>
                <w:bdr w:val="none" w:sz="0" w:space="0" w:color="auto"/>
                <w:lang w:val="en-NZ" w:eastAsia="en-NZ"/>
              </w:rPr>
              <w:t>)</w:t>
            </w:r>
          </w:p>
        </w:tc>
        <w:tc>
          <w:tcPr>
            <w:tcW w:w="1588" w:type="dxa"/>
            <w:shd w:val="clear" w:color="auto" w:fill="auto"/>
            <w:vAlign w:val="center"/>
          </w:tcPr>
          <w:p w:rsidR="00BA21D9" w:rsidRPr="002A02F2"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sz w:val="20"/>
                <w:szCs w:val="20"/>
                <w:bdr w:val="none" w:sz="0" w:space="0" w:color="auto"/>
                <w:lang w:val="en-NZ" w:eastAsia="en-NZ"/>
              </w:rPr>
            </w:pPr>
            <w:r>
              <w:rPr>
                <w:b/>
                <w:color w:val="000000" w:themeColor="text1"/>
                <w:kern w:val="24"/>
                <w:sz w:val="20"/>
                <w:szCs w:val="20"/>
                <w:bdr w:val="none" w:sz="0" w:space="0" w:color="auto"/>
                <w:lang w:eastAsia="en-NZ"/>
              </w:rPr>
              <w:t xml:space="preserve">   0.055</w:t>
            </w:r>
            <w:r>
              <w:rPr>
                <w:color w:val="000000" w:themeColor="text1"/>
                <w:kern w:val="24"/>
                <w:sz w:val="20"/>
                <w:szCs w:val="20"/>
                <w:bdr w:val="none" w:sz="0" w:space="0" w:color="auto"/>
                <w:vertAlign w:val="superscript"/>
                <w:lang w:eastAsia="en-NZ"/>
              </w:rPr>
              <w:t>*</w:t>
            </w:r>
            <w:r w:rsidRPr="00BB5B9D">
              <w:rPr>
                <w:color w:val="000000" w:themeColor="text1"/>
                <w:kern w:val="24"/>
                <w:sz w:val="20"/>
                <w:szCs w:val="20"/>
                <w:bdr w:val="none" w:sz="0" w:space="0" w:color="auto"/>
                <w:vertAlign w:val="superscript"/>
                <w:lang w:eastAsia="en-NZ"/>
              </w:rPr>
              <w:t>*</w:t>
            </w:r>
          </w:p>
          <w:p w:rsidR="00BA21D9" w:rsidRPr="002A02F2"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b/>
                <w:color w:val="000000" w:themeColor="text1"/>
                <w:kern w:val="24"/>
                <w:sz w:val="20"/>
                <w:szCs w:val="20"/>
                <w:bdr w:val="none" w:sz="0" w:space="0" w:color="auto"/>
                <w:lang w:eastAsia="en-NZ"/>
              </w:rPr>
            </w:pPr>
            <w:r>
              <w:rPr>
                <w:rFonts w:eastAsia="Times New Roman"/>
                <w:b/>
                <w:sz w:val="20"/>
                <w:szCs w:val="20"/>
                <w:bdr w:val="none" w:sz="0" w:space="0" w:color="auto"/>
                <w:lang w:val="en-NZ" w:eastAsia="en-NZ"/>
              </w:rPr>
              <w:t>(0.028</w:t>
            </w:r>
            <w:r w:rsidRPr="002A02F2">
              <w:rPr>
                <w:rFonts w:eastAsia="Times New Roman"/>
                <w:b/>
                <w:sz w:val="20"/>
                <w:szCs w:val="20"/>
                <w:bdr w:val="none" w:sz="0" w:space="0" w:color="auto"/>
                <w:lang w:val="en-NZ" w:eastAsia="en-NZ"/>
              </w:rPr>
              <w:t>)</w:t>
            </w:r>
          </w:p>
        </w:tc>
      </w:tr>
      <w:tr w:rsidR="00BA21D9" w:rsidRPr="0043730F" w:rsidTr="0063534E">
        <w:trPr>
          <w:trHeight w:val="284"/>
          <w:jc w:val="center"/>
        </w:trPr>
        <w:tc>
          <w:tcPr>
            <w:tcW w:w="4366" w:type="dxa"/>
            <w:shd w:val="clear" w:color="auto" w:fill="auto"/>
            <w:tcMar>
              <w:top w:w="28" w:type="dxa"/>
              <w:left w:w="108" w:type="dxa"/>
              <w:bottom w:w="28" w:type="dxa"/>
              <w:right w:w="108" w:type="dxa"/>
            </w:tcMar>
            <w:vAlign w:val="center"/>
            <w:hideMark/>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NZ" w:eastAsia="en-NZ"/>
              </w:rPr>
            </w:pPr>
            <w:r w:rsidRPr="004F4C26">
              <w:rPr>
                <w:color w:val="000000" w:themeColor="text1"/>
                <w:kern w:val="24"/>
                <w:sz w:val="20"/>
                <w:szCs w:val="20"/>
                <w:bdr w:val="none" w:sz="0" w:space="0" w:color="auto"/>
                <w:lang w:eastAsia="en-NZ"/>
              </w:rPr>
              <w:t>School enrolled at conception</w:t>
            </w:r>
          </w:p>
        </w:tc>
        <w:tc>
          <w:tcPr>
            <w:tcW w:w="1588" w:type="dxa"/>
            <w:shd w:val="clear" w:color="auto" w:fill="auto"/>
            <w:tcMar>
              <w:top w:w="28" w:type="dxa"/>
              <w:left w:w="108" w:type="dxa"/>
              <w:bottom w:w="28" w:type="dxa"/>
              <w:right w:w="108" w:type="dxa"/>
            </w:tcMar>
            <w:vAlign w:val="center"/>
            <w:hideMark/>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0.244</w:t>
            </w:r>
            <w:r w:rsidRPr="001F3FFC">
              <w:rPr>
                <w:color w:val="000000" w:themeColor="text1"/>
                <w:kern w:val="24"/>
                <w:sz w:val="20"/>
                <w:szCs w:val="20"/>
                <w:bdr w:val="none" w:sz="0" w:space="0" w:color="auto"/>
                <w:vertAlign w:val="superscript"/>
                <w:lang w:eastAsia="en-NZ"/>
              </w:rPr>
              <w:t>***</w:t>
            </w:r>
          </w:p>
          <w:p w:rsidR="00BA21D9" w:rsidRPr="001F3FFC"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lang w:val="en-NZ" w:eastAsia="en-NZ"/>
              </w:rPr>
            </w:pPr>
            <w:r>
              <w:rPr>
                <w:rFonts w:eastAsia="Times New Roman"/>
                <w:sz w:val="20"/>
                <w:szCs w:val="20"/>
                <w:bdr w:val="none" w:sz="0" w:space="0" w:color="auto"/>
                <w:lang w:val="en-NZ" w:eastAsia="en-NZ"/>
              </w:rPr>
              <w:t>(0.019</w:t>
            </w:r>
            <w:r w:rsidRPr="001F3FFC">
              <w:rPr>
                <w:rFonts w:eastAsia="Times New Roman"/>
                <w:sz w:val="20"/>
                <w:szCs w:val="20"/>
                <w:bdr w:val="none" w:sz="0" w:space="0" w:color="auto"/>
                <w:lang w:val="en-NZ" w:eastAsia="en-NZ"/>
              </w:rPr>
              <w:t>)</w:t>
            </w:r>
          </w:p>
        </w:tc>
        <w:tc>
          <w:tcPr>
            <w:tcW w:w="1588"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0.196</w:t>
            </w:r>
            <w:r w:rsidRPr="001F3FFC">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(0.015</w:t>
            </w:r>
            <w:r w:rsidRPr="001F3FFC">
              <w:rPr>
                <w:rFonts w:eastAsia="Times New Roman"/>
                <w:sz w:val="20"/>
                <w:szCs w:val="20"/>
                <w:bdr w:val="none" w:sz="0" w:space="0" w:color="auto"/>
                <w:lang w:val="en-NZ" w:eastAsia="en-NZ"/>
              </w:rPr>
              <w:t>)</w:t>
            </w:r>
          </w:p>
        </w:tc>
      </w:tr>
      <w:tr w:rsidR="00BA21D9" w:rsidRPr="0043730F" w:rsidTr="0063534E">
        <w:trPr>
          <w:trHeight w:val="284"/>
          <w:jc w:val="center"/>
        </w:trPr>
        <w:tc>
          <w:tcPr>
            <w:tcW w:w="4366"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European</w:t>
            </w:r>
          </w:p>
        </w:tc>
        <w:tc>
          <w:tcPr>
            <w:tcW w:w="1588"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057</w:t>
            </w:r>
            <w:r w:rsidRPr="001F3FFC">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(0.024</w:t>
            </w:r>
            <w:r w:rsidRPr="001F3FFC">
              <w:rPr>
                <w:rFonts w:eastAsia="Times New Roman"/>
                <w:sz w:val="20"/>
                <w:szCs w:val="20"/>
                <w:bdr w:val="none" w:sz="0" w:space="0" w:color="auto"/>
                <w:lang w:val="en-NZ" w:eastAsia="en-NZ"/>
              </w:rPr>
              <w:t>)</w:t>
            </w:r>
          </w:p>
        </w:tc>
        <w:tc>
          <w:tcPr>
            <w:tcW w:w="1588"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034</w:t>
            </w:r>
            <w:r>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(0.018</w:t>
            </w:r>
            <w:r w:rsidRPr="001F3FFC">
              <w:rPr>
                <w:rFonts w:eastAsia="Times New Roman"/>
                <w:sz w:val="20"/>
                <w:szCs w:val="20"/>
                <w:bdr w:val="none" w:sz="0" w:space="0" w:color="auto"/>
                <w:lang w:val="en-NZ" w:eastAsia="en-NZ"/>
              </w:rPr>
              <w:t>)</w:t>
            </w:r>
          </w:p>
        </w:tc>
      </w:tr>
      <w:tr w:rsidR="00BA21D9" w:rsidRPr="0043730F" w:rsidTr="0063534E">
        <w:trPr>
          <w:trHeight w:val="284"/>
          <w:jc w:val="center"/>
        </w:trPr>
        <w:tc>
          <w:tcPr>
            <w:tcW w:w="4366"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Maori</w:t>
            </w:r>
          </w:p>
        </w:tc>
        <w:tc>
          <w:tcPr>
            <w:tcW w:w="1588"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001</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(0.023</w:t>
            </w:r>
            <w:r w:rsidRPr="001F3FFC">
              <w:rPr>
                <w:rFonts w:eastAsia="Times New Roman"/>
                <w:sz w:val="20"/>
                <w:szCs w:val="20"/>
                <w:bdr w:val="none" w:sz="0" w:space="0" w:color="auto"/>
                <w:lang w:val="en-NZ" w:eastAsia="en-NZ"/>
              </w:rPr>
              <w:t>)</w:t>
            </w:r>
          </w:p>
        </w:tc>
        <w:tc>
          <w:tcPr>
            <w:tcW w:w="1588"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003</w:t>
            </w:r>
          </w:p>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(0.018</w:t>
            </w:r>
            <w:r w:rsidRPr="001F3FFC">
              <w:rPr>
                <w:rFonts w:eastAsia="Times New Roman"/>
                <w:sz w:val="20"/>
                <w:szCs w:val="20"/>
                <w:bdr w:val="none" w:sz="0" w:space="0" w:color="auto"/>
                <w:lang w:val="en-NZ" w:eastAsia="en-NZ"/>
              </w:rPr>
              <w:t>)</w:t>
            </w:r>
          </w:p>
        </w:tc>
      </w:tr>
      <w:tr w:rsidR="00BA21D9" w:rsidRPr="0043730F" w:rsidTr="0063534E">
        <w:trPr>
          <w:trHeight w:val="284"/>
          <w:jc w:val="center"/>
        </w:trPr>
        <w:tc>
          <w:tcPr>
            <w:tcW w:w="4366" w:type="dxa"/>
            <w:shd w:val="clear" w:color="auto" w:fill="auto"/>
            <w:tcMar>
              <w:top w:w="28" w:type="dxa"/>
              <w:left w:w="108" w:type="dxa"/>
              <w:bottom w:w="28" w:type="dxa"/>
              <w:right w:w="108" w:type="dxa"/>
            </w:tcMar>
            <w:vAlign w:val="cente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Pacific</w:t>
            </w:r>
          </w:p>
        </w:tc>
        <w:tc>
          <w:tcPr>
            <w:tcW w:w="1588"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0</w:t>
            </w:r>
            <w:r w:rsidRPr="004F4C26">
              <w:rPr>
                <w:color w:val="000000" w:themeColor="text1"/>
                <w:kern w:val="24"/>
                <w:sz w:val="20"/>
                <w:szCs w:val="20"/>
                <w:bdr w:val="none" w:sz="0" w:space="0" w:color="auto"/>
                <w:lang w:eastAsia="en-NZ"/>
              </w:rPr>
              <w:t>.</w:t>
            </w:r>
            <w:r>
              <w:rPr>
                <w:color w:val="000000" w:themeColor="text1"/>
                <w:kern w:val="24"/>
                <w:sz w:val="20"/>
                <w:szCs w:val="20"/>
                <w:bdr w:val="none" w:sz="0" w:space="0" w:color="auto"/>
                <w:lang w:eastAsia="en-NZ"/>
              </w:rPr>
              <w:t>078</w:t>
            </w:r>
            <w:r w:rsidRPr="001F3FFC">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(0.032</w:t>
            </w:r>
            <w:r w:rsidRPr="001F3FFC">
              <w:rPr>
                <w:rFonts w:eastAsia="Times New Roman"/>
                <w:sz w:val="20"/>
                <w:szCs w:val="20"/>
                <w:bdr w:val="none" w:sz="0" w:space="0" w:color="auto"/>
                <w:lang w:val="en-NZ" w:eastAsia="en-NZ"/>
              </w:rPr>
              <w:t>)</w:t>
            </w:r>
          </w:p>
        </w:tc>
        <w:tc>
          <w:tcPr>
            <w:tcW w:w="1588"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0</w:t>
            </w:r>
            <w:r w:rsidRPr="004F4C26">
              <w:rPr>
                <w:color w:val="000000" w:themeColor="text1"/>
                <w:kern w:val="24"/>
                <w:sz w:val="20"/>
                <w:szCs w:val="20"/>
                <w:bdr w:val="none" w:sz="0" w:space="0" w:color="auto"/>
                <w:lang w:eastAsia="en-NZ"/>
              </w:rPr>
              <w:t>.</w:t>
            </w:r>
            <w:r>
              <w:rPr>
                <w:color w:val="000000" w:themeColor="text1"/>
                <w:kern w:val="24"/>
                <w:sz w:val="20"/>
                <w:szCs w:val="20"/>
                <w:bdr w:val="none" w:sz="0" w:space="0" w:color="auto"/>
                <w:lang w:eastAsia="en-NZ"/>
              </w:rPr>
              <w:t>045</w:t>
            </w:r>
            <w:r w:rsidRPr="001F3FFC">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(0.024</w:t>
            </w:r>
            <w:r w:rsidRPr="001F3FFC">
              <w:rPr>
                <w:rFonts w:eastAsia="Times New Roman"/>
                <w:sz w:val="20"/>
                <w:szCs w:val="20"/>
                <w:bdr w:val="none" w:sz="0" w:space="0" w:color="auto"/>
                <w:lang w:val="en-NZ" w:eastAsia="en-NZ"/>
              </w:rPr>
              <w:t>)</w:t>
            </w:r>
          </w:p>
        </w:tc>
      </w:tr>
      <w:tr w:rsidR="00BA21D9" w:rsidRPr="0043730F" w:rsidTr="0063534E">
        <w:trPr>
          <w:trHeight w:val="284"/>
          <w:jc w:val="center"/>
        </w:trPr>
        <w:tc>
          <w:tcPr>
            <w:tcW w:w="4366" w:type="dxa"/>
            <w:shd w:val="clear" w:color="auto" w:fill="auto"/>
            <w:tcMar>
              <w:top w:w="28" w:type="dxa"/>
              <w:left w:w="108" w:type="dxa"/>
              <w:bottom w:w="28" w:type="dxa"/>
              <w:right w:w="108" w:type="dxa"/>
            </w:tcMar>
            <w:vAlign w:val="cente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Asian</w:t>
            </w:r>
          </w:p>
        </w:tc>
        <w:tc>
          <w:tcPr>
            <w:tcW w:w="1588"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013</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(0.064</w:t>
            </w:r>
            <w:r w:rsidRPr="001F3FFC">
              <w:rPr>
                <w:rFonts w:eastAsia="Times New Roman"/>
                <w:sz w:val="20"/>
                <w:szCs w:val="20"/>
                <w:bdr w:val="none" w:sz="0" w:space="0" w:color="auto"/>
                <w:lang w:val="en-NZ" w:eastAsia="en-NZ"/>
              </w:rPr>
              <w:t>)</w:t>
            </w:r>
          </w:p>
        </w:tc>
        <w:tc>
          <w:tcPr>
            <w:tcW w:w="1588"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037</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(0.054</w:t>
            </w:r>
            <w:r w:rsidRPr="001F3FFC">
              <w:rPr>
                <w:rFonts w:eastAsia="Times New Roman"/>
                <w:sz w:val="20"/>
                <w:szCs w:val="20"/>
                <w:bdr w:val="none" w:sz="0" w:space="0" w:color="auto"/>
                <w:lang w:val="en-NZ" w:eastAsia="en-NZ"/>
              </w:rPr>
              <w:t>)</w:t>
            </w:r>
          </w:p>
        </w:tc>
      </w:tr>
      <w:tr w:rsidR="00BA21D9" w:rsidRPr="0043730F" w:rsidTr="0063534E">
        <w:trPr>
          <w:trHeight w:val="284"/>
          <w:jc w:val="center"/>
        </w:trPr>
        <w:tc>
          <w:tcPr>
            <w:tcW w:w="4366" w:type="dxa"/>
            <w:shd w:val="clear" w:color="auto" w:fill="auto"/>
            <w:tcMar>
              <w:top w:w="28" w:type="dxa"/>
              <w:left w:w="108" w:type="dxa"/>
              <w:bottom w:w="28" w:type="dxa"/>
              <w:right w:w="108" w:type="dxa"/>
            </w:tcMar>
            <w:vAlign w:val="cente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Other ethnicity</w:t>
            </w:r>
          </w:p>
        </w:tc>
        <w:tc>
          <w:tcPr>
            <w:tcW w:w="1588"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176</w:t>
            </w:r>
            <w:r w:rsidRPr="001F3FFC">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(0.085</w:t>
            </w:r>
            <w:r w:rsidRPr="001F3FFC">
              <w:rPr>
                <w:rFonts w:eastAsia="Times New Roman"/>
                <w:sz w:val="20"/>
                <w:szCs w:val="20"/>
                <w:bdr w:val="none" w:sz="0" w:space="0" w:color="auto"/>
                <w:lang w:val="en-NZ" w:eastAsia="en-NZ"/>
              </w:rPr>
              <w:t>)</w:t>
            </w:r>
          </w:p>
        </w:tc>
        <w:tc>
          <w:tcPr>
            <w:tcW w:w="1588"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211</w:t>
            </w:r>
            <w:r w:rsidRPr="001F3FFC">
              <w:rPr>
                <w:color w:val="000000" w:themeColor="text1"/>
                <w:kern w:val="24"/>
                <w:sz w:val="20"/>
                <w:szCs w:val="20"/>
                <w:bdr w:val="none" w:sz="0" w:space="0" w:color="auto"/>
                <w:vertAlign w:val="superscript"/>
                <w:lang w:eastAsia="en-NZ"/>
              </w:rPr>
              <w:t>*</w:t>
            </w:r>
            <w:r>
              <w:rPr>
                <w:color w:val="000000" w:themeColor="text1"/>
                <w:kern w:val="24"/>
                <w:sz w:val="20"/>
                <w:szCs w:val="20"/>
                <w:bdr w:val="none" w:sz="0" w:space="0" w:color="auto"/>
                <w:vertAlign w:val="superscript"/>
                <w:lang w:eastAsia="en-NZ"/>
              </w:rPr>
              <w:t>*</w:t>
            </w:r>
            <w:r w:rsidRPr="001F3FFC">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(0.078</w:t>
            </w:r>
            <w:r w:rsidRPr="001F3FFC">
              <w:rPr>
                <w:rFonts w:eastAsia="Times New Roman"/>
                <w:sz w:val="20"/>
                <w:szCs w:val="20"/>
                <w:bdr w:val="none" w:sz="0" w:space="0" w:color="auto"/>
                <w:lang w:val="en-NZ" w:eastAsia="en-NZ"/>
              </w:rPr>
              <w:t>)</w:t>
            </w:r>
          </w:p>
        </w:tc>
      </w:tr>
      <w:tr w:rsidR="00BA21D9" w:rsidRPr="0043730F" w:rsidTr="0063534E">
        <w:trPr>
          <w:trHeight w:val="284"/>
          <w:jc w:val="center"/>
        </w:trPr>
        <w:tc>
          <w:tcPr>
            <w:tcW w:w="4366" w:type="dxa"/>
            <w:shd w:val="clear" w:color="auto" w:fill="auto"/>
            <w:tcMar>
              <w:top w:w="28" w:type="dxa"/>
              <w:left w:w="108" w:type="dxa"/>
              <w:bottom w:w="28" w:type="dxa"/>
              <w:right w:w="108" w:type="dxa"/>
            </w:tcMar>
            <w:vAlign w:val="cente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1992 birth cohort</w:t>
            </w:r>
          </w:p>
        </w:tc>
        <w:tc>
          <w:tcPr>
            <w:tcW w:w="1588"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004</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(0.019</w:t>
            </w:r>
            <w:r w:rsidRPr="001F3FFC">
              <w:rPr>
                <w:rFonts w:eastAsia="Times New Roman"/>
                <w:sz w:val="20"/>
                <w:szCs w:val="20"/>
                <w:bdr w:val="none" w:sz="0" w:space="0" w:color="auto"/>
                <w:lang w:val="en-NZ" w:eastAsia="en-NZ"/>
              </w:rPr>
              <w:t>)</w:t>
            </w:r>
          </w:p>
        </w:tc>
        <w:tc>
          <w:tcPr>
            <w:tcW w:w="1588"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026</w:t>
            </w:r>
            <w:r w:rsidRPr="001F3FFC">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(0.015</w:t>
            </w:r>
            <w:r w:rsidRPr="001F3FFC">
              <w:rPr>
                <w:rFonts w:eastAsia="Times New Roman"/>
                <w:sz w:val="20"/>
                <w:szCs w:val="20"/>
                <w:bdr w:val="none" w:sz="0" w:space="0" w:color="auto"/>
                <w:lang w:val="en-NZ" w:eastAsia="en-NZ"/>
              </w:rPr>
              <w:t>)</w:t>
            </w:r>
          </w:p>
        </w:tc>
      </w:tr>
      <w:tr w:rsidR="00BA21D9" w:rsidRPr="0043730F" w:rsidTr="0063534E">
        <w:trPr>
          <w:trHeight w:val="284"/>
          <w:jc w:val="center"/>
        </w:trPr>
        <w:tc>
          <w:tcPr>
            <w:tcW w:w="4366" w:type="dxa"/>
            <w:shd w:val="clear" w:color="auto" w:fill="auto"/>
            <w:tcMar>
              <w:top w:w="28" w:type="dxa"/>
              <w:left w:w="108" w:type="dxa"/>
              <w:bottom w:w="28" w:type="dxa"/>
              <w:right w:w="108" w:type="dxa"/>
            </w:tcMar>
            <w:vAlign w:val="cente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1993 birth cohort</w:t>
            </w:r>
          </w:p>
        </w:tc>
        <w:tc>
          <w:tcPr>
            <w:tcW w:w="1588"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019</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(0.020</w:t>
            </w:r>
            <w:r w:rsidRPr="001F3FFC">
              <w:rPr>
                <w:rFonts w:eastAsia="Times New Roman"/>
                <w:sz w:val="20"/>
                <w:szCs w:val="20"/>
                <w:bdr w:val="none" w:sz="0" w:space="0" w:color="auto"/>
                <w:lang w:val="en-NZ" w:eastAsia="en-NZ"/>
              </w:rPr>
              <w:t>)</w:t>
            </w:r>
          </w:p>
        </w:tc>
        <w:tc>
          <w:tcPr>
            <w:tcW w:w="1588"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005</w:t>
            </w:r>
          </w:p>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(0.016</w:t>
            </w:r>
            <w:r w:rsidRPr="001F3FFC">
              <w:rPr>
                <w:rFonts w:eastAsia="Times New Roman"/>
                <w:sz w:val="20"/>
                <w:szCs w:val="20"/>
                <w:bdr w:val="none" w:sz="0" w:space="0" w:color="auto"/>
                <w:lang w:val="en-NZ" w:eastAsia="en-NZ"/>
              </w:rPr>
              <w:t>)</w:t>
            </w:r>
          </w:p>
        </w:tc>
      </w:tr>
      <w:tr w:rsidR="00BA21D9" w:rsidRPr="0043730F" w:rsidTr="0063534E">
        <w:trPr>
          <w:trHeight w:val="284"/>
          <w:jc w:val="center"/>
        </w:trPr>
        <w:tc>
          <w:tcPr>
            <w:tcW w:w="4366" w:type="dxa"/>
            <w:shd w:val="clear" w:color="auto" w:fill="auto"/>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sidRPr="0099559F">
              <w:rPr>
                <w:color w:val="000000" w:themeColor="text1"/>
                <w:kern w:val="24"/>
                <w:sz w:val="20"/>
                <w:szCs w:val="20"/>
                <w:bdr w:val="none" w:sz="0" w:space="0" w:color="auto"/>
                <w:lang w:eastAsia="en-NZ"/>
              </w:rPr>
              <w:t>1994 birth cohort</w:t>
            </w:r>
          </w:p>
        </w:tc>
        <w:tc>
          <w:tcPr>
            <w:tcW w:w="1588"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007</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(0.024</w:t>
            </w:r>
            <w:r w:rsidRPr="001F3FFC">
              <w:rPr>
                <w:rFonts w:eastAsia="Times New Roman"/>
                <w:sz w:val="20"/>
                <w:szCs w:val="20"/>
                <w:bdr w:val="none" w:sz="0" w:space="0" w:color="auto"/>
                <w:lang w:val="en-NZ" w:eastAsia="en-NZ"/>
              </w:rPr>
              <w:t>)</w:t>
            </w:r>
          </w:p>
        </w:tc>
        <w:tc>
          <w:tcPr>
            <w:tcW w:w="1588"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005</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(0.019</w:t>
            </w:r>
            <w:r w:rsidRPr="001F3FFC">
              <w:rPr>
                <w:rFonts w:eastAsia="Times New Roman"/>
                <w:sz w:val="20"/>
                <w:szCs w:val="20"/>
                <w:bdr w:val="none" w:sz="0" w:space="0" w:color="auto"/>
                <w:lang w:val="en-NZ" w:eastAsia="en-NZ"/>
              </w:rPr>
              <w:t>)</w:t>
            </w:r>
          </w:p>
        </w:tc>
      </w:tr>
      <w:tr w:rsidR="00BA21D9" w:rsidRPr="0043730F" w:rsidTr="0063534E">
        <w:trPr>
          <w:trHeight w:val="284"/>
          <w:jc w:val="center"/>
        </w:trPr>
        <w:tc>
          <w:tcPr>
            <w:tcW w:w="4366" w:type="dxa"/>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sidRPr="0099559F">
              <w:rPr>
                <w:rFonts w:eastAsia="Times New Roman"/>
                <w:color w:val="000000"/>
                <w:sz w:val="20"/>
                <w:szCs w:val="20"/>
                <w:bdr w:val="none" w:sz="0" w:space="0" w:color="auto"/>
                <w:lang w:val="en-NZ" w:eastAsia="en-NZ"/>
              </w:rPr>
              <w:t xml:space="preserve">Minor urban area </w:t>
            </w:r>
          </w:p>
        </w:tc>
        <w:tc>
          <w:tcPr>
            <w:tcW w:w="1588"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039</w:t>
            </w:r>
            <w:r>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(0.023</w:t>
            </w:r>
            <w:r w:rsidRPr="001F3FFC">
              <w:rPr>
                <w:rFonts w:eastAsia="Times New Roman"/>
                <w:sz w:val="20"/>
                <w:szCs w:val="20"/>
                <w:bdr w:val="none" w:sz="0" w:space="0" w:color="auto"/>
                <w:lang w:val="en-NZ" w:eastAsia="en-NZ"/>
              </w:rPr>
              <w:t>)</w:t>
            </w:r>
          </w:p>
        </w:tc>
        <w:tc>
          <w:tcPr>
            <w:tcW w:w="1588"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055</w:t>
            </w:r>
            <w:r>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(0.017</w:t>
            </w:r>
            <w:r w:rsidRPr="001F3FFC">
              <w:rPr>
                <w:rFonts w:eastAsia="Times New Roman"/>
                <w:sz w:val="20"/>
                <w:szCs w:val="20"/>
                <w:bdr w:val="none" w:sz="0" w:space="0" w:color="auto"/>
                <w:lang w:val="en-NZ" w:eastAsia="en-NZ"/>
              </w:rPr>
              <w:t>)</w:t>
            </w:r>
          </w:p>
        </w:tc>
      </w:tr>
      <w:tr w:rsidR="00BA21D9" w:rsidRPr="0043730F" w:rsidTr="0063534E">
        <w:trPr>
          <w:trHeight w:val="284"/>
          <w:jc w:val="center"/>
        </w:trPr>
        <w:tc>
          <w:tcPr>
            <w:tcW w:w="4366" w:type="dxa"/>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sidRPr="0099559F">
              <w:rPr>
                <w:rFonts w:eastAsia="Times New Roman"/>
                <w:color w:val="000000"/>
                <w:sz w:val="20"/>
                <w:szCs w:val="20"/>
                <w:bdr w:val="none" w:sz="0" w:space="0" w:color="auto"/>
                <w:lang w:val="en-NZ" w:eastAsia="en-NZ"/>
              </w:rPr>
              <w:t>Secondary urban area</w:t>
            </w:r>
          </w:p>
        </w:tc>
        <w:tc>
          <w:tcPr>
            <w:tcW w:w="1588"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014</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(0.027</w:t>
            </w:r>
            <w:r w:rsidRPr="001F3FFC">
              <w:rPr>
                <w:rFonts w:eastAsia="Times New Roman"/>
                <w:sz w:val="20"/>
                <w:szCs w:val="20"/>
                <w:bdr w:val="none" w:sz="0" w:space="0" w:color="auto"/>
                <w:lang w:val="en-NZ" w:eastAsia="en-NZ"/>
              </w:rPr>
              <w:t>)</w:t>
            </w:r>
          </w:p>
        </w:tc>
        <w:tc>
          <w:tcPr>
            <w:tcW w:w="1588"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020</w:t>
            </w:r>
          </w:p>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(0.022</w:t>
            </w:r>
            <w:r w:rsidRPr="001F3FFC">
              <w:rPr>
                <w:rFonts w:eastAsia="Times New Roman"/>
                <w:sz w:val="20"/>
                <w:szCs w:val="20"/>
                <w:bdr w:val="none" w:sz="0" w:space="0" w:color="auto"/>
                <w:lang w:val="en-NZ" w:eastAsia="en-NZ"/>
              </w:rPr>
              <w:t>)</w:t>
            </w:r>
          </w:p>
        </w:tc>
      </w:tr>
      <w:tr w:rsidR="00BA21D9" w:rsidRPr="0043730F" w:rsidTr="0063534E">
        <w:trPr>
          <w:trHeight w:val="284"/>
          <w:jc w:val="center"/>
        </w:trPr>
        <w:tc>
          <w:tcPr>
            <w:tcW w:w="4366" w:type="dxa"/>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sidRPr="0099559F">
              <w:rPr>
                <w:rFonts w:eastAsia="Times New Roman"/>
                <w:color w:val="000000"/>
                <w:sz w:val="20"/>
                <w:szCs w:val="20"/>
                <w:bdr w:val="none" w:sz="0" w:space="0" w:color="auto"/>
                <w:lang w:val="en-NZ" w:eastAsia="en-NZ"/>
              </w:rPr>
              <w:t xml:space="preserve">Rural area </w:t>
            </w:r>
          </w:p>
        </w:tc>
        <w:tc>
          <w:tcPr>
            <w:tcW w:w="1588"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027</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(0.045</w:t>
            </w:r>
            <w:r w:rsidRPr="001F3FFC">
              <w:rPr>
                <w:rFonts w:eastAsia="Times New Roman"/>
                <w:sz w:val="20"/>
                <w:szCs w:val="20"/>
                <w:bdr w:val="none" w:sz="0" w:space="0" w:color="auto"/>
                <w:lang w:val="en-NZ" w:eastAsia="en-NZ"/>
              </w:rPr>
              <w:t>)</w:t>
            </w:r>
          </w:p>
        </w:tc>
        <w:tc>
          <w:tcPr>
            <w:tcW w:w="1588"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027</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(0.034</w:t>
            </w:r>
            <w:r w:rsidRPr="001F3FFC">
              <w:rPr>
                <w:rFonts w:eastAsia="Times New Roman"/>
                <w:sz w:val="20"/>
                <w:szCs w:val="20"/>
                <w:bdr w:val="none" w:sz="0" w:space="0" w:color="auto"/>
                <w:lang w:val="en-NZ" w:eastAsia="en-NZ"/>
              </w:rPr>
              <w:t>)</w:t>
            </w:r>
          </w:p>
        </w:tc>
      </w:tr>
      <w:tr w:rsidR="00BA21D9" w:rsidRPr="0043730F" w:rsidTr="0063534E">
        <w:trPr>
          <w:trHeight w:val="284"/>
          <w:jc w:val="center"/>
        </w:trPr>
        <w:tc>
          <w:tcPr>
            <w:tcW w:w="4366" w:type="dxa"/>
            <w:shd w:val="clear" w:color="auto" w:fill="auto"/>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sidRPr="0099559F">
              <w:rPr>
                <w:rFonts w:eastAsia="Times New Roman"/>
                <w:color w:val="000000"/>
                <w:sz w:val="20"/>
                <w:szCs w:val="20"/>
                <w:bdr w:val="none" w:sz="0" w:space="0" w:color="auto"/>
                <w:lang w:val="en-NZ" w:eastAsia="en-NZ"/>
              </w:rPr>
              <w:t>Rural/urban not applicable/missing</w:t>
            </w:r>
          </w:p>
        </w:tc>
        <w:tc>
          <w:tcPr>
            <w:tcW w:w="1588"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159</w:t>
            </w:r>
            <w:r w:rsidRPr="001F3FFC">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(0.036</w:t>
            </w:r>
            <w:r w:rsidRPr="001F3FFC">
              <w:rPr>
                <w:rFonts w:eastAsia="Times New Roman"/>
                <w:sz w:val="20"/>
                <w:szCs w:val="20"/>
                <w:bdr w:val="none" w:sz="0" w:space="0" w:color="auto"/>
                <w:lang w:val="en-NZ" w:eastAsia="en-NZ"/>
              </w:rPr>
              <w:t>)</w:t>
            </w:r>
          </w:p>
        </w:tc>
        <w:tc>
          <w:tcPr>
            <w:tcW w:w="1588"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102</w:t>
            </w:r>
            <w:r w:rsidRPr="001F3FFC">
              <w:rPr>
                <w:color w:val="000000" w:themeColor="text1"/>
                <w:kern w:val="24"/>
                <w:sz w:val="20"/>
                <w:szCs w:val="20"/>
                <w:bdr w:val="none" w:sz="0" w:space="0" w:color="auto"/>
                <w:vertAlign w:val="superscript"/>
                <w:lang w:eastAsia="en-NZ"/>
              </w:rPr>
              <w:t>***</w:t>
            </w:r>
          </w:p>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(0.034</w:t>
            </w:r>
            <w:r w:rsidRPr="001F3FFC">
              <w:rPr>
                <w:rFonts w:eastAsia="Times New Roman"/>
                <w:sz w:val="20"/>
                <w:szCs w:val="20"/>
                <w:bdr w:val="none" w:sz="0" w:space="0" w:color="auto"/>
                <w:lang w:val="en-NZ" w:eastAsia="en-NZ"/>
              </w:rPr>
              <w:t>)</w:t>
            </w:r>
          </w:p>
        </w:tc>
      </w:tr>
      <w:tr w:rsidR="00BA21D9" w:rsidRPr="0043730F" w:rsidTr="0063534E">
        <w:trPr>
          <w:trHeight w:val="284"/>
          <w:jc w:val="center"/>
        </w:trPr>
        <w:tc>
          <w:tcPr>
            <w:tcW w:w="4366" w:type="dxa"/>
            <w:shd w:val="clear" w:color="auto" w:fill="auto"/>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sidRPr="0099559F">
              <w:rPr>
                <w:color w:val="000000" w:themeColor="text1"/>
                <w:kern w:val="24"/>
                <w:sz w:val="20"/>
                <w:szCs w:val="20"/>
                <w:bdr w:val="none" w:sz="0" w:space="0" w:color="auto"/>
                <w:lang w:eastAsia="en-NZ"/>
              </w:rPr>
              <w:t>Ever placed in CYF care</w:t>
            </w:r>
          </w:p>
        </w:tc>
        <w:tc>
          <w:tcPr>
            <w:tcW w:w="1588"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040</w:t>
            </w:r>
            <w:r>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(0.021</w:t>
            </w:r>
            <w:r w:rsidRPr="001F3FFC">
              <w:rPr>
                <w:rFonts w:eastAsia="Times New Roman"/>
                <w:sz w:val="20"/>
                <w:szCs w:val="20"/>
                <w:bdr w:val="none" w:sz="0" w:space="0" w:color="auto"/>
                <w:lang w:val="en-NZ" w:eastAsia="en-NZ"/>
              </w:rPr>
              <w:t>)</w:t>
            </w:r>
          </w:p>
        </w:tc>
        <w:tc>
          <w:tcPr>
            <w:tcW w:w="1588"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038</w:t>
            </w:r>
            <w:r>
              <w:rPr>
                <w:color w:val="000000" w:themeColor="text1"/>
                <w:kern w:val="24"/>
                <w:sz w:val="20"/>
                <w:szCs w:val="20"/>
                <w:bdr w:val="none" w:sz="0" w:space="0" w:color="auto"/>
                <w:vertAlign w:val="superscript"/>
                <w:lang w:eastAsia="en-NZ"/>
              </w:rPr>
              <w:t>**</w:t>
            </w:r>
          </w:p>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(0.018</w:t>
            </w:r>
            <w:r w:rsidRPr="001F3FFC">
              <w:rPr>
                <w:rFonts w:eastAsia="Times New Roman"/>
                <w:sz w:val="20"/>
                <w:szCs w:val="20"/>
                <w:bdr w:val="none" w:sz="0" w:space="0" w:color="auto"/>
                <w:lang w:val="en-NZ" w:eastAsia="en-NZ"/>
              </w:rPr>
              <w:t>)</w:t>
            </w:r>
          </w:p>
        </w:tc>
      </w:tr>
      <w:tr w:rsidR="00BA21D9" w:rsidRPr="0043730F" w:rsidTr="0063534E">
        <w:trPr>
          <w:trHeight w:val="284"/>
          <w:jc w:val="center"/>
        </w:trPr>
        <w:tc>
          <w:tcPr>
            <w:tcW w:w="4366" w:type="dxa"/>
            <w:shd w:val="clear" w:color="auto" w:fill="auto"/>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sidRPr="0099559F">
              <w:rPr>
                <w:color w:val="000000" w:themeColor="text1"/>
                <w:kern w:val="24"/>
                <w:sz w:val="20"/>
                <w:szCs w:val="20"/>
                <w:bdr w:val="none" w:sz="0" w:space="0" w:color="auto"/>
                <w:lang w:eastAsia="en-NZ"/>
              </w:rPr>
              <w:t xml:space="preserve">Ever </w:t>
            </w:r>
            <w:r w:rsidR="005575E4">
              <w:rPr>
                <w:color w:val="000000" w:themeColor="text1"/>
                <w:kern w:val="24"/>
                <w:sz w:val="20"/>
                <w:szCs w:val="20"/>
                <w:bdr w:val="none" w:sz="0" w:space="0" w:color="auto"/>
                <w:lang w:eastAsia="en-NZ"/>
              </w:rPr>
              <w:t>CYF Y</w:t>
            </w:r>
            <w:r w:rsidR="005575E4" w:rsidRPr="0099559F">
              <w:rPr>
                <w:color w:val="000000" w:themeColor="text1"/>
                <w:kern w:val="24"/>
                <w:sz w:val="20"/>
                <w:szCs w:val="20"/>
                <w:bdr w:val="none" w:sz="0" w:space="0" w:color="auto"/>
                <w:lang w:eastAsia="en-NZ"/>
              </w:rPr>
              <w:t xml:space="preserve">outh </w:t>
            </w:r>
            <w:r w:rsidR="005575E4">
              <w:rPr>
                <w:color w:val="000000" w:themeColor="text1"/>
                <w:kern w:val="24"/>
                <w:sz w:val="20"/>
                <w:szCs w:val="20"/>
                <w:bdr w:val="none" w:sz="0" w:space="0" w:color="auto"/>
                <w:lang w:eastAsia="en-NZ"/>
              </w:rPr>
              <w:t>J</w:t>
            </w:r>
            <w:r w:rsidR="005575E4" w:rsidRPr="0099559F">
              <w:rPr>
                <w:color w:val="000000" w:themeColor="text1"/>
                <w:kern w:val="24"/>
                <w:sz w:val="20"/>
                <w:szCs w:val="20"/>
                <w:bdr w:val="none" w:sz="0" w:space="0" w:color="auto"/>
                <w:lang w:eastAsia="en-NZ"/>
              </w:rPr>
              <w:t>ustice</w:t>
            </w:r>
            <w:r w:rsidRPr="0099559F">
              <w:rPr>
                <w:color w:val="000000" w:themeColor="text1"/>
                <w:kern w:val="24"/>
                <w:sz w:val="20"/>
                <w:szCs w:val="20"/>
                <w:bdr w:val="none" w:sz="0" w:space="0" w:color="auto"/>
                <w:lang w:eastAsia="en-NZ"/>
              </w:rPr>
              <w:t xml:space="preserve"> involvement</w:t>
            </w:r>
          </w:p>
        </w:tc>
        <w:tc>
          <w:tcPr>
            <w:tcW w:w="1588"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088</w:t>
            </w:r>
            <w:r w:rsidRPr="001F3FFC">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(0.019</w:t>
            </w:r>
            <w:r w:rsidRPr="001F3FFC">
              <w:rPr>
                <w:rFonts w:eastAsia="Times New Roman"/>
                <w:sz w:val="20"/>
                <w:szCs w:val="20"/>
                <w:bdr w:val="none" w:sz="0" w:space="0" w:color="auto"/>
                <w:lang w:val="en-NZ" w:eastAsia="en-NZ"/>
              </w:rPr>
              <w:t>)</w:t>
            </w:r>
          </w:p>
        </w:tc>
        <w:tc>
          <w:tcPr>
            <w:tcW w:w="1588"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103</w:t>
            </w:r>
            <w:r w:rsidRPr="001F3FFC">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(0.015</w:t>
            </w:r>
            <w:r w:rsidRPr="001F3FFC">
              <w:rPr>
                <w:rFonts w:eastAsia="Times New Roman"/>
                <w:sz w:val="20"/>
                <w:szCs w:val="20"/>
                <w:bdr w:val="none" w:sz="0" w:space="0" w:color="auto"/>
                <w:lang w:val="en-NZ" w:eastAsia="en-NZ"/>
              </w:rPr>
              <w:t>)</w:t>
            </w:r>
          </w:p>
        </w:tc>
      </w:tr>
      <w:tr w:rsidR="00BA21D9" w:rsidRPr="0043730F" w:rsidTr="0063534E">
        <w:trPr>
          <w:trHeight w:val="284"/>
          <w:jc w:val="center"/>
        </w:trPr>
        <w:tc>
          <w:tcPr>
            <w:tcW w:w="4366" w:type="dxa"/>
            <w:shd w:val="clear" w:color="auto" w:fill="auto"/>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sidRPr="0099559F">
              <w:rPr>
                <w:color w:val="000000" w:themeColor="text1"/>
                <w:kern w:val="24"/>
                <w:sz w:val="20"/>
                <w:szCs w:val="20"/>
                <w:bdr w:val="none" w:sz="0" w:space="0" w:color="auto"/>
                <w:lang w:eastAsia="en-NZ"/>
              </w:rPr>
              <w:t>School in bottom three deciles</w:t>
            </w:r>
          </w:p>
        </w:tc>
        <w:tc>
          <w:tcPr>
            <w:tcW w:w="1588"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026</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(0.017</w:t>
            </w:r>
            <w:r w:rsidRPr="001F3FFC">
              <w:rPr>
                <w:rFonts w:eastAsia="Times New Roman"/>
                <w:sz w:val="20"/>
                <w:szCs w:val="20"/>
                <w:bdr w:val="none" w:sz="0" w:space="0" w:color="auto"/>
                <w:lang w:val="en-NZ" w:eastAsia="en-NZ"/>
              </w:rPr>
              <w:t>)</w:t>
            </w:r>
          </w:p>
        </w:tc>
        <w:tc>
          <w:tcPr>
            <w:tcW w:w="1588"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028</w:t>
            </w:r>
            <w:r w:rsidRPr="001F3FFC">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(0.013</w:t>
            </w:r>
            <w:r w:rsidRPr="001F3FFC">
              <w:rPr>
                <w:rFonts w:eastAsia="Times New Roman"/>
                <w:sz w:val="20"/>
                <w:szCs w:val="20"/>
                <w:bdr w:val="none" w:sz="0" w:space="0" w:color="auto"/>
                <w:lang w:val="en-NZ" w:eastAsia="en-NZ"/>
              </w:rPr>
              <w:t>)</w:t>
            </w:r>
          </w:p>
        </w:tc>
      </w:tr>
      <w:tr w:rsidR="00BA21D9" w:rsidRPr="0043730F" w:rsidTr="0063534E">
        <w:trPr>
          <w:trHeight w:val="284"/>
          <w:jc w:val="center"/>
        </w:trPr>
        <w:tc>
          <w:tcPr>
            <w:tcW w:w="4366" w:type="dxa"/>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Pr>
                <w:rFonts w:eastAsia="Times New Roman"/>
                <w:color w:val="000000"/>
                <w:sz w:val="20"/>
                <w:szCs w:val="20"/>
                <w:bdr w:val="none" w:sz="0" w:space="0" w:color="auto"/>
                <w:lang w:val="en-NZ" w:eastAsia="en-NZ"/>
              </w:rPr>
              <w:t xml:space="preserve">South </w:t>
            </w:r>
            <w:r w:rsidRPr="0099559F">
              <w:rPr>
                <w:rFonts w:eastAsia="Times New Roman"/>
                <w:color w:val="000000"/>
                <w:sz w:val="20"/>
                <w:szCs w:val="20"/>
                <w:bdr w:val="none" w:sz="0" w:space="0" w:color="auto"/>
                <w:lang w:val="en-NZ" w:eastAsia="en-NZ"/>
              </w:rPr>
              <w:t xml:space="preserve">Auckland </w:t>
            </w:r>
            <w:r w:rsidR="008720EC">
              <w:rPr>
                <w:rFonts w:eastAsia="Times New Roman"/>
                <w:color w:val="000000"/>
                <w:sz w:val="20"/>
                <w:szCs w:val="20"/>
                <w:bdr w:val="none" w:sz="0" w:space="0" w:color="auto"/>
                <w:lang w:val="en-NZ" w:eastAsia="en-NZ"/>
              </w:rPr>
              <w:t>MoE</w:t>
            </w:r>
            <w:r w:rsidR="00DF661F">
              <w:rPr>
                <w:rFonts w:eastAsia="Times New Roman"/>
                <w:color w:val="000000"/>
                <w:sz w:val="20"/>
                <w:szCs w:val="20"/>
                <w:bdr w:val="none" w:sz="0" w:space="0" w:color="auto"/>
                <w:lang w:val="en-NZ" w:eastAsia="en-NZ"/>
              </w:rPr>
              <w:t xml:space="preserve"> </w:t>
            </w:r>
            <w:r w:rsidRPr="0099559F">
              <w:rPr>
                <w:rFonts w:eastAsia="Times New Roman"/>
                <w:color w:val="000000"/>
                <w:sz w:val="20"/>
                <w:szCs w:val="20"/>
                <w:bdr w:val="none" w:sz="0" w:space="0" w:color="auto"/>
                <w:lang w:val="en-NZ" w:eastAsia="en-NZ"/>
              </w:rPr>
              <w:t>office</w:t>
            </w:r>
          </w:p>
        </w:tc>
        <w:tc>
          <w:tcPr>
            <w:tcW w:w="1588"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029</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(0.029</w:t>
            </w:r>
            <w:r w:rsidRPr="001F3FFC">
              <w:rPr>
                <w:rFonts w:eastAsia="Times New Roman"/>
                <w:sz w:val="20"/>
                <w:szCs w:val="20"/>
                <w:bdr w:val="none" w:sz="0" w:space="0" w:color="auto"/>
                <w:lang w:val="en-NZ" w:eastAsia="en-NZ"/>
              </w:rPr>
              <w:t>)</w:t>
            </w:r>
          </w:p>
        </w:tc>
        <w:tc>
          <w:tcPr>
            <w:tcW w:w="1588"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035</w:t>
            </w:r>
          </w:p>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(0.021</w:t>
            </w:r>
            <w:r w:rsidRPr="001F3FFC">
              <w:rPr>
                <w:rFonts w:eastAsia="Times New Roman"/>
                <w:sz w:val="20"/>
                <w:szCs w:val="20"/>
                <w:bdr w:val="none" w:sz="0" w:space="0" w:color="auto"/>
                <w:lang w:val="en-NZ" w:eastAsia="en-NZ"/>
              </w:rPr>
              <w:t>)</w:t>
            </w:r>
          </w:p>
        </w:tc>
      </w:tr>
      <w:tr w:rsidR="00BA21D9" w:rsidRPr="0043730F" w:rsidTr="0063534E">
        <w:trPr>
          <w:trHeight w:val="284"/>
          <w:jc w:val="center"/>
        </w:trPr>
        <w:tc>
          <w:tcPr>
            <w:tcW w:w="4366" w:type="dxa"/>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sidRPr="0099559F">
              <w:rPr>
                <w:rFonts w:eastAsia="Times New Roman"/>
                <w:color w:val="000000"/>
                <w:sz w:val="20"/>
                <w:szCs w:val="20"/>
                <w:bdr w:val="none" w:sz="0" w:space="0" w:color="auto"/>
                <w:lang w:val="en-NZ" w:eastAsia="en-NZ"/>
              </w:rPr>
              <w:t xml:space="preserve">Christchurch </w:t>
            </w:r>
            <w:r w:rsidR="008720EC">
              <w:rPr>
                <w:rFonts w:eastAsia="Times New Roman"/>
                <w:color w:val="000000"/>
                <w:sz w:val="20"/>
                <w:szCs w:val="20"/>
                <w:bdr w:val="none" w:sz="0" w:space="0" w:color="auto"/>
                <w:lang w:val="en-NZ" w:eastAsia="en-NZ"/>
              </w:rPr>
              <w:t xml:space="preserve">MoE </w:t>
            </w:r>
            <w:r w:rsidRPr="0099559F">
              <w:rPr>
                <w:rFonts w:eastAsia="Times New Roman"/>
                <w:color w:val="000000"/>
                <w:sz w:val="20"/>
                <w:szCs w:val="20"/>
                <w:bdr w:val="none" w:sz="0" w:space="0" w:color="auto"/>
                <w:lang w:val="en-NZ" w:eastAsia="en-NZ"/>
              </w:rPr>
              <w:t>office</w:t>
            </w:r>
          </w:p>
        </w:tc>
        <w:tc>
          <w:tcPr>
            <w:tcW w:w="1588"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081</w:t>
            </w:r>
            <w:r w:rsidRPr="001F3FFC">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(0.028</w:t>
            </w:r>
            <w:r w:rsidRPr="001F3FFC">
              <w:rPr>
                <w:rFonts w:eastAsia="Times New Roman"/>
                <w:sz w:val="20"/>
                <w:szCs w:val="20"/>
                <w:bdr w:val="none" w:sz="0" w:space="0" w:color="auto"/>
                <w:lang w:val="en-NZ" w:eastAsia="en-NZ"/>
              </w:rPr>
              <w:t>)</w:t>
            </w:r>
          </w:p>
        </w:tc>
        <w:tc>
          <w:tcPr>
            <w:tcW w:w="1588"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099</w:t>
            </w:r>
            <w:r w:rsidRPr="001F3FFC">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(0.019</w:t>
            </w:r>
            <w:r w:rsidRPr="001F3FFC">
              <w:rPr>
                <w:rFonts w:eastAsia="Times New Roman"/>
                <w:sz w:val="20"/>
                <w:szCs w:val="20"/>
                <w:bdr w:val="none" w:sz="0" w:space="0" w:color="auto"/>
                <w:lang w:val="en-NZ" w:eastAsia="en-NZ"/>
              </w:rPr>
              <w:t>)</w:t>
            </w:r>
          </w:p>
        </w:tc>
      </w:tr>
      <w:tr w:rsidR="00BA21D9" w:rsidRPr="0043730F" w:rsidTr="0063534E">
        <w:trPr>
          <w:trHeight w:val="284"/>
          <w:jc w:val="center"/>
        </w:trPr>
        <w:tc>
          <w:tcPr>
            <w:tcW w:w="4366" w:type="dxa"/>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sidRPr="0099559F">
              <w:rPr>
                <w:rFonts w:eastAsia="Times New Roman"/>
                <w:color w:val="000000"/>
                <w:sz w:val="20"/>
                <w:szCs w:val="20"/>
                <w:bdr w:val="none" w:sz="0" w:space="0" w:color="auto"/>
                <w:lang w:val="en-NZ" w:eastAsia="en-NZ"/>
              </w:rPr>
              <w:t xml:space="preserve">Dunedin </w:t>
            </w:r>
            <w:r w:rsidR="008720EC">
              <w:rPr>
                <w:rFonts w:eastAsia="Times New Roman"/>
                <w:color w:val="000000"/>
                <w:sz w:val="20"/>
                <w:szCs w:val="20"/>
                <w:bdr w:val="none" w:sz="0" w:space="0" w:color="auto"/>
                <w:lang w:val="en-NZ" w:eastAsia="en-NZ"/>
              </w:rPr>
              <w:t>MoE</w:t>
            </w:r>
            <w:r w:rsidR="00DF661F">
              <w:rPr>
                <w:rFonts w:eastAsia="Times New Roman"/>
                <w:color w:val="000000"/>
                <w:sz w:val="20"/>
                <w:szCs w:val="20"/>
                <w:bdr w:val="none" w:sz="0" w:space="0" w:color="auto"/>
                <w:lang w:val="en-NZ" w:eastAsia="en-NZ"/>
              </w:rPr>
              <w:t xml:space="preserve"> </w:t>
            </w:r>
            <w:r w:rsidRPr="0099559F">
              <w:rPr>
                <w:rFonts w:eastAsia="Times New Roman"/>
                <w:color w:val="000000"/>
                <w:sz w:val="20"/>
                <w:szCs w:val="20"/>
                <w:bdr w:val="none" w:sz="0" w:space="0" w:color="auto"/>
                <w:lang w:val="en-NZ" w:eastAsia="en-NZ"/>
              </w:rPr>
              <w:t>office</w:t>
            </w:r>
          </w:p>
        </w:tc>
        <w:tc>
          <w:tcPr>
            <w:tcW w:w="1588"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055</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(0.050</w:t>
            </w:r>
            <w:r w:rsidRPr="001F3FFC">
              <w:rPr>
                <w:rFonts w:eastAsia="Times New Roman"/>
                <w:sz w:val="20"/>
                <w:szCs w:val="20"/>
                <w:bdr w:val="none" w:sz="0" w:space="0" w:color="auto"/>
                <w:lang w:val="en-NZ" w:eastAsia="en-NZ"/>
              </w:rPr>
              <w:t>)</w:t>
            </w:r>
          </w:p>
        </w:tc>
        <w:tc>
          <w:tcPr>
            <w:tcW w:w="1588"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033</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(0.036</w:t>
            </w:r>
            <w:r w:rsidRPr="001F3FFC">
              <w:rPr>
                <w:rFonts w:eastAsia="Times New Roman"/>
                <w:sz w:val="20"/>
                <w:szCs w:val="20"/>
                <w:bdr w:val="none" w:sz="0" w:space="0" w:color="auto"/>
                <w:lang w:val="en-NZ" w:eastAsia="en-NZ"/>
              </w:rPr>
              <w:t>)</w:t>
            </w:r>
          </w:p>
        </w:tc>
      </w:tr>
      <w:tr w:rsidR="00BA21D9" w:rsidRPr="0043730F" w:rsidTr="0063534E">
        <w:trPr>
          <w:trHeight w:val="284"/>
          <w:jc w:val="center"/>
        </w:trPr>
        <w:tc>
          <w:tcPr>
            <w:tcW w:w="4366" w:type="dxa"/>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sidRPr="0099559F">
              <w:rPr>
                <w:rFonts w:eastAsia="Times New Roman"/>
                <w:color w:val="000000"/>
                <w:sz w:val="20"/>
                <w:szCs w:val="20"/>
                <w:bdr w:val="none" w:sz="0" w:space="0" w:color="auto"/>
                <w:lang w:val="en-NZ" w:eastAsia="en-NZ"/>
              </w:rPr>
              <w:t xml:space="preserve">Hamilton </w:t>
            </w:r>
            <w:r w:rsidR="008720EC">
              <w:rPr>
                <w:rFonts w:eastAsia="Times New Roman"/>
                <w:color w:val="000000"/>
                <w:sz w:val="20"/>
                <w:szCs w:val="20"/>
                <w:bdr w:val="none" w:sz="0" w:space="0" w:color="auto"/>
                <w:lang w:val="en-NZ" w:eastAsia="en-NZ"/>
              </w:rPr>
              <w:t xml:space="preserve">MoE </w:t>
            </w:r>
            <w:r w:rsidRPr="0099559F">
              <w:rPr>
                <w:rFonts w:eastAsia="Times New Roman"/>
                <w:color w:val="000000"/>
                <w:sz w:val="20"/>
                <w:szCs w:val="20"/>
                <w:bdr w:val="none" w:sz="0" w:space="0" w:color="auto"/>
                <w:lang w:val="en-NZ" w:eastAsia="en-NZ"/>
              </w:rPr>
              <w:t>office</w:t>
            </w:r>
          </w:p>
        </w:tc>
        <w:tc>
          <w:tcPr>
            <w:tcW w:w="1588"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019</w:t>
            </w:r>
          </w:p>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i/>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(0.028</w:t>
            </w:r>
            <w:r w:rsidRPr="001F3FFC">
              <w:rPr>
                <w:rFonts w:eastAsia="Times New Roman"/>
                <w:sz w:val="20"/>
                <w:szCs w:val="20"/>
                <w:bdr w:val="none" w:sz="0" w:space="0" w:color="auto"/>
                <w:lang w:val="en-NZ" w:eastAsia="en-NZ"/>
              </w:rPr>
              <w:t>)</w:t>
            </w:r>
          </w:p>
        </w:tc>
        <w:tc>
          <w:tcPr>
            <w:tcW w:w="1588"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013</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(0.022</w:t>
            </w:r>
            <w:r w:rsidRPr="001F3FFC">
              <w:rPr>
                <w:rFonts w:eastAsia="Times New Roman"/>
                <w:sz w:val="20"/>
                <w:szCs w:val="20"/>
                <w:bdr w:val="none" w:sz="0" w:space="0" w:color="auto"/>
                <w:lang w:val="en-NZ" w:eastAsia="en-NZ"/>
              </w:rPr>
              <w:t>)</w:t>
            </w:r>
          </w:p>
        </w:tc>
      </w:tr>
    </w:tbl>
    <w:p w:rsidR="00BA21D9" w:rsidRDefault="00BA21D9" w:rsidP="00BA21D9">
      <w:pPr>
        <w:rPr>
          <w:color w:val="FF0000"/>
          <w:sz w:val="22"/>
          <w:szCs w:val="22"/>
        </w:rPr>
      </w:pPr>
    </w:p>
    <w:p w:rsidR="00BA21D9" w:rsidRDefault="00BA21D9" w:rsidP="00BA21D9">
      <w:pPr>
        <w:rPr>
          <w:color w:val="FF0000"/>
          <w:sz w:val="22"/>
          <w:szCs w:val="22"/>
        </w:rPr>
      </w:pPr>
    </w:p>
    <w:p w:rsidR="00BA21D9" w:rsidRPr="0099559F" w:rsidRDefault="005575E4" w:rsidP="00BA21D9">
      <w:pPr>
        <w:jc w:val="center"/>
        <w:rPr>
          <w:i/>
          <w:sz w:val="20"/>
          <w:szCs w:val="20"/>
        </w:rPr>
      </w:pPr>
      <w:r>
        <w:rPr>
          <w:i/>
          <w:sz w:val="20"/>
          <w:szCs w:val="20"/>
        </w:rPr>
        <w:t xml:space="preserve">Appendix </w:t>
      </w:r>
      <w:r w:rsidR="00BA21D9">
        <w:rPr>
          <w:i/>
          <w:sz w:val="20"/>
          <w:szCs w:val="20"/>
        </w:rPr>
        <w:t xml:space="preserve">Table </w:t>
      </w:r>
      <w:r w:rsidR="00EB1E61">
        <w:rPr>
          <w:i/>
          <w:sz w:val="20"/>
          <w:szCs w:val="20"/>
        </w:rPr>
        <w:t>3</w:t>
      </w:r>
      <w:r w:rsidR="00BA21D9" w:rsidRPr="0099559F">
        <w:rPr>
          <w:i/>
          <w:sz w:val="20"/>
          <w:szCs w:val="20"/>
        </w:rPr>
        <w:t xml:space="preserve"> </w:t>
      </w:r>
      <w:r w:rsidR="00EB1E61">
        <w:rPr>
          <w:i/>
          <w:sz w:val="20"/>
          <w:szCs w:val="20"/>
        </w:rPr>
        <w:t>c</w:t>
      </w:r>
      <w:r w:rsidR="00BA21D9" w:rsidRPr="0099559F">
        <w:rPr>
          <w:i/>
          <w:sz w:val="20"/>
          <w:szCs w:val="20"/>
        </w:rPr>
        <w:t>ontinued</w:t>
      </w:r>
    </w:p>
    <w:tbl>
      <w:tblPr>
        <w:tblW w:w="0" w:type="auto"/>
        <w:jc w:val="center"/>
        <w:tblBorders>
          <w:top w:val="single" w:sz="4" w:space="0" w:color="auto"/>
          <w:bottom w:val="single" w:sz="4" w:space="0" w:color="auto"/>
          <w:insideH w:val="single" w:sz="4" w:space="0" w:color="auto"/>
        </w:tblBorders>
        <w:tblLayout w:type="fixed"/>
        <w:tblCellMar>
          <w:left w:w="0" w:type="dxa"/>
          <w:right w:w="0" w:type="dxa"/>
        </w:tblCellMar>
        <w:tblLook w:val="0600" w:firstRow="0" w:lastRow="0" w:firstColumn="0" w:lastColumn="0" w:noHBand="1" w:noVBand="1"/>
      </w:tblPr>
      <w:tblGrid>
        <w:gridCol w:w="3006"/>
        <w:gridCol w:w="3007"/>
        <w:gridCol w:w="3007"/>
      </w:tblGrid>
      <w:tr w:rsidR="00BA21D9" w:rsidRPr="0043730F" w:rsidTr="00772C2C">
        <w:trPr>
          <w:trHeight w:val="284"/>
          <w:jc w:val="center"/>
        </w:trPr>
        <w:tc>
          <w:tcPr>
            <w:tcW w:w="3006" w:type="dxa"/>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br w:type="page"/>
            </w:r>
            <w:r w:rsidRPr="0099559F">
              <w:rPr>
                <w:rFonts w:eastAsia="Times New Roman"/>
                <w:color w:val="000000"/>
                <w:sz w:val="20"/>
                <w:szCs w:val="20"/>
                <w:bdr w:val="none" w:sz="0" w:space="0" w:color="auto"/>
                <w:lang w:val="en-NZ" w:eastAsia="en-NZ"/>
              </w:rPr>
              <w:t xml:space="preserve">Invercargill </w:t>
            </w:r>
            <w:r w:rsidR="008720EC">
              <w:rPr>
                <w:rFonts w:eastAsia="Times New Roman"/>
                <w:color w:val="000000"/>
                <w:sz w:val="20"/>
                <w:szCs w:val="20"/>
                <w:bdr w:val="none" w:sz="0" w:space="0" w:color="auto"/>
                <w:lang w:val="en-NZ" w:eastAsia="en-NZ"/>
              </w:rPr>
              <w:t>MoE</w:t>
            </w:r>
            <w:r w:rsidR="00DF661F">
              <w:rPr>
                <w:rFonts w:eastAsia="Times New Roman"/>
                <w:color w:val="000000"/>
                <w:sz w:val="20"/>
                <w:szCs w:val="20"/>
                <w:bdr w:val="none" w:sz="0" w:space="0" w:color="auto"/>
                <w:lang w:val="en-NZ" w:eastAsia="en-NZ"/>
              </w:rPr>
              <w:t xml:space="preserve"> </w:t>
            </w:r>
            <w:r w:rsidRPr="0099559F">
              <w:rPr>
                <w:rFonts w:eastAsia="Times New Roman"/>
                <w:color w:val="000000"/>
                <w:sz w:val="20"/>
                <w:szCs w:val="20"/>
                <w:bdr w:val="none" w:sz="0" w:space="0" w:color="auto"/>
                <w:lang w:val="en-NZ" w:eastAsia="en-NZ"/>
              </w:rPr>
              <w:t>office</w:t>
            </w:r>
          </w:p>
        </w:tc>
        <w:tc>
          <w:tcPr>
            <w:tcW w:w="3007"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007</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(0.049</w:t>
            </w:r>
            <w:r w:rsidRPr="001F3FFC">
              <w:rPr>
                <w:rFonts w:eastAsia="Times New Roman"/>
                <w:sz w:val="20"/>
                <w:szCs w:val="20"/>
                <w:bdr w:val="none" w:sz="0" w:space="0" w:color="auto"/>
                <w:lang w:val="en-NZ" w:eastAsia="en-NZ"/>
              </w:rPr>
              <w:t>)</w:t>
            </w:r>
          </w:p>
        </w:tc>
        <w:tc>
          <w:tcPr>
            <w:tcW w:w="3007"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041</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(0.033</w:t>
            </w:r>
            <w:r w:rsidRPr="001F3FFC">
              <w:rPr>
                <w:rFonts w:eastAsia="Times New Roman"/>
                <w:sz w:val="20"/>
                <w:szCs w:val="20"/>
                <w:bdr w:val="none" w:sz="0" w:space="0" w:color="auto"/>
                <w:lang w:val="en-NZ" w:eastAsia="en-NZ"/>
              </w:rPr>
              <w:t>)</w:t>
            </w:r>
          </w:p>
        </w:tc>
      </w:tr>
      <w:tr w:rsidR="00BA21D9" w:rsidRPr="0043730F" w:rsidTr="00772C2C">
        <w:trPr>
          <w:trHeight w:val="284"/>
          <w:jc w:val="center"/>
        </w:trPr>
        <w:tc>
          <w:tcPr>
            <w:tcW w:w="3006" w:type="dxa"/>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sidRPr="0099559F">
              <w:rPr>
                <w:rFonts w:eastAsia="Times New Roman"/>
                <w:color w:val="000000"/>
                <w:sz w:val="20"/>
                <w:szCs w:val="20"/>
                <w:bdr w:val="none" w:sz="0" w:space="0" w:color="auto"/>
                <w:lang w:val="en-NZ" w:eastAsia="en-NZ"/>
              </w:rPr>
              <w:t xml:space="preserve">Napier </w:t>
            </w:r>
            <w:r w:rsidR="008720EC">
              <w:rPr>
                <w:rFonts w:eastAsia="Times New Roman"/>
                <w:color w:val="000000"/>
                <w:sz w:val="20"/>
                <w:szCs w:val="20"/>
                <w:bdr w:val="none" w:sz="0" w:space="0" w:color="auto"/>
                <w:lang w:val="en-NZ" w:eastAsia="en-NZ"/>
              </w:rPr>
              <w:t>MoE</w:t>
            </w:r>
            <w:r w:rsidR="00DF661F">
              <w:rPr>
                <w:rFonts w:eastAsia="Times New Roman"/>
                <w:color w:val="000000"/>
                <w:sz w:val="20"/>
                <w:szCs w:val="20"/>
                <w:bdr w:val="none" w:sz="0" w:space="0" w:color="auto"/>
                <w:lang w:val="en-NZ" w:eastAsia="en-NZ"/>
              </w:rPr>
              <w:t xml:space="preserve"> </w:t>
            </w:r>
            <w:r w:rsidRPr="0099559F">
              <w:rPr>
                <w:rFonts w:eastAsia="Times New Roman"/>
                <w:color w:val="000000"/>
                <w:sz w:val="20"/>
                <w:szCs w:val="20"/>
                <w:bdr w:val="none" w:sz="0" w:space="0" w:color="auto"/>
                <w:lang w:val="en-NZ" w:eastAsia="en-NZ"/>
              </w:rPr>
              <w:t>office</w:t>
            </w:r>
          </w:p>
        </w:tc>
        <w:tc>
          <w:tcPr>
            <w:tcW w:w="3007"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047</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(0.035</w:t>
            </w:r>
            <w:r w:rsidRPr="001F3FFC">
              <w:rPr>
                <w:rFonts w:eastAsia="Times New Roman"/>
                <w:sz w:val="20"/>
                <w:szCs w:val="20"/>
                <w:bdr w:val="none" w:sz="0" w:space="0" w:color="auto"/>
                <w:lang w:val="en-NZ" w:eastAsia="en-NZ"/>
              </w:rPr>
              <w:t>)</w:t>
            </w:r>
          </w:p>
        </w:tc>
        <w:tc>
          <w:tcPr>
            <w:tcW w:w="3007"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010</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(0.025</w:t>
            </w:r>
            <w:r w:rsidRPr="001F3FFC">
              <w:rPr>
                <w:rFonts w:eastAsia="Times New Roman"/>
                <w:sz w:val="20"/>
                <w:szCs w:val="20"/>
                <w:bdr w:val="none" w:sz="0" w:space="0" w:color="auto"/>
                <w:lang w:val="en-NZ" w:eastAsia="en-NZ"/>
              </w:rPr>
              <w:t>)</w:t>
            </w:r>
          </w:p>
        </w:tc>
      </w:tr>
      <w:tr w:rsidR="00BA21D9" w:rsidRPr="0043730F" w:rsidTr="00772C2C">
        <w:trPr>
          <w:trHeight w:val="284"/>
          <w:jc w:val="center"/>
        </w:trPr>
        <w:tc>
          <w:tcPr>
            <w:tcW w:w="3006" w:type="dxa"/>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sidRPr="0099559F">
              <w:rPr>
                <w:rFonts w:eastAsia="Times New Roman"/>
                <w:color w:val="000000"/>
                <w:sz w:val="20"/>
                <w:szCs w:val="20"/>
                <w:bdr w:val="none" w:sz="0" w:space="0" w:color="auto"/>
                <w:lang w:val="en-NZ" w:eastAsia="en-NZ"/>
              </w:rPr>
              <w:t xml:space="preserve">Nelson </w:t>
            </w:r>
            <w:r w:rsidR="008720EC">
              <w:rPr>
                <w:rFonts w:eastAsia="Times New Roman"/>
                <w:color w:val="000000"/>
                <w:sz w:val="20"/>
                <w:szCs w:val="20"/>
                <w:bdr w:val="none" w:sz="0" w:space="0" w:color="auto"/>
                <w:lang w:val="en-NZ" w:eastAsia="en-NZ"/>
              </w:rPr>
              <w:t xml:space="preserve">MoE </w:t>
            </w:r>
            <w:r w:rsidRPr="0099559F">
              <w:rPr>
                <w:rFonts w:eastAsia="Times New Roman"/>
                <w:color w:val="000000"/>
                <w:sz w:val="20"/>
                <w:szCs w:val="20"/>
                <w:bdr w:val="none" w:sz="0" w:space="0" w:color="auto"/>
                <w:lang w:val="en-NZ" w:eastAsia="en-NZ"/>
              </w:rPr>
              <w:t>office</w:t>
            </w:r>
          </w:p>
        </w:tc>
        <w:tc>
          <w:tcPr>
            <w:tcW w:w="3007"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095</w:t>
            </w:r>
            <w:r w:rsidRPr="001F3FFC">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(0.037</w:t>
            </w:r>
            <w:r w:rsidRPr="001F3FFC">
              <w:rPr>
                <w:rFonts w:eastAsia="Times New Roman"/>
                <w:sz w:val="20"/>
                <w:szCs w:val="20"/>
                <w:bdr w:val="none" w:sz="0" w:space="0" w:color="auto"/>
                <w:lang w:val="en-NZ" w:eastAsia="en-NZ"/>
              </w:rPr>
              <w:t>)</w:t>
            </w:r>
          </w:p>
        </w:tc>
        <w:tc>
          <w:tcPr>
            <w:tcW w:w="3007"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113</w:t>
            </w:r>
            <w:r w:rsidRPr="001F3FFC">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(0.023</w:t>
            </w:r>
            <w:r w:rsidRPr="001F3FFC">
              <w:rPr>
                <w:rFonts w:eastAsia="Times New Roman"/>
                <w:sz w:val="20"/>
                <w:szCs w:val="20"/>
                <w:bdr w:val="none" w:sz="0" w:space="0" w:color="auto"/>
                <w:lang w:val="en-NZ" w:eastAsia="en-NZ"/>
              </w:rPr>
              <w:t>)</w:t>
            </w:r>
          </w:p>
        </w:tc>
      </w:tr>
      <w:tr w:rsidR="00BA21D9" w:rsidRPr="0043730F" w:rsidTr="00772C2C">
        <w:trPr>
          <w:trHeight w:val="284"/>
          <w:jc w:val="center"/>
        </w:trPr>
        <w:tc>
          <w:tcPr>
            <w:tcW w:w="3006" w:type="dxa"/>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sidRPr="0099559F">
              <w:rPr>
                <w:rFonts w:eastAsia="Times New Roman"/>
                <w:color w:val="000000"/>
                <w:sz w:val="20"/>
                <w:szCs w:val="20"/>
                <w:bdr w:val="none" w:sz="0" w:space="0" w:color="auto"/>
                <w:lang w:val="en-NZ" w:eastAsia="en-NZ"/>
              </w:rPr>
              <w:t xml:space="preserve">Rotorua </w:t>
            </w:r>
            <w:r w:rsidR="008720EC">
              <w:rPr>
                <w:rFonts w:eastAsia="Times New Roman"/>
                <w:color w:val="000000"/>
                <w:sz w:val="20"/>
                <w:szCs w:val="20"/>
                <w:bdr w:val="none" w:sz="0" w:space="0" w:color="auto"/>
                <w:lang w:val="en-NZ" w:eastAsia="en-NZ"/>
              </w:rPr>
              <w:t xml:space="preserve">MoE </w:t>
            </w:r>
            <w:r w:rsidRPr="0099559F">
              <w:rPr>
                <w:rFonts w:eastAsia="Times New Roman"/>
                <w:color w:val="000000"/>
                <w:sz w:val="20"/>
                <w:szCs w:val="20"/>
                <w:bdr w:val="none" w:sz="0" w:space="0" w:color="auto"/>
                <w:lang w:val="en-NZ" w:eastAsia="en-NZ"/>
              </w:rPr>
              <w:t>office</w:t>
            </w:r>
          </w:p>
        </w:tc>
        <w:tc>
          <w:tcPr>
            <w:tcW w:w="3007"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011</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(0.032</w:t>
            </w:r>
            <w:r w:rsidRPr="001F3FFC">
              <w:rPr>
                <w:rFonts w:eastAsia="Times New Roman"/>
                <w:sz w:val="20"/>
                <w:szCs w:val="20"/>
                <w:bdr w:val="none" w:sz="0" w:space="0" w:color="auto"/>
                <w:lang w:val="en-NZ" w:eastAsia="en-NZ"/>
              </w:rPr>
              <w:t>)</w:t>
            </w:r>
          </w:p>
        </w:tc>
        <w:tc>
          <w:tcPr>
            <w:tcW w:w="3007"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014</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(0.025</w:t>
            </w:r>
            <w:r w:rsidRPr="001F3FFC">
              <w:rPr>
                <w:rFonts w:eastAsia="Times New Roman"/>
                <w:sz w:val="20"/>
                <w:szCs w:val="20"/>
                <w:bdr w:val="none" w:sz="0" w:space="0" w:color="auto"/>
                <w:lang w:val="en-NZ" w:eastAsia="en-NZ"/>
              </w:rPr>
              <w:t>)</w:t>
            </w:r>
          </w:p>
        </w:tc>
      </w:tr>
      <w:tr w:rsidR="00BA21D9" w:rsidRPr="0043730F" w:rsidTr="00772C2C">
        <w:trPr>
          <w:trHeight w:val="284"/>
          <w:jc w:val="center"/>
        </w:trPr>
        <w:tc>
          <w:tcPr>
            <w:tcW w:w="3006" w:type="dxa"/>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sidRPr="0099559F">
              <w:rPr>
                <w:rFonts w:eastAsia="Times New Roman"/>
                <w:color w:val="000000"/>
                <w:sz w:val="20"/>
                <w:szCs w:val="20"/>
                <w:bdr w:val="none" w:sz="0" w:space="0" w:color="auto"/>
                <w:lang w:val="en-NZ" w:eastAsia="en-NZ"/>
              </w:rPr>
              <w:t xml:space="preserve">Wellington </w:t>
            </w:r>
            <w:r w:rsidR="008720EC">
              <w:rPr>
                <w:rFonts w:eastAsia="Times New Roman"/>
                <w:color w:val="000000"/>
                <w:sz w:val="20"/>
                <w:szCs w:val="20"/>
                <w:bdr w:val="none" w:sz="0" w:space="0" w:color="auto"/>
                <w:lang w:val="en-NZ" w:eastAsia="en-NZ"/>
              </w:rPr>
              <w:t xml:space="preserve">MoE </w:t>
            </w:r>
            <w:r w:rsidRPr="0099559F">
              <w:rPr>
                <w:rFonts w:eastAsia="Times New Roman"/>
                <w:color w:val="000000"/>
                <w:sz w:val="20"/>
                <w:szCs w:val="20"/>
                <w:bdr w:val="none" w:sz="0" w:space="0" w:color="auto"/>
                <w:lang w:val="en-NZ" w:eastAsia="en-NZ"/>
              </w:rPr>
              <w:t>office</w:t>
            </w:r>
          </w:p>
        </w:tc>
        <w:tc>
          <w:tcPr>
            <w:tcW w:w="3007"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034</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(0.030</w:t>
            </w:r>
            <w:r w:rsidRPr="001F3FFC">
              <w:rPr>
                <w:rFonts w:eastAsia="Times New Roman"/>
                <w:sz w:val="20"/>
                <w:szCs w:val="20"/>
                <w:bdr w:val="none" w:sz="0" w:space="0" w:color="auto"/>
                <w:lang w:val="en-NZ" w:eastAsia="en-NZ"/>
              </w:rPr>
              <w:t>)</w:t>
            </w:r>
          </w:p>
        </w:tc>
        <w:tc>
          <w:tcPr>
            <w:tcW w:w="3007"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014</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(0.022</w:t>
            </w:r>
            <w:r w:rsidRPr="001F3FFC">
              <w:rPr>
                <w:rFonts w:eastAsia="Times New Roman"/>
                <w:sz w:val="20"/>
                <w:szCs w:val="20"/>
                <w:bdr w:val="none" w:sz="0" w:space="0" w:color="auto"/>
                <w:lang w:val="en-NZ" w:eastAsia="en-NZ"/>
              </w:rPr>
              <w:t>)</w:t>
            </w:r>
          </w:p>
        </w:tc>
      </w:tr>
      <w:tr w:rsidR="00BA21D9" w:rsidRPr="0043730F" w:rsidTr="00772C2C">
        <w:trPr>
          <w:trHeight w:val="284"/>
          <w:jc w:val="center"/>
        </w:trPr>
        <w:tc>
          <w:tcPr>
            <w:tcW w:w="3006" w:type="dxa"/>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sidRPr="0099559F">
              <w:rPr>
                <w:rFonts w:eastAsia="Times New Roman"/>
                <w:color w:val="000000"/>
                <w:sz w:val="20"/>
                <w:szCs w:val="20"/>
                <w:bdr w:val="none" w:sz="0" w:space="0" w:color="auto"/>
                <w:lang w:val="en-NZ" w:eastAsia="en-NZ"/>
              </w:rPr>
              <w:t xml:space="preserve">Whanganui </w:t>
            </w:r>
            <w:r w:rsidR="008720EC">
              <w:rPr>
                <w:rFonts w:eastAsia="Times New Roman"/>
                <w:color w:val="000000"/>
                <w:sz w:val="20"/>
                <w:szCs w:val="20"/>
                <w:bdr w:val="none" w:sz="0" w:space="0" w:color="auto"/>
                <w:lang w:val="en-NZ" w:eastAsia="en-NZ"/>
              </w:rPr>
              <w:t xml:space="preserve">MoE </w:t>
            </w:r>
            <w:r w:rsidRPr="0099559F">
              <w:rPr>
                <w:rFonts w:eastAsia="Times New Roman"/>
                <w:color w:val="000000"/>
                <w:sz w:val="20"/>
                <w:szCs w:val="20"/>
                <w:bdr w:val="none" w:sz="0" w:space="0" w:color="auto"/>
                <w:lang w:val="en-NZ" w:eastAsia="en-NZ"/>
              </w:rPr>
              <w:t>office</w:t>
            </w:r>
          </w:p>
        </w:tc>
        <w:tc>
          <w:tcPr>
            <w:tcW w:w="3007"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017</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(0.031</w:t>
            </w:r>
            <w:r w:rsidRPr="001F3FFC">
              <w:rPr>
                <w:rFonts w:eastAsia="Times New Roman"/>
                <w:sz w:val="20"/>
                <w:szCs w:val="20"/>
                <w:bdr w:val="none" w:sz="0" w:space="0" w:color="auto"/>
                <w:lang w:val="en-NZ" w:eastAsia="en-NZ"/>
              </w:rPr>
              <w:t>)</w:t>
            </w:r>
          </w:p>
        </w:tc>
        <w:tc>
          <w:tcPr>
            <w:tcW w:w="3007"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047</w:t>
            </w:r>
            <w:r>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(0.022</w:t>
            </w:r>
            <w:r w:rsidRPr="001F3FFC">
              <w:rPr>
                <w:rFonts w:eastAsia="Times New Roman"/>
                <w:sz w:val="20"/>
                <w:szCs w:val="20"/>
                <w:bdr w:val="none" w:sz="0" w:space="0" w:color="auto"/>
                <w:lang w:val="en-NZ" w:eastAsia="en-NZ"/>
              </w:rPr>
              <w:t>)</w:t>
            </w:r>
          </w:p>
        </w:tc>
      </w:tr>
      <w:tr w:rsidR="00BA21D9" w:rsidRPr="0043730F" w:rsidTr="00772C2C">
        <w:trPr>
          <w:trHeight w:val="284"/>
          <w:jc w:val="center"/>
        </w:trPr>
        <w:tc>
          <w:tcPr>
            <w:tcW w:w="3006" w:type="dxa"/>
            <w:tcBorders>
              <w:bottom w:val="single" w:sz="4" w:space="0" w:color="auto"/>
            </w:tcBorders>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sidRPr="0099559F">
              <w:rPr>
                <w:rFonts w:eastAsia="Times New Roman"/>
                <w:color w:val="000000"/>
                <w:sz w:val="20"/>
                <w:szCs w:val="20"/>
                <w:bdr w:val="none" w:sz="0" w:space="0" w:color="auto"/>
                <w:lang w:val="en-NZ" w:eastAsia="en-NZ"/>
              </w:rPr>
              <w:t xml:space="preserve">Whangarei </w:t>
            </w:r>
            <w:r w:rsidR="008720EC">
              <w:rPr>
                <w:rFonts w:eastAsia="Times New Roman"/>
                <w:color w:val="000000"/>
                <w:sz w:val="20"/>
                <w:szCs w:val="20"/>
                <w:bdr w:val="none" w:sz="0" w:space="0" w:color="auto"/>
                <w:lang w:val="en-NZ" w:eastAsia="en-NZ"/>
              </w:rPr>
              <w:t>MoE</w:t>
            </w:r>
            <w:r w:rsidR="00DF661F">
              <w:rPr>
                <w:rFonts w:eastAsia="Times New Roman"/>
                <w:color w:val="000000"/>
                <w:sz w:val="20"/>
                <w:szCs w:val="20"/>
                <w:bdr w:val="none" w:sz="0" w:space="0" w:color="auto"/>
                <w:lang w:val="en-NZ" w:eastAsia="en-NZ"/>
              </w:rPr>
              <w:t xml:space="preserve"> </w:t>
            </w:r>
            <w:r w:rsidRPr="0099559F">
              <w:rPr>
                <w:rFonts w:eastAsia="Times New Roman"/>
                <w:color w:val="000000"/>
                <w:sz w:val="20"/>
                <w:szCs w:val="20"/>
                <w:bdr w:val="none" w:sz="0" w:space="0" w:color="auto"/>
                <w:lang w:val="en-NZ" w:eastAsia="en-NZ"/>
              </w:rPr>
              <w:t>office</w:t>
            </w:r>
          </w:p>
        </w:tc>
        <w:tc>
          <w:tcPr>
            <w:tcW w:w="3007" w:type="dxa"/>
            <w:tcBorders>
              <w:bottom w:val="single" w:sz="4" w:space="0" w:color="auto"/>
            </w:tcBorders>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005</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(0.038</w:t>
            </w:r>
            <w:r w:rsidRPr="001F3FFC">
              <w:rPr>
                <w:rFonts w:eastAsia="Times New Roman"/>
                <w:sz w:val="20"/>
                <w:szCs w:val="20"/>
                <w:bdr w:val="none" w:sz="0" w:space="0" w:color="auto"/>
                <w:lang w:val="en-NZ" w:eastAsia="en-NZ"/>
              </w:rPr>
              <w:t>)</w:t>
            </w:r>
          </w:p>
        </w:tc>
        <w:tc>
          <w:tcPr>
            <w:tcW w:w="3007" w:type="dxa"/>
            <w:tcBorders>
              <w:bottom w:val="single" w:sz="4" w:space="0" w:color="auto"/>
            </w:tcBorders>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008</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(0.030</w:t>
            </w:r>
            <w:r w:rsidRPr="001F3FFC">
              <w:rPr>
                <w:rFonts w:eastAsia="Times New Roman"/>
                <w:sz w:val="20"/>
                <w:szCs w:val="20"/>
                <w:bdr w:val="none" w:sz="0" w:space="0" w:color="auto"/>
                <w:lang w:val="en-NZ" w:eastAsia="en-NZ"/>
              </w:rPr>
              <w:t>)</w:t>
            </w:r>
          </w:p>
        </w:tc>
      </w:tr>
      <w:tr w:rsidR="00BA21D9" w:rsidRPr="0043730F" w:rsidTr="00772C2C">
        <w:trPr>
          <w:trHeight w:val="284"/>
          <w:jc w:val="center"/>
        </w:trPr>
        <w:tc>
          <w:tcPr>
            <w:tcW w:w="3006" w:type="dxa"/>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lang w:val="en-NZ" w:eastAsia="en-NZ"/>
              </w:rPr>
            </w:pPr>
            <w:r>
              <w:rPr>
                <w:rFonts w:eastAsia="Times New Roman"/>
                <w:color w:val="000000"/>
                <w:sz w:val="20"/>
                <w:szCs w:val="20"/>
                <w:bdr w:val="none" w:sz="0" w:space="0" w:color="auto"/>
                <w:lang w:val="en-NZ" w:eastAsia="en-NZ"/>
              </w:rPr>
              <w:t>Mother at age 14</w:t>
            </w:r>
          </w:p>
        </w:tc>
        <w:tc>
          <w:tcPr>
            <w:tcW w:w="3007" w:type="dxa"/>
            <w:tcBorders>
              <w:bottom w:val="single" w:sz="4" w:space="0" w:color="auto"/>
            </w:tcBorders>
            <w:shd w:val="clear" w:color="auto" w:fill="auto"/>
            <w:tcMar>
              <w:top w:w="28" w:type="dxa"/>
              <w:left w:w="108" w:type="dxa"/>
              <w:bottom w:w="28" w:type="dxa"/>
              <w:right w:w="108" w:type="dxa"/>
            </w:tcMar>
            <w:vAlign w:val="cente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 xml:space="preserve">  0.375</w:t>
            </w:r>
            <w:r w:rsidRPr="001F3FFC">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(0.163)</w:t>
            </w:r>
          </w:p>
        </w:tc>
        <w:tc>
          <w:tcPr>
            <w:tcW w:w="3007" w:type="dxa"/>
            <w:tcBorders>
              <w:bottom w:val="single" w:sz="4" w:space="0" w:color="auto"/>
            </w:tcBorders>
            <w:shd w:val="clear" w:color="auto" w:fill="auto"/>
            <w:vAlign w:val="cente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 xml:space="preserve">  0.362</w:t>
            </w:r>
            <w:r w:rsidRPr="001F3FFC">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(0.171)</w:t>
            </w:r>
          </w:p>
        </w:tc>
      </w:tr>
      <w:tr w:rsidR="00BA21D9" w:rsidRPr="0043730F" w:rsidTr="00772C2C">
        <w:trPr>
          <w:trHeight w:val="284"/>
          <w:jc w:val="center"/>
        </w:trPr>
        <w:tc>
          <w:tcPr>
            <w:tcW w:w="3006" w:type="dxa"/>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lang w:val="en-NZ" w:eastAsia="en-NZ"/>
              </w:rPr>
            </w:pPr>
            <w:r>
              <w:rPr>
                <w:rFonts w:eastAsia="Times New Roman"/>
                <w:color w:val="000000"/>
                <w:sz w:val="20"/>
                <w:szCs w:val="20"/>
                <w:bdr w:val="none" w:sz="0" w:space="0" w:color="auto"/>
                <w:lang w:val="en-NZ" w:eastAsia="en-NZ"/>
              </w:rPr>
              <w:t>Mother at age 15</w:t>
            </w:r>
          </w:p>
        </w:tc>
        <w:tc>
          <w:tcPr>
            <w:tcW w:w="3007" w:type="dxa"/>
            <w:tcBorders>
              <w:bottom w:val="single" w:sz="4" w:space="0" w:color="auto"/>
            </w:tcBorders>
            <w:shd w:val="clear" w:color="auto" w:fill="auto"/>
            <w:tcMar>
              <w:top w:w="28" w:type="dxa"/>
              <w:left w:w="108" w:type="dxa"/>
              <w:bottom w:w="28" w:type="dxa"/>
              <w:right w:w="108" w:type="dxa"/>
            </w:tcMar>
            <w:vAlign w:val="cente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 xml:space="preserve">   0.174</w:t>
            </w:r>
            <w:r w:rsidRPr="001F3FFC">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(0.060)</w:t>
            </w:r>
          </w:p>
        </w:tc>
        <w:tc>
          <w:tcPr>
            <w:tcW w:w="3007" w:type="dxa"/>
            <w:tcBorders>
              <w:bottom w:val="single" w:sz="4" w:space="0" w:color="auto"/>
            </w:tcBorders>
            <w:shd w:val="clear" w:color="auto" w:fill="auto"/>
            <w:vAlign w:val="cente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0.011</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(0.044)</w:t>
            </w:r>
          </w:p>
        </w:tc>
      </w:tr>
      <w:tr w:rsidR="00BA21D9" w:rsidRPr="0043730F" w:rsidTr="00772C2C">
        <w:trPr>
          <w:trHeight w:val="284"/>
          <w:jc w:val="center"/>
        </w:trPr>
        <w:tc>
          <w:tcPr>
            <w:tcW w:w="3006" w:type="dxa"/>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lang w:val="en-NZ" w:eastAsia="en-NZ"/>
              </w:rPr>
            </w:pPr>
            <w:r>
              <w:rPr>
                <w:rFonts w:eastAsia="Times New Roman"/>
                <w:color w:val="000000"/>
                <w:sz w:val="20"/>
                <w:szCs w:val="20"/>
                <w:bdr w:val="none" w:sz="0" w:space="0" w:color="auto"/>
                <w:lang w:val="en-NZ" w:eastAsia="en-NZ"/>
              </w:rPr>
              <w:t>Mother at age 16</w:t>
            </w:r>
          </w:p>
        </w:tc>
        <w:tc>
          <w:tcPr>
            <w:tcW w:w="3007" w:type="dxa"/>
            <w:tcBorders>
              <w:bottom w:val="single" w:sz="4" w:space="0" w:color="auto"/>
            </w:tcBorders>
            <w:shd w:val="clear" w:color="auto" w:fill="auto"/>
            <w:tcMar>
              <w:top w:w="28" w:type="dxa"/>
              <w:left w:w="108" w:type="dxa"/>
              <w:bottom w:w="28" w:type="dxa"/>
              <w:right w:w="108" w:type="dxa"/>
            </w:tcMar>
            <w:vAlign w:val="cente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 xml:space="preserve">   0.096</w:t>
            </w:r>
            <w:r w:rsidRPr="001F3FFC">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(0.033)</w:t>
            </w:r>
          </w:p>
        </w:tc>
        <w:tc>
          <w:tcPr>
            <w:tcW w:w="3007" w:type="dxa"/>
            <w:tcBorders>
              <w:bottom w:val="single" w:sz="4" w:space="0" w:color="auto"/>
            </w:tcBorders>
            <w:shd w:val="clear" w:color="auto" w:fill="auto"/>
            <w:vAlign w:val="cente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0.011</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(0.024)</w:t>
            </w:r>
          </w:p>
        </w:tc>
      </w:tr>
      <w:tr w:rsidR="00BA21D9" w:rsidRPr="0043730F" w:rsidTr="00772C2C">
        <w:trPr>
          <w:trHeight w:val="284"/>
          <w:jc w:val="center"/>
        </w:trPr>
        <w:tc>
          <w:tcPr>
            <w:tcW w:w="3006" w:type="dxa"/>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lang w:val="en-NZ" w:eastAsia="en-NZ"/>
              </w:rPr>
            </w:pPr>
            <w:r>
              <w:rPr>
                <w:rFonts w:eastAsia="Times New Roman"/>
                <w:color w:val="000000"/>
                <w:sz w:val="20"/>
                <w:szCs w:val="20"/>
                <w:bdr w:val="none" w:sz="0" w:space="0" w:color="auto"/>
                <w:lang w:val="en-NZ" w:eastAsia="en-NZ"/>
              </w:rPr>
              <w:t>Mother at age 17</w:t>
            </w:r>
          </w:p>
        </w:tc>
        <w:tc>
          <w:tcPr>
            <w:tcW w:w="3007" w:type="dxa"/>
            <w:tcBorders>
              <w:bottom w:val="single" w:sz="4" w:space="0" w:color="auto"/>
            </w:tcBorders>
            <w:shd w:val="clear" w:color="auto" w:fill="auto"/>
            <w:tcMar>
              <w:top w:w="28" w:type="dxa"/>
              <w:left w:w="108" w:type="dxa"/>
              <w:bottom w:w="28" w:type="dxa"/>
              <w:right w:w="108" w:type="dxa"/>
            </w:tcMar>
            <w:vAlign w:val="cente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 xml:space="preserve">   0.106</w:t>
            </w:r>
            <w:r w:rsidRPr="001F3FFC">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(0.025)</w:t>
            </w:r>
          </w:p>
        </w:tc>
        <w:tc>
          <w:tcPr>
            <w:tcW w:w="3007" w:type="dxa"/>
            <w:tcBorders>
              <w:bottom w:val="single" w:sz="4" w:space="0" w:color="auto"/>
            </w:tcBorders>
            <w:shd w:val="clear" w:color="auto" w:fill="auto"/>
            <w:vAlign w:val="cente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-0.009</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(0.018)</w:t>
            </w:r>
          </w:p>
        </w:tc>
      </w:tr>
      <w:tr w:rsidR="00BA21D9" w:rsidRPr="0043730F" w:rsidTr="00772C2C">
        <w:trPr>
          <w:trHeight w:val="284"/>
          <w:jc w:val="center"/>
        </w:trPr>
        <w:tc>
          <w:tcPr>
            <w:tcW w:w="3006" w:type="dxa"/>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lang w:val="en-NZ" w:eastAsia="en-NZ"/>
              </w:rPr>
            </w:pPr>
            <w:r>
              <w:rPr>
                <w:rFonts w:eastAsia="Times New Roman"/>
                <w:color w:val="000000"/>
                <w:sz w:val="20"/>
                <w:szCs w:val="20"/>
                <w:bdr w:val="none" w:sz="0" w:space="0" w:color="auto"/>
                <w:lang w:val="en-NZ" w:eastAsia="en-NZ"/>
              </w:rPr>
              <w:t>Mother at age 18</w:t>
            </w:r>
          </w:p>
        </w:tc>
        <w:tc>
          <w:tcPr>
            <w:tcW w:w="3007" w:type="dxa"/>
            <w:tcBorders>
              <w:bottom w:val="single" w:sz="4" w:space="0" w:color="auto"/>
            </w:tcBorders>
            <w:shd w:val="clear" w:color="auto" w:fill="auto"/>
            <w:tcMar>
              <w:top w:w="28" w:type="dxa"/>
              <w:left w:w="108" w:type="dxa"/>
              <w:bottom w:w="28" w:type="dxa"/>
              <w:right w:w="108" w:type="dxa"/>
            </w:tcMar>
            <w:vAlign w:val="cente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 xml:space="preserve">   0.113</w:t>
            </w:r>
            <w:r w:rsidRPr="001F3FFC">
              <w:rPr>
                <w:color w:val="000000" w:themeColor="text1"/>
                <w:kern w:val="24"/>
                <w:sz w:val="20"/>
                <w:szCs w:val="20"/>
                <w:bdr w:val="none" w:sz="0" w:space="0" w:color="auto"/>
                <w:vertAlign w:val="superscript"/>
                <w:lang w:eastAsia="en-NZ"/>
              </w:rPr>
              <w:t>***</w:t>
            </w:r>
            <w:r>
              <w:rPr>
                <w:color w:val="000000" w:themeColor="text1"/>
                <w:kern w:val="24"/>
                <w:sz w:val="20"/>
                <w:szCs w:val="20"/>
                <w:bdr w:val="none" w:sz="0" w:space="0" w:color="auto"/>
                <w:lang w:eastAsia="en-NZ"/>
              </w:rPr>
              <w:br/>
              <w:t>(0.022)</w:t>
            </w:r>
          </w:p>
        </w:tc>
        <w:tc>
          <w:tcPr>
            <w:tcW w:w="3007" w:type="dxa"/>
            <w:tcBorders>
              <w:bottom w:val="single" w:sz="4" w:space="0" w:color="auto"/>
            </w:tcBorders>
            <w:shd w:val="clear" w:color="auto" w:fill="auto"/>
            <w:vAlign w:val="cente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 xml:space="preserve">   0.048</w:t>
            </w:r>
            <w:r w:rsidRPr="001F3FFC">
              <w:rPr>
                <w:color w:val="000000" w:themeColor="text1"/>
                <w:kern w:val="24"/>
                <w:sz w:val="20"/>
                <w:szCs w:val="20"/>
                <w:bdr w:val="none" w:sz="0" w:space="0" w:color="auto"/>
                <w:vertAlign w:val="superscript"/>
                <w:lang w:eastAsia="en-NZ"/>
              </w:rPr>
              <w:t>***</w:t>
            </w:r>
            <w:r>
              <w:rPr>
                <w:color w:val="000000" w:themeColor="text1"/>
                <w:kern w:val="24"/>
                <w:sz w:val="20"/>
                <w:szCs w:val="20"/>
                <w:bdr w:val="none" w:sz="0" w:space="0" w:color="auto"/>
                <w:lang w:eastAsia="en-NZ"/>
              </w:rPr>
              <w:br/>
              <w:t>(0.016)</w:t>
            </w:r>
          </w:p>
        </w:tc>
      </w:tr>
      <w:tr w:rsidR="00BA21D9" w:rsidRPr="0043730F" w:rsidTr="00772C2C">
        <w:trPr>
          <w:trHeight w:val="284"/>
          <w:jc w:val="center"/>
        </w:trPr>
        <w:tc>
          <w:tcPr>
            <w:tcW w:w="3006" w:type="dxa"/>
            <w:tcBorders>
              <w:bottom w:val="single" w:sz="4" w:space="0" w:color="auto"/>
            </w:tcBorders>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lang w:val="en-NZ" w:eastAsia="en-NZ"/>
              </w:rPr>
            </w:pPr>
            <w:r>
              <w:rPr>
                <w:rFonts w:eastAsia="Times New Roman"/>
                <w:color w:val="000000"/>
                <w:sz w:val="20"/>
                <w:szCs w:val="20"/>
                <w:bdr w:val="none" w:sz="0" w:space="0" w:color="auto"/>
                <w:lang w:val="en-NZ" w:eastAsia="en-NZ"/>
              </w:rPr>
              <w:t>Days mother on benefit by age 5</w:t>
            </w:r>
          </w:p>
        </w:tc>
        <w:tc>
          <w:tcPr>
            <w:tcW w:w="3007" w:type="dxa"/>
            <w:tcBorders>
              <w:bottom w:val="single" w:sz="4" w:space="0" w:color="auto"/>
            </w:tcBorders>
            <w:shd w:val="clear" w:color="auto" w:fill="auto"/>
            <w:tcMar>
              <w:top w:w="28" w:type="dxa"/>
              <w:left w:w="108" w:type="dxa"/>
              <w:bottom w:w="28" w:type="dxa"/>
              <w:right w:w="108" w:type="dxa"/>
            </w:tcMar>
            <w:vAlign w:val="cente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 xml:space="preserve">  -0.000</w:t>
            </w:r>
            <w:r>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(0.000)</w:t>
            </w:r>
          </w:p>
        </w:tc>
        <w:tc>
          <w:tcPr>
            <w:tcW w:w="3007" w:type="dxa"/>
            <w:tcBorders>
              <w:bottom w:val="single" w:sz="4" w:space="0" w:color="auto"/>
            </w:tcBorders>
            <w:shd w:val="clear" w:color="auto" w:fill="auto"/>
            <w:vAlign w:val="cente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 xml:space="preserve">  -0.000</w:t>
            </w:r>
            <w:r>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(0.000)</w:t>
            </w:r>
          </w:p>
        </w:tc>
      </w:tr>
      <w:tr w:rsidR="00BA21D9" w:rsidRPr="0043730F" w:rsidTr="00772C2C">
        <w:trPr>
          <w:trHeight w:val="284"/>
          <w:jc w:val="center"/>
        </w:trPr>
        <w:tc>
          <w:tcPr>
            <w:tcW w:w="3006" w:type="dxa"/>
            <w:tcBorders>
              <w:bottom w:val="single" w:sz="8" w:space="0" w:color="auto"/>
            </w:tcBorders>
            <w:tcMar>
              <w:top w:w="28" w:type="dxa"/>
              <w:left w:w="108" w:type="dxa"/>
              <w:bottom w:w="28" w:type="dxa"/>
              <w:right w:w="108" w:type="dxa"/>
            </w:tcMar>
            <w:vAlign w:val="center"/>
          </w:tcPr>
          <w:p w:rsidR="00BA21D9" w:rsidRPr="002D1DB0"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lang w:eastAsia="en-NZ"/>
              </w:rPr>
            </w:pPr>
            <w:r>
              <w:rPr>
                <w:rFonts w:eastAsia="Times New Roman"/>
                <w:color w:val="000000"/>
                <w:sz w:val="20"/>
                <w:szCs w:val="20"/>
                <w:bdr w:val="none" w:sz="0" w:space="0" w:color="auto"/>
                <w:lang w:eastAsia="en-NZ"/>
              </w:rPr>
              <w:t>School size</w:t>
            </w:r>
          </w:p>
        </w:tc>
        <w:tc>
          <w:tcPr>
            <w:tcW w:w="3007" w:type="dxa"/>
            <w:tcBorders>
              <w:bottom w:val="single" w:sz="8" w:space="0" w:color="auto"/>
            </w:tcBorders>
            <w:shd w:val="clear" w:color="auto" w:fill="auto"/>
            <w:tcMar>
              <w:top w:w="28" w:type="dxa"/>
              <w:left w:w="108" w:type="dxa"/>
              <w:bottom w:w="28" w:type="dxa"/>
              <w:right w:w="108" w:type="dxa"/>
            </w:tcMar>
            <w:vAlign w:val="cente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 xml:space="preserve">   -0.009</w:t>
            </w:r>
            <w:r w:rsidRPr="001F3FFC">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(0.004)</w:t>
            </w:r>
          </w:p>
        </w:tc>
        <w:tc>
          <w:tcPr>
            <w:tcW w:w="3007" w:type="dxa"/>
            <w:tcBorders>
              <w:bottom w:val="single" w:sz="8" w:space="0" w:color="auto"/>
            </w:tcBorders>
            <w:shd w:val="clear" w:color="auto" w:fill="auto"/>
            <w:vAlign w:val="cente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 xml:space="preserve">   -0.009</w:t>
            </w:r>
            <w:r w:rsidRPr="001F3FFC">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(0.003)</w:t>
            </w:r>
          </w:p>
        </w:tc>
      </w:tr>
      <w:tr w:rsidR="00BA21D9" w:rsidRPr="0043730F" w:rsidTr="00772C2C">
        <w:trPr>
          <w:trHeight w:val="227"/>
          <w:jc w:val="center"/>
        </w:trPr>
        <w:tc>
          <w:tcPr>
            <w:tcW w:w="3006" w:type="dxa"/>
            <w:tcBorders>
              <w:top w:val="single" w:sz="8" w:space="0" w:color="auto"/>
              <w:bottom w:val="nil"/>
            </w:tcBorders>
            <w:shd w:val="clear" w:color="auto" w:fill="auto"/>
            <w:tcMar>
              <w:top w:w="28" w:type="dxa"/>
              <w:left w:w="108" w:type="dxa"/>
              <w:bottom w:w="28" w:type="dxa"/>
              <w:right w:w="108" w:type="dxa"/>
            </w:tcMar>
            <w:hideMark/>
          </w:tcPr>
          <w:p w:rsidR="00BA21D9" w:rsidRPr="004B26AA"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i/>
                <w:sz w:val="20"/>
                <w:szCs w:val="20"/>
                <w:bdr w:val="none" w:sz="0" w:space="0" w:color="auto"/>
                <w:lang w:val="en-NZ" w:eastAsia="en-NZ"/>
              </w:rPr>
            </w:pPr>
            <w:r w:rsidRPr="004B26AA">
              <w:rPr>
                <w:i/>
                <w:color w:val="000000" w:themeColor="text1"/>
                <w:kern w:val="24"/>
                <w:sz w:val="20"/>
                <w:szCs w:val="20"/>
                <w:bdr w:val="none" w:sz="0" w:space="0" w:color="auto"/>
                <w:lang w:val="en-NZ" w:eastAsia="en-NZ"/>
              </w:rPr>
              <w:t>n</w:t>
            </w:r>
          </w:p>
        </w:tc>
        <w:tc>
          <w:tcPr>
            <w:tcW w:w="3007" w:type="dxa"/>
            <w:tcBorders>
              <w:top w:val="single" w:sz="8" w:space="0" w:color="auto"/>
              <w:bottom w:val="nil"/>
            </w:tcBorders>
            <w:shd w:val="clear" w:color="auto" w:fill="auto"/>
            <w:tcMar>
              <w:top w:w="28" w:type="dxa"/>
              <w:left w:w="108" w:type="dxa"/>
              <w:bottom w:w="28" w:type="dxa"/>
              <w:right w:w="108" w:type="dxa"/>
            </w:tcMar>
            <w:hideMark/>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rFonts w:eastAsiaTheme="minorEastAsia"/>
                <w:color w:val="000000" w:themeColor="text1"/>
                <w:kern w:val="24"/>
                <w:sz w:val="20"/>
                <w:szCs w:val="20"/>
                <w:bdr w:val="none" w:sz="0" w:space="0" w:color="auto"/>
                <w:lang w:val="en-NZ" w:eastAsia="en-NZ"/>
              </w:rPr>
              <w:t>3,849</w:t>
            </w:r>
          </w:p>
        </w:tc>
        <w:tc>
          <w:tcPr>
            <w:tcW w:w="3007" w:type="dxa"/>
            <w:tcBorders>
              <w:top w:val="single" w:sz="8" w:space="0" w:color="auto"/>
              <w:bottom w:val="nil"/>
            </w:tcBorders>
            <w:shd w:val="clear" w:color="auto" w:fill="auto"/>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EastAsia"/>
                <w:color w:val="000000" w:themeColor="text1"/>
                <w:kern w:val="24"/>
                <w:sz w:val="20"/>
                <w:szCs w:val="20"/>
                <w:bdr w:val="none" w:sz="0" w:space="0" w:color="auto"/>
                <w:lang w:val="en-NZ" w:eastAsia="en-NZ"/>
              </w:rPr>
            </w:pPr>
            <w:r>
              <w:rPr>
                <w:rFonts w:eastAsiaTheme="minorEastAsia"/>
                <w:color w:val="000000" w:themeColor="text1"/>
                <w:kern w:val="24"/>
                <w:sz w:val="20"/>
                <w:szCs w:val="20"/>
                <w:bdr w:val="none" w:sz="0" w:space="0" w:color="auto"/>
                <w:lang w:val="en-NZ" w:eastAsia="en-NZ"/>
              </w:rPr>
              <w:t>4,914</w:t>
            </w:r>
          </w:p>
        </w:tc>
      </w:tr>
      <w:tr w:rsidR="00BA21D9" w:rsidRPr="0043730F" w:rsidTr="00772C2C">
        <w:trPr>
          <w:trHeight w:val="227"/>
          <w:jc w:val="center"/>
        </w:trPr>
        <w:tc>
          <w:tcPr>
            <w:tcW w:w="3006" w:type="dxa"/>
            <w:tcBorders>
              <w:top w:val="nil"/>
              <w:bottom w:val="nil"/>
            </w:tcBorders>
            <w:shd w:val="clear" w:color="auto" w:fill="auto"/>
            <w:tcMar>
              <w:top w:w="28" w:type="dxa"/>
              <w:left w:w="108" w:type="dxa"/>
              <w:bottom w:w="28" w:type="dxa"/>
              <w:right w:w="108" w:type="dxa"/>
            </w:tcMa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val="en-NZ" w:eastAsia="en-NZ"/>
              </w:rPr>
            </w:pPr>
            <w:r>
              <w:rPr>
                <w:color w:val="000000" w:themeColor="text1"/>
                <w:kern w:val="24"/>
                <w:sz w:val="20"/>
                <w:szCs w:val="20"/>
                <w:bdr w:val="none" w:sz="0" w:space="0" w:color="auto"/>
                <w:lang w:val="en-NZ" w:eastAsia="en-NZ"/>
              </w:rPr>
              <w:t>Log-Likelihood Function</w:t>
            </w:r>
          </w:p>
        </w:tc>
        <w:tc>
          <w:tcPr>
            <w:tcW w:w="3007" w:type="dxa"/>
            <w:tcBorders>
              <w:top w:val="nil"/>
              <w:bottom w:val="nil"/>
            </w:tcBorders>
            <w:shd w:val="clear" w:color="auto" w:fill="auto"/>
            <w:tcMar>
              <w:top w:w="28" w:type="dxa"/>
              <w:left w:w="108" w:type="dxa"/>
              <w:bottom w:w="28" w:type="dxa"/>
              <w:right w:w="108" w:type="dxa"/>
            </w:tcMa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EastAsia"/>
                <w:color w:val="000000" w:themeColor="text1"/>
                <w:kern w:val="24"/>
                <w:sz w:val="20"/>
                <w:szCs w:val="20"/>
                <w:bdr w:val="none" w:sz="0" w:space="0" w:color="auto"/>
                <w:lang w:val="en-NZ" w:eastAsia="en-NZ"/>
              </w:rPr>
            </w:pPr>
            <w:r>
              <w:rPr>
                <w:rFonts w:eastAsiaTheme="minorEastAsia"/>
                <w:color w:val="000000" w:themeColor="text1"/>
                <w:kern w:val="24"/>
                <w:sz w:val="20"/>
                <w:szCs w:val="20"/>
                <w:bdr w:val="none" w:sz="0" w:space="0" w:color="auto"/>
                <w:lang w:val="en-NZ" w:eastAsia="en-NZ"/>
              </w:rPr>
              <w:t>-1,983.98</w:t>
            </w:r>
          </w:p>
        </w:tc>
        <w:tc>
          <w:tcPr>
            <w:tcW w:w="3007" w:type="dxa"/>
            <w:tcBorders>
              <w:top w:val="nil"/>
              <w:bottom w:val="nil"/>
            </w:tcBorders>
            <w:shd w:val="clear" w:color="auto" w:fill="auto"/>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EastAsia"/>
                <w:color w:val="000000" w:themeColor="text1"/>
                <w:kern w:val="24"/>
                <w:sz w:val="20"/>
                <w:szCs w:val="20"/>
                <w:bdr w:val="none" w:sz="0" w:space="0" w:color="auto"/>
                <w:lang w:val="en-NZ" w:eastAsia="en-NZ"/>
              </w:rPr>
            </w:pPr>
            <w:r>
              <w:rPr>
                <w:rFonts w:eastAsiaTheme="minorEastAsia"/>
                <w:color w:val="000000" w:themeColor="text1"/>
                <w:kern w:val="24"/>
                <w:sz w:val="20"/>
                <w:szCs w:val="20"/>
                <w:bdr w:val="none" w:sz="0" w:space="0" w:color="auto"/>
                <w:lang w:val="en-NZ" w:eastAsia="en-NZ"/>
              </w:rPr>
              <w:t>-2,282.16</w:t>
            </w:r>
          </w:p>
        </w:tc>
      </w:tr>
      <w:tr w:rsidR="00BA21D9" w:rsidRPr="0043730F" w:rsidTr="00772C2C">
        <w:trPr>
          <w:trHeight w:val="227"/>
          <w:jc w:val="center"/>
        </w:trPr>
        <w:tc>
          <w:tcPr>
            <w:tcW w:w="3006" w:type="dxa"/>
            <w:tcBorders>
              <w:top w:val="nil"/>
              <w:bottom w:val="single" w:sz="8" w:space="0" w:color="auto"/>
            </w:tcBorders>
            <w:shd w:val="clear" w:color="auto" w:fill="auto"/>
            <w:tcMar>
              <w:top w:w="28" w:type="dxa"/>
              <w:left w:w="108" w:type="dxa"/>
              <w:bottom w:w="28" w:type="dxa"/>
              <w:right w:w="108" w:type="dxa"/>
            </w:tcMa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val="en-NZ" w:eastAsia="en-NZ"/>
              </w:rPr>
            </w:pPr>
            <w:r>
              <w:rPr>
                <w:color w:val="000000" w:themeColor="text1"/>
                <w:kern w:val="24"/>
                <w:sz w:val="20"/>
                <w:szCs w:val="20"/>
                <w:bdr w:val="none" w:sz="0" w:space="0" w:color="auto"/>
                <w:lang w:val="en-NZ" w:eastAsia="en-NZ"/>
              </w:rPr>
              <w:t>Pseudo R</w:t>
            </w:r>
            <w:r w:rsidRPr="001F3FFC">
              <w:rPr>
                <w:color w:val="000000" w:themeColor="text1"/>
                <w:kern w:val="24"/>
                <w:sz w:val="20"/>
                <w:szCs w:val="20"/>
                <w:bdr w:val="none" w:sz="0" w:space="0" w:color="auto"/>
                <w:vertAlign w:val="superscript"/>
                <w:lang w:val="en-NZ" w:eastAsia="en-NZ"/>
              </w:rPr>
              <w:t>2</w:t>
            </w:r>
            <w:r>
              <w:rPr>
                <w:color w:val="000000" w:themeColor="text1"/>
                <w:kern w:val="24"/>
                <w:sz w:val="20"/>
                <w:szCs w:val="20"/>
                <w:bdr w:val="none" w:sz="0" w:space="0" w:color="auto"/>
                <w:lang w:val="en-NZ" w:eastAsia="en-NZ"/>
              </w:rPr>
              <w:t xml:space="preserve"> Statistic</w:t>
            </w:r>
          </w:p>
        </w:tc>
        <w:tc>
          <w:tcPr>
            <w:tcW w:w="3007" w:type="dxa"/>
            <w:tcBorders>
              <w:top w:val="nil"/>
              <w:bottom w:val="single" w:sz="8" w:space="0" w:color="auto"/>
            </w:tcBorders>
            <w:shd w:val="clear" w:color="auto" w:fill="auto"/>
            <w:tcMar>
              <w:top w:w="28" w:type="dxa"/>
              <w:left w:w="108" w:type="dxa"/>
              <w:bottom w:w="28" w:type="dxa"/>
              <w:right w:w="108" w:type="dxa"/>
            </w:tcMa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EastAsia"/>
                <w:color w:val="000000" w:themeColor="text1"/>
                <w:kern w:val="24"/>
                <w:sz w:val="20"/>
                <w:szCs w:val="20"/>
                <w:bdr w:val="none" w:sz="0" w:space="0" w:color="auto"/>
                <w:lang w:val="en-NZ" w:eastAsia="en-NZ"/>
              </w:rPr>
            </w:pPr>
            <w:r>
              <w:rPr>
                <w:rFonts w:eastAsiaTheme="minorEastAsia"/>
                <w:color w:val="000000" w:themeColor="text1"/>
                <w:kern w:val="24"/>
                <w:sz w:val="20"/>
                <w:szCs w:val="20"/>
                <w:bdr w:val="none" w:sz="0" w:space="0" w:color="auto"/>
                <w:lang w:val="en-NZ" w:eastAsia="en-NZ"/>
              </w:rPr>
              <w:t>0.1247</w:t>
            </w:r>
          </w:p>
        </w:tc>
        <w:tc>
          <w:tcPr>
            <w:tcW w:w="3007" w:type="dxa"/>
            <w:tcBorders>
              <w:top w:val="nil"/>
              <w:bottom w:val="single" w:sz="8" w:space="0" w:color="auto"/>
            </w:tcBorders>
            <w:shd w:val="clear" w:color="auto" w:fill="auto"/>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EastAsia"/>
                <w:color w:val="000000" w:themeColor="text1"/>
                <w:kern w:val="24"/>
                <w:sz w:val="20"/>
                <w:szCs w:val="20"/>
                <w:bdr w:val="none" w:sz="0" w:space="0" w:color="auto"/>
                <w:lang w:val="en-NZ" w:eastAsia="en-NZ"/>
              </w:rPr>
            </w:pPr>
            <w:r>
              <w:rPr>
                <w:rFonts w:eastAsiaTheme="minorEastAsia"/>
                <w:color w:val="000000" w:themeColor="text1"/>
                <w:kern w:val="24"/>
                <w:sz w:val="20"/>
                <w:szCs w:val="20"/>
                <w:bdr w:val="none" w:sz="0" w:space="0" w:color="auto"/>
                <w:lang w:val="en-NZ" w:eastAsia="en-NZ"/>
              </w:rPr>
              <w:t>0.1048</w:t>
            </w:r>
          </w:p>
        </w:tc>
      </w:tr>
    </w:tbl>
    <w:p w:rsidR="00BA21D9" w:rsidRDefault="00BA21D9" w:rsidP="00BA21D9">
      <w:pPr>
        <w:widowControl w:val="0"/>
        <w:autoSpaceDE w:val="0"/>
        <w:autoSpaceDN w:val="0"/>
        <w:adjustRightInd w:val="0"/>
        <w:spacing w:before="80" w:after="80"/>
        <w:jc w:val="both"/>
        <w:rPr>
          <w:sz w:val="20"/>
          <w:szCs w:val="20"/>
        </w:rPr>
      </w:pPr>
      <w:r w:rsidRPr="000C6A33">
        <w:rPr>
          <w:sz w:val="20"/>
          <w:szCs w:val="20"/>
        </w:rPr>
        <w:t>Notes</w:t>
      </w:r>
      <w:r>
        <w:rPr>
          <w:sz w:val="20"/>
          <w:szCs w:val="20"/>
        </w:rPr>
        <w:t>:</w:t>
      </w:r>
    </w:p>
    <w:p w:rsidR="004F5A37" w:rsidRDefault="00BA21D9" w:rsidP="004F5A37">
      <w:pPr>
        <w:widowControl w:val="0"/>
        <w:autoSpaceDE w:val="0"/>
        <w:autoSpaceDN w:val="0"/>
        <w:adjustRightInd w:val="0"/>
        <w:jc w:val="both"/>
        <w:rPr>
          <w:sz w:val="20"/>
          <w:szCs w:val="20"/>
        </w:rPr>
      </w:pPr>
      <w:r>
        <w:rPr>
          <w:sz w:val="20"/>
          <w:szCs w:val="20"/>
        </w:rPr>
        <w:t>Full sets of regression results.  See the notes at the bottom of Table 8 in the main body of this report for more information on these estimation procedures.</w:t>
      </w:r>
      <w:r w:rsidR="004F5A37" w:rsidRPr="004F5A37">
        <w:rPr>
          <w:sz w:val="20"/>
          <w:szCs w:val="20"/>
        </w:rPr>
        <w:t xml:space="preserve"> </w:t>
      </w:r>
      <w:r w:rsidR="004F5A37">
        <w:rPr>
          <w:sz w:val="20"/>
          <w:szCs w:val="20"/>
        </w:rPr>
        <w:t xml:space="preserve">Excluded categories are birth cohort =1991, urban area = Main Urban Area and </w:t>
      </w:r>
      <w:r w:rsidR="008720EC">
        <w:rPr>
          <w:sz w:val="20"/>
          <w:szCs w:val="20"/>
        </w:rPr>
        <w:t>MoE</w:t>
      </w:r>
      <w:r w:rsidR="00DF661F">
        <w:rPr>
          <w:sz w:val="20"/>
          <w:szCs w:val="20"/>
        </w:rPr>
        <w:t xml:space="preserve"> </w:t>
      </w:r>
      <w:r w:rsidR="004F5A37">
        <w:rPr>
          <w:sz w:val="20"/>
          <w:szCs w:val="20"/>
        </w:rPr>
        <w:t xml:space="preserve">Office = Auckland North and Mother age = 13. </w:t>
      </w:r>
    </w:p>
    <w:p w:rsidR="00BA21D9" w:rsidRDefault="00BA21D9" w:rsidP="00BA21D9">
      <w:pPr>
        <w:widowControl w:val="0"/>
        <w:autoSpaceDE w:val="0"/>
        <w:autoSpaceDN w:val="0"/>
        <w:adjustRightInd w:val="0"/>
        <w:jc w:val="both"/>
        <w:rPr>
          <w:sz w:val="20"/>
          <w:szCs w:val="20"/>
        </w:rPr>
      </w:pPr>
    </w:p>
    <w:p w:rsidR="00BA21D9" w:rsidRDefault="00BA21D9" w:rsidP="00BA21D9">
      <w:pPr>
        <w:widowControl w:val="0"/>
        <w:autoSpaceDE w:val="0"/>
        <w:autoSpaceDN w:val="0"/>
        <w:adjustRightInd w:val="0"/>
        <w:jc w:val="both"/>
        <w:rPr>
          <w:sz w:val="20"/>
          <w:szCs w:val="20"/>
        </w:rPr>
      </w:pPr>
    </w:p>
    <w:p w:rsidR="00BA21D9" w:rsidRDefault="00BA21D9" w:rsidP="00BA21D9">
      <w:pPr>
        <w:widowControl w:val="0"/>
        <w:autoSpaceDE w:val="0"/>
        <w:autoSpaceDN w:val="0"/>
        <w:adjustRightInd w:val="0"/>
        <w:jc w:val="both"/>
        <w:rPr>
          <w:sz w:val="20"/>
          <w:szCs w:val="20"/>
        </w:rPr>
      </w:pPr>
      <w:r w:rsidRPr="000C6A33">
        <w:rPr>
          <w:sz w:val="20"/>
          <w:szCs w:val="20"/>
          <w:vertAlign w:val="superscript"/>
        </w:rPr>
        <w:t>***</w:t>
      </w:r>
      <w:r>
        <w:rPr>
          <w:sz w:val="20"/>
          <w:szCs w:val="20"/>
        </w:rPr>
        <w:t xml:space="preserve"> Estimated partial derivative significantly different from zero</w:t>
      </w:r>
      <w:r w:rsidRPr="004B26AA">
        <w:rPr>
          <w:sz w:val="20"/>
          <w:szCs w:val="20"/>
        </w:rPr>
        <w:t xml:space="preserve"> </w:t>
      </w:r>
      <w:r>
        <w:rPr>
          <w:sz w:val="20"/>
          <w:szCs w:val="20"/>
        </w:rPr>
        <w:t xml:space="preserve">at a 1% level using a </w:t>
      </w:r>
      <w:r w:rsidRPr="000C6A33">
        <w:rPr>
          <w:i/>
          <w:sz w:val="20"/>
          <w:szCs w:val="20"/>
        </w:rPr>
        <w:t xml:space="preserve">t </w:t>
      </w:r>
      <w:r>
        <w:rPr>
          <w:sz w:val="20"/>
          <w:szCs w:val="20"/>
        </w:rPr>
        <w:t>test</w:t>
      </w:r>
    </w:p>
    <w:p w:rsidR="00BA21D9" w:rsidRDefault="00BA21D9" w:rsidP="00BA21D9">
      <w:pPr>
        <w:widowControl w:val="0"/>
        <w:autoSpaceDE w:val="0"/>
        <w:autoSpaceDN w:val="0"/>
        <w:adjustRightInd w:val="0"/>
        <w:jc w:val="both"/>
        <w:rPr>
          <w:sz w:val="20"/>
          <w:szCs w:val="20"/>
        </w:rPr>
      </w:pPr>
      <w:r w:rsidRPr="000C6A33">
        <w:rPr>
          <w:sz w:val="20"/>
          <w:szCs w:val="20"/>
          <w:vertAlign w:val="superscript"/>
        </w:rPr>
        <w:t>**</w:t>
      </w:r>
      <w:r>
        <w:rPr>
          <w:sz w:val="20"/>
          <w:szCs w:val="20"/>
          <w:vertAlign w:val="superscript"/>
        </w:rPr>
        <w:t xml:space="preserve">  </w:t>
      </w:r>
      <w:r>
        <w:rPr>
          <w:sz w:val="20"/>
          <w:szCs w:val="20"/>
        </w:rPr>
        <w:t xml:space="preserve"> Estimated partial derivative significantly different from zero</w:t>
      </w:r>
      <w:r w:rsidRPr="004B26AA">
        <w:rPr>
          <w:sz w:val="20"/>
          <w:szCs w:val="20"/>
        </w:rPr>
        <w:t xml:space="preserve"> </w:t>
      </w:r>
      <w:r>
        <w:rPr>
          <w:sz w:val="20"/>
          <w:szCs w:val="20"/>
        </w:rPr>
        <w:t xml:space="preserve">at a 5% level using a </w:t>
      </w:r>
      <w:r w:rsidRPr="000C6A33">
        <w:rPr>
          <w:i/>
          <w:sz w:val="20"/>
          <w:szCs w:val="20"/>
        </w:rPr>
        <w:t xml:space="preserve">t </w:t>
      </w:r>
      <w:r>
        <w:rPr>
          <w:sz w:val="20"/>
          <w:szCs w:val="20"/>
        </w:rPr>
        <w:t>test</w:t>
      </w:r>
    </w:p>
    <w:p w:rsidR="00BA21D9" w:rsidRDefault="00BA21D9" w:rsidP="00BA21D9">
      <w:pPr>
        <w:widowControl w:val="0"/>
        <w:autoSpaceDE w:val="0"/>
        <w:autoSpaceDN w:val="0"/>
        <w:adjustRightInd w:val="0"/>
        <w:jc w:val="both"/>
        <w:rPr>
          <w:sz w:val="20"/>
          <w:szCs w:val="20"/>
        </w:rPr>
      </w:pPr>
      <w:r>
        <w:rPr>
          <w:sz w:val="20"/>
          <w:szCs w:val="20"/>
          <w:vertAlign w:val="superscript"/>
        </w:rPr>
        <w:t>*</w:t>
      </w:r>
      <w:r>
        <w:rPr>
          <w:sz w:val="20"/>
          <w:szCs w:val="20"/>
        </w:rPr>
        <w:t xml:space="preserve">    Estimated partial derivative significantly different from zero</w:t>
      </w:r>
      <w:r w:rsidRPr="004B26AA">
        <w:rPr>
          <w:sz w:val="20"/>
          <w:szCs w:val="20"/>
        </w:rPr>
        <w:t xml:space="preserve"> </w:t>
      </w:r>
      <w:r>
        <w:rPr>
          <w:sz w:val="20"/>
          <w:szCs w:val="20"/>
        </w:rPr>
        <w:t xml:space="preserve">at a 10% level using a </w:t>
      </w:r>
      <w:r w:rsidRPr="000C6A33">
        <w:rPr>
          <w:i/>
          <w:sz w:val="20"/>
          <w:szCs w:val="20"/>
        </w:rPr>
        <w:t xml:space="preserve">t </w:t>
      </w:r>
      <w:r>
        <w:rPr>
          <w:sz w:val="20"/>
          <w:szCs w:val="20"/>
        </w:rPr>
        <w:t>test</w:t>
      </w:r>
    </w:p>
    <w:p w:rsidR="00BA21D9" w:rsidRDefault="00BA21D9" w:rsidP="00BA21D9">
      <w:pPr>
        <w:rPr>
          <w:sz w:val="22"/>
          <w:szCs w:val="22"/>
          <w:lang w:val="en-NZ" w:eastAsia="en-SG"/>
        </w:rPr>
      </w:pPr>
    </w:p>
    <w:p w:rsidR="00BA21D9" w:rsidRPr="008B0F62" w:rsidRDefault="00BA21D9" w:rsidP="00BA21D9">
      <w:pPr>
        <w:rPr>
          <w:sz w:val="22"/>
          <w:szCs w:val="22"/>
          <w:lang w:val="en-NZ" w:eastAsia="en-SG"/>
        </w:rPr>
      </w:pPr>
    </w:p>
    <w:p w:rsidR="00BA21D9" w:rsidRDefault="00BA21D9" w:rsidP="00BA21D9">
      <w:pPr>
        <w:rPr>
          <w:sz w:val="22"/>
          <w:szCs w:val="22"/>
          <w:lang w:val="en-NZ" w:eastAsia="en-SG"/>
        </w:rPr>
      </w:pPr>
      <w:r>
        <w:rPr>
          <w:sz w:val="22"/>
          <w:szCs w:val="22"/>
          <w:lang w:val="en-NZ" w:eastAsia="en-SG"/>
        </w:rPr>
        <w:br w:type="page"/>
      </w:r>
    </w:p>
    <w:p w:rsidR="00BA21D9" w:rsidRPr="006C39FE" w:rsidRDefault="00EB1E61" w:rsidP="006C39FE">
      <w:pPr>
        <w:pStyle w:val="Caption"/>
        <w:jc w:val="center"/>
        <w:rPr>
          <w:sz w:val="22"/>
          <w:szCs w:val="22"/>
        </w:rPr>
      </w:pPr>
      <w:bookmarkStart w:id="66" w:name="_Toc475430727"/>
      <w:r>
        <w:rPr>
          <w:sz w:val="22"/>
          <w:szCs w:val="22"/>
        </w:rPr>
        <w:t xml:space="preserve">Appendix </w:t>
      </w:r>
      <w:r w:rsidR="006C39FE" w:rsidRPr="006C39FE">
        <w:rPr>
          <w:sz w:val="22"/>
          <w:szCs w:val="22"/>
        </w:rPr>
        <w:t xml:space="preserve">Table </w:t>
      </w:r>
      <w:r w:rsidR="006C39FE" w:rsidRPr="006C39FE">
        <w:rPr>
          <w:sz w:val="22"/>
          <w:szCs w:val="22"/>
        </w:rPr>
        <w:fldChar w:fldCharType="begin"/>
      </w:r>
      <w:r w:rsidR="006C39FE" w:rsidRPr="006C39FE">
        <w:rPr>
          <w:sz w:val="22"/>
          <w:szCs w:val="22"/>
        </w:rPr>
        <w:instrText xml:space="preserve"> SEQ Table \* ARABIC </w:instrText>
      </w:r>
      <w:r w:rsidR="006C39FE" w:rsidRPr="006C39FE">
        <w:rPr>
          <w:sz w:val="22"/>
          <w:szCs w:val="22"/>
        </w:rPr>
        <w:fldChar w:fldCharType="separate"/>
      </w:r>
      <w:r>
        <w:rPr>
          <w:noProof/>
          <w:sz w:val="22"/>
          <w:szCs w:val="22"/>
        </w:rPr>
        <w:t>4</w:t>
      </w:r>
      <w:r w:rsidR="006C39FE" w:rsidRPr="006C39FE">
        <w:rPr>
          <w:sz w:val="22"/>
          <w:szCs w:val="22"/>
        </w:rPr>
        <w:fldChar w:fldCharType="end"/>
      </w:r>
      <w:r w:rsidR="006C39FE" w:rsidRPr="006C39FE">
        <w:rPr>
          <w:sz w:val="22"/>
          <w:szCs w:val="22"/>
        </w:rPr>
        <w:t xml:space="preserve">: Maximum Likelihood Probit </w:t>
      </w:r>
      <w:r>
        <w:rPr>
          <w:sz w:val="22"/>
          <w:szCs w:val="22"/>
        </w:rPr>
        <w:t>r</w:t>
      </w:r>
      <w:r w:rsidR="006C39FE" w:rsidRPr="006C39FE">
        <w:rPr>
          <w:sz w:val="22"/>
          <w:szCs w:val="22"/>
        </w:rPr>
        <w:t>esults, estimated effects for all young women at age of 14 on the probability of birth</w:t>
      </w:r>
      <w:bookmarkEnd w:id="66"/>
    </w:p>
    <w:tbl>
      <w:tblPr>
        <w:tblW w:w="0" w:type="auto"/>
        <w:jc w:val="center"/>
        <w:tblBorders>
          <w:top w:val="single" w:sz="4" w:space="0" w:color="000000"/>
          <w:bottom w:val="single" w:sz="4" w:space="0" w:color="000000"/>
          <w:insideH w:val="single" w:sz="4" w:space="0" w:color="000000"/>
        </w:tblBorders>
        <w:tblCellMar>
          <w:left w:w="0" w:type="dxa"/>
          <w:right w:w="0" w:type="dxa"/>
        </w:tblCellMar>
        <w:tblLook w:val="0600" w:firstRow="0" w:lastRow="0" w:firstColumn="0" w:lastColumn="0" w:noHBand="1" w:noVBand="1"/>
      </w:tblPr>
      <w:tblGrid>
        <w:gridCol w:w="4933"/>
        <w:gridCol w:w="1985"/>
      </w:tblGrid>
      <w:tr w:rsidR="00BA21D9" w:rsidRPr="0043730F" w:rsidTr="0063534E">
        <w:trPr>
          <w:trHeight w:val="794"/>
          <w:jc w:val="center"/>
        </w:trPr>
        <w:tc>
          <w:tcPr>
            <w:tcW w:w="4933" w:type="dxa"/>
            <w:tcBorders>
              <w:top w:val="single" w:sz="8" w:space="0" w:color="000000"/>
              <w:bottom w:val="single" w:sz="8" w:space="0" w:color="000000"/>
            </w:tcBorders>
            <w:shd w:val="clear" w:color="auto" w:fill="auto"/>
            <w:tcMar>
              <w:top w:w="15" w:type="dxa"/>
              <w:left w:w="108" w:type="dxa"/>
              <w:bottom w:w="0" w:type="dxa"/>
              <w:right w:w="108" w:type="dxa"/>
            </w:tcMar>
            <w:vAlign w:val="bottom"/>
            <w:hideMark/>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NZ" w:eastAsia="en-NZ"/>
              </w:rPr>
            </w:pPr>
            <w:r w:rsidRPr="004F4C26">
              <w:rPr>
                <w:color w:val="000000" w:themeColor="text1"/>
                <w:kern w:val="24"/>
                <w:sz w:val="20"/>
                <w:szCs w:val="20"/>
                <w:bdr w:val="none" w:sz="0" w:space="0" w:color="auto"/>
                <w:lang w:eastAsia="en-NZ"/>
              </w:rPr>
              <w:t> </w:t>
            </w:r>
          </w:p>
        </w:tc>
        <w:tc>
          <w:tcPr>
            <w:tcW w:w="1985" w:type="dxa"/>
            <w:tcBorders>
              <w:top w:val="single" w:sz="8" w:space="0" w:color="000000"/>
              <w:bottom w:val="single" w:sz="8" w:space="0" w:color="000000"/>
            </w:tcBorders>
            <w:shd w:val="clear" w:color="auto" w:fill="auto"/>
            <w:tcMar>
              <w:top w:w="15" w:type="dxa"/>
              <w:left w:w="108" w:type="dxa"/>
              <w:bottom w:w="0" w:type="dxa"/>
              <w:right w:w="108" w:type="dxa"/>
            </w:tcMar>
            <w:vAlign w:val="bottom"/>
            <w:hideMark/>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Estimated Marginal </w:t>
            </w:r>
            <w:r w:rsidRPr="004F4C26">
              <w:rPr>
                <w:color w:val="000000" w:themeColor="text1"/>
                <w:kern w:val="24"/>
                <w:sz w:val="20"/>
                <w:szCs w:val="20"/>
                <w:bdr w:val="none" w:sz="0" w:space="0" w:color="auto"/>
                <w:lang w:eastAsia="en-NZ"/>
              </w:rPr>
              <w:t>Effect</w:t>
            </w:r>
            <w:r>
              <w:rPr>
                <w:color w:val="000000" w:themeColor="text1"/>
                <w:kern w:val="24"/>
                <w:sz w:val="20"/>
                <w:szCs w:val="20"/>
                <w:bdr w:val="none" w:sz="0" w:space="0" w:color="auto"/>
                <w:lang w:eastAsia="en-NZ"/>
              </w:rPr>
              <w:t>s</w:t>
            </w:r>
            <w:r w:rsidRPr="004F4C26">
              <w:rPr>
                <w:color w:val="000000" w:themeColor="text1"/>
                <w:kern w:val="24"/>
                <w:sz w:val="20"/>
                <w:szCs w:val="20"/>
                <w:bdr w:val="none" w:sz="0" w:space="0" w:color="auto"/>
                <w:lang w:eastAsia="en-NZ"/>
              </w:rPr>
              <w:t xml:space="preserve"> </w:t>
            </w:r>
            <w:r>
              <w:rPr>
                <w:color w:val="000000" w:themeColor="text1"/>
                <w:kern w:val="24"/>
                <w:sz w:val="20"/>
                <w:szCs w:val="20"/>
                <w:bdr w:val="none" w:sz="0" w:space="0" w:color="auto"/>
                <w:lang w:eastAsia="en-NZ"/>
              </w:rPr>
              <w:t>and Standard Errors in Parentheses</w:t>
            </w:r>
          </w:p>
        </w:tc>
      </w:tr>
      <w:tr w:rsidR="00BA21D9" w:rsidRPr="0043730F" w:rsidTr="0063534E">
        <w:trPr>
          <w:trHeight w:val="284"/>
          <w:jc w:val="center"/>
        </w:trPr>
        <w:tc>
          <w:tcPr>
            <w:tcW w:w="4933" w:type="dxa"/>
            <w:shd w:val="clear" w:color="auto" w:fill="auto"/>
            <w:tcMar>
              <w:top w:w="28" w:type="dxa"/>
              <w:left w:w="108" w:type="dxa"/>
              <w:bottom w:w="28" w:type="dxa"/>
              <w:right w:w="108" w:type="dxa"/>
            </w:tcMar>
            <w:vAlign w:val="center"/>
            <w:hideMark/>
          </w:tcPr>
          <w:p w:rsidR="00BA21D9" w:rsidRPr="002A02F2"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sz w:val="20"/>
                <w:szCs w:val="20"/>
                <w:bdr w:val="none" w:sz="0" w:space="0" w:color="auto"/>
                <w:lang w:val="en-NZ" w:eastAsia="en-NZ"/>
              </w:rPr>
            </w:pPr>
            <w:r w:rsidRPr="002A02F2">
              <w:rPr>
                <w:b/>
                <w:color w:val="000000" w:themeColor="text1"/>
                <w:kern w:val="24"/>
                <w:sz w:val="20"/>
                <w:szCs w:val="20"/>
                <w:bdr w:val="none" w:sz="0" w:space="0" w:color="auto"/>
                <w:lang w:eastAsia="en-NZ"/>
              </w:rPr>
              <w:t xml:space="preserve">TPU </w:t>
            </w:r>
            <w:r>
              <w:rPr>
                <w:b/>
                <w:color w:val="000000" w:themeColor="text1"/>
                <w:kern w:val="24"/>
                <w:sz w:val="20"/>
                <w:szCs w:val="20"/>
                <w:bdr w:val="none" w:sz="0" w:space="0" w:color="auto"/>
                <w:lang w:eastAsia="en-NZ"/>
              </w:rPr>
              <w:t xml:space="preserve">governing school enrolled at age 14 </w:t>
            </w:r>
            <w:r w:rsidRPr="002A02F2">
              <w:rPr>
                <w:b/>
                <w:color w:val="000000" w:themeColor="text1"/>
                <w:kern w:val="24"/>
                <w:sz w:val="20"/>
                <w:szCs w:val="20"/>
                <w:bdr w:val="none" w:sz="0" w:space="0" w:color="auto"/>
                <w:lang w:eastAsia="en-NZ"/>
              </w:rPr>
              <w:t>(</w:t>
            </w:r>
            <m:oMath>
              <m:r>
                <m:rPr>
                  <m:sty m:val="bi"/>
                </m:rPr>
                <w:rPr>
                  <w:rFonts w:ascii="Cambria Math" w:hAnsi="Cambria Math" w:cs="Arial" w:hint="eastAsia"/>
                  <w:color w:val="000000" w:themeColor="text1"/>
                  <w:kern w:val="24"/>
                  <w:sz w:val="20"/>
                  <w:szCs w:val="20"/>
                  <w:bdr w:val="none" w:sz="0" w:space="0" w:color="auto"/>
                  <w:lang w:eastAsia="en-NZ"/>
                </w:rPr>
                <m:t> </m:t>
              </m:r>
              <m:r>
                <m:rPr>
                  <m:sty m:val="bi"/>
                </m:rPr>
                <w:rPr>
                  <w:rFonts w:ascii="Cambria Math" w:hAnsi="Cambria Math" w:cs="Arial"/>
                  <w:color w:val="000000" w:themeColor="text1"/>
                  <w:kern w:val="24"/>
                  <w:sz w:val="20"/>
                  <w:szCs w:val="20"/>
                  <w:bdr w:val="none" w:sz="0" w:space="0" w:color="auto"/>
                  <w:lang w:eastAsia="en-NZ"/>
                </w:rPr>
                <m:t>TP</m:t>
              </m:r>
              <m:sSub>
                <m:sSubPr>
                  <m:ctrlPr>
                    <w:rPr>
                      <w:rFonts w:ascii="Cambria Math" w:hAnsi="Cambria Math" w:cs="Arial"/>
                      <w:b/>
                      <w:i/>
                      <w:iCs/>
                      <w:color w:val="000000" w:themeColor="text1"/>
                      <w:kern w:val="24"/>
                      <w:sz w:val="20"/>
                      <w:szCs w:val="20"/>
                      <w:bdr w:val="none" w:sz="0" w:space="0" w:color="auto"/>
                      <w:lang w:val="en-NZ" w:eastAsia="en-NZ"/>
                    </w:rPr>
                  </m:ctrlPr>
                </m:sSubPr>
                <m:e>
                  <m:r>
                    <m:rPr>
                      <m:sty m:val="bi"/>
                    </m:rPr>
                    <w:rPr>
                      <w:rFonts w:ascii="Cambria Math" w:hAnsi="Cambria Math" w:cs="Arial"/>
                      <w:color w:val="000000" w:themeColor="text1"/>
                      <w:kern w:val="24"/>
                      <w:sz w:val="20"/>
                      <w:szCs w:val="20"/>
                      <w:bdr w:val="none" w:sz="0" w:space="0" w:color="auto"/>
                      <w:lang w:eastAsia="en-NZ"/>
                    </w:rPr>
                    <m:t>U</m:t>
                  </m:r>
                </m:e>
                <m:sub>
                  <m:r>
                    <m:rPr>
                      <m:sty m:val="bi"/>
                    </m:rPr>
                    <w:rPr>
                      <w:rFonts w:ascii="Cambria Math" w:hAnsi="Cambria Math" w:cs="Arial"/>
                      <w:color w:val="000000" w:themeColor="text1"/>
                      <w:kern w:val="24"/>
                      <w:sz w:val="20"/>
                      <w:szCs w:val="20"/>
                      <w:bdr w:val="none" w:sz="0" w:space="0" w:color="auto"/>
                      <w:lang w:eastAsia="en-NZ"/>
                    </w:rPr>
                    <m:t>age=14</m:t>
                  </m:r>
                </m:sub>
              </m:sSub>
              <m:r>
                <m:rPr>
                  <m:sty m:val="bi"/>
                </m:rPr>
                <w:rPr>
                  <w:rFonts w:ascii="Cambria Math" w:hAnsi="Cambria Math" w:cs="Arial"/>
                  <w:color w:val="000000" w:themeColor="text1"/>
                  <w:kern w:val="24"/>
                  <w:sz w:val="20"/>
                  <w:szCs w:val="20"/>
                  <w:bdr w:val="none" w:sz="0" w:space="0" w:color="auto"/>
                  <w:lang w:eastAsia="en-NZ"/>
                </w:rPr>
                <m:t>)</m:t>
              </m:r>
            </m:oMath>
            <w:r w:rsidRPr="002A02F2">
              <w:rPr>
                <w:b/>
                <w:color w:val="000000" w:themeColor="text1"/>
                <w:kern w:val="24"/>
                <w:sz w:val="20"/>
                <w:szCs w:val="20"/>
                <w:bdr w:val="none" w:sz="0" w:space="0" w:color="auto"/>
                <w:lang w:eastAsia="en-NZ"/>
              </w:rPr>
              <w:t> </w:t>
            </w:r>
          </w:p>
        </w:tc>
        <w:tc>
          <w:tcPr>
            <w:tcW w:w="1985" w:type="dxa"/>
            <w:shd w:val="clear" w:color="auto" w:fill="auto"/>
            <w:tcMar>
              <w:top w:w="28" w:type="dxa"/>
              <w:left w:w="108" w:type="dxa"/>
              <w:bottom w:w="28" w:type="dxa"/>
              <w:right w:w="108" w:type="dxa"/>
            </w:tcMar>
            <w:vAlign w:val="center"/>
            <w:hideMark/>
          </w:tcPr>
          <w:p w:rsidR="00BA21D9" w:rsidRPr="002A02F2"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sz w:val="20"/>
                <w:szCs w:val="20"/>
                <w:bdr w:val="none" w:sz="0" w:space="0" w:color="auto"/>
                <w:lang w:val="en-NZ" w:eastAsia="en-NZ"/>
              </w:rPr>
            </w:pPr>
            <w:r>
              <w:rPr>
                <w:b/>
                <w:color w:val="000000" w:themeColor="text1"/>
                <w:kern w:val="24"/>
                <w:sz w:val="20"/>
                <w:szCs w:val="20"/>
                <w:bdr w:val="none" w:sz="0" w:space="0" w:color="auto"/>
                <w:lang w:eastAsia="en-NZ"/>
              </w:rPr>
              <w:t>0.002</w:t>
            </w:r>
          </w:p>
          <w:p w:rsidR="00BA21D9" w:rsidRPr="002A02F2"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sz w:val="20"/>
                <w:szCs w:val="20"/>
                <w:bdr w:val="none" w:sz="0" w:space="0" w:color="auto"/>
                <w:lang w:val="en-NZ" w:eastAsia="en-NZ"/>
              </w:rPr>
            </w:pPr>
            <w:r>
              <w:rPr>
                <w:rFonts w:eastAsia="Times New Roman"/>
                <w:b/>
                <w:sz w:val="20"/>
                <w:szCs w:val="20"/>
                <w:bdr w:val="none" w:sz="0" w:space="0" w:color="auto"/>
                <w:lang w:val="en-NZ" w:eastAsia="en-NZ"/>
              </w:rPr>
              <w:t>(0.002</w:t>
            </w:r>
            <w:r w:rsidRPr="002A02F2">
              <w:rPr>
                <w:rFonts w:eastAsia="Times New Roman"/>
                <w:b/>
                <w:sz w:val="20"/>
                <w:szCs w:val="20"/>
                <w:bdr w:val="none" w:sz="0" w:space="0" w:color="auto"/>
                <w:lang w:val="en-NZ" w:eastAsia="en-NZ"/>
              </w:rPr>
              <w:t>)</w:t>
            </w:r>
          </w:p>
        </w:tc>
      </w:tr>
      <w:tr w:rsidR="00BA21D9" w:rsidRPr="0043730F" w:rsidTr="0063534E">
        <w:trPr>
          <w:trHeight w:val="284"/>
          <w:jc w:val="center"/>
        </w:trPr>
        <w:tc>
          <w:tcPr>
            <w:tcW w:w="4933"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European</w:t>
            </w:r>
          </w:p>
        </w:tc>
        <w:tc>
          <w:tcPr>
            <w:tcW w:w="1985"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006</w:t>
            </w:r>
            <w:r w:rsidRPr="001F3FFC">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(0.002</w:t>
            </w:r>
            <w:r w:rsidRPr="001F3FFC">
              <w:rPr>
                <w:rFonts w:eastAsia="Times New Roman"/>
                <w:sz w:val="20"/>
                <w:szCs w:val="20"/>
                <w:bdr w:val="none" w:sz="0" w:space="0" w:color="auto"/>
                <w:lang w:val="en-NZ" w:eastAsia="en-NZ"/>
              </w:rPr>
              <w:t>)</w:t>
            </w:r>
          </w:p>
        </w:tc>
      </w:tr>
      <w:tr w:rsidR="00BA21D9" w:rsidRPr="0043730F" w:rsidTr="0063534E">
        <w:trPr>
          <w:trHeight w:val="284"/>
          <w:jc w:val="center"/>
        </w:trPr>
        <w:tc>
          <w:tcPr>
            <w:tcW w:w="4933"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Maori</w:t>
            </w:r>
          </w:p>
        </w:tc>
        <w:tc>
          <w:tcPr>
            <w:tcW w:w="1985"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036</w:t>
            </w:r>
            <w:r w:rsidRPr="001F3FFC">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(0.003</w:t>
            </w:r>
            <w:r w:rsidRPr="001F3FFC">
              <w:rPr>
                <w:rFonts w:eastAsia="Times New Roman"/>
                <w:sz w:val="20"/>
                <w:szCs w:val="20"/>
                <w:bdr w:val="none" w:sz="0" w:space="0" w:color="auto"/>
                <w:lang w:val="en-NZ" w:eastAsia="en-NZ"/>
              </w:rPr>
              <w:t>)</w:t>
            </w:r>
          </w:p>
        </w:tc>
      </w:tr>
      <w:tr w:rsidR="00BA21D9" w:rsidRPr="0043730F" w:rsidTr="0063534E">
        <w:trPr>
          <w:trHeight w:val="284"/>
          <w:jc w:val="center"/>
        </w:trPr>
        <w:tc>
          <w:tcPr>
            <w:tcW w:w="4933" w:type="dxa"/>
            <w:shd w:val="clear" w:color="auto" w:fill="auto"/>
            <w:tcMar>
              <w:top w:w="28" w:type="dxa"/>
              <w:left w:w="108" w:type="dxa"/>
              <w:bottom w:w="28" w:type="dxa"/>
              <w:right w:w="108" w:type="dxa"/>
            </w:tcMar>
            <w:vAlign w:val="cente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Pacific</w:t>
            </w:r>
          </w:p>
        </w:tc>
        <w:tc>
          <w:tcPr>
            <w:tcW w:w="1985"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003</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(0.002</w:t>
            </w:r>
            <w:r w:rsidRPr="001F3FFC">
              <w:rPr>
                <w:rFonts w:eastAsia="Times New Roman"/>
                <w:sz w:val="20"/>
                <w:szCs w:val="20"/>
                <w:bdr w:val="none" w:sz="0" w:space="0" w:color="auto"/>
                <w:lang w:val="en-NZ" w:eastAsia="en-NZ"/>
              </w:rPr>
              <w:t>)</w:t>
            </w:r>
          </w:p>
        </w:tc>
      </w:tr>
      <w:tr w:rsidR="00BA21D9" w:rsidRPr="0043730F" w:rsidTr="0063534E">
        <w:trPr>
          <w:trHeight w:val="284"/>
          <w:jc w:val="center"/>
        </w:trPr>
        <w:tc>
          <w:tcPr>
            <w:tcW w:w="4933" w:type="dxa"/>
            <w:shd w:val="clear" w:color="auto" w:fill="auto"/>
            <w:tcMar>
              <w:top w:w="28" w:type="dxa"/>
              <w:left w:w="108" w:type="dxa"/>
              <w:bottom w:w="28" w:type="dxa"/>
              <w:right w:w="108" w:type="dxa"/>
            </w:tcMar>
            <w:vAlign w:val="cente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Asian</w:t>
            </w:r>
          </w:p>
        </w:tc>
        <w:tc>
          <w:tcPr>
            <w:tcW w:w="1985"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022</w:t>
            </w:r>
            <w:r>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(0.001</w:t>
            </w:r>
            <w:r w:rsidRPr="001F3FFC">
              <w:rPr>
                <w:rFonts w:eastAsia="Times New Roman"/>
                <w:sz w:val="20"/>
                <w:szCs w:val="20"/>
                <w:bdr w:val="none" w:sz="0" w:space="0" w:color="auto"/>
                <w:lang w:val="en-NZ" w:eastAsia="en-NZ"/>
              </w:rPr>
              <w:t>)</w:t>
            </w:r>
          </w:p>
        </w:tc>
      </w:tr>
      <w:tr w:rsidR="00BA21D9" w:rsidRPr="0043730F" w:rsidTr="0063534E">
        <w:trPr>
          <w:trHeight w:val="284"/>
          <w:jc w:val="center"/>
        </w:trPr>
        <w:tc>
          <w:tcPr>
            <w:tcW w:w="4933" w:type="dxa"/>
            <w:shd w:val="clear" w:color="auto" w:fill="auto"/>
            <w:tcMar>
              <w:top w:w="28" w:type="dxa"/>
              <w:left w:w="108" w:type="dxa"/>
              <w:bottom w:w="28" w:type="dxa"/>
              <w:right w:w="108" w:type="dxa"/>
            </w:tcMar>
            <w:vAlign w:val="cente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Other ethnicity</w:t>
            </w:r>
          </w:p>
        </w:tc>
        <w:tc>
          <w:tcPr>
            <w:tcW w:w="1985"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013</w:t>
            </w:r>
            <w:r w:rsidRPr="001F3FFC">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(0.003</w:t>
            </w:r>
            <w:r w:rsidRPr="001F3FFC">
              <w:rPr>
                <w:rFonts w:eastAsia="Times New Roman"/>
                <w:sz w:val="20"/>
                <w:szCs w:val="20"/>
                <w:bdr w:val="none" w:sz="0" w:space="0" w:color="auto"/>
                <w:lang w:val="en-NZ" w:eastAsia="en-NZ"/>
              </w:rPr>
              <w:t>)</w:t>
            </w:r>
          </w:p>
        </w:tc>
      </w:tr>
      <w:tr w:rsidR="00BA21D9" w:rsidRPr="0043730F" w:rsidTr="0063534E">
        <w:trPr>
          <w:trHeight w:val="284"/>
          <w:jc w:val="center"/>
        </w:trPr>
        <w:tc>
          <w:tcPr>
            <w:tcW w:w="4933" w:type="dxa"/>
            <w:shd w:val="clear" w:color="auto" w:fill="auto"/>
            <w:tcMar>
              <w:top w:w="28" w:type="dxa"/>
              <w:left w:w="108" w:type="dxa"/>
              <w:bottom w:w="28" w:type="dxa"/>
              <w:right w:w="108" w:type="dxa"/>
            </w:tcMar>
            <w:vAlign w:val="cente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1992 birth cohort</w:t>
            </w:r>
          </w:p>
        </w:tc>
        <w:tc>
          <w:tcPr>
            <w:tcW w:w="1985"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001</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(0.002</w:t>
            </w:r>
            <w:r w:rsidRPr="001F3FFC">
              <w:rPr>
                <w:rFonts w:eastAsia="Times New Roman"/>
                <w:sz w:val="20"/>
                <w:szCs w:val="20"/>
                <w:bdr w:val="none" w:sz="0" w:space="0" w:color="auto"/>
                <w:lang w:val="en-NZ" w:eastAsia="en-NZ"/>
              </w:rPr>
              <w:t>)</w:t>
            </w:r>
          </w:p>
        </w:tc>
      </w:tr>
      <w:tr w:rsidR="00BA21D9" w:rsidRPr="0043730F" w:rsidTr="0063534E">
        <w:trPr>
          <w:trHeight w:val="284"/>
          <w:jc w:val="center"/>
        </w:trPr>
        <w:tc>
          <w:tcPr>
            <w:tcW w:w="4933" w:type="dxa"/>
            <w:shd w:val="clear" w:color="auto" w:fill="auto"/>
            <w:tcMar>
              <w:top w:w="28" w:type="dxa"/>
              <w:left w:w="108" w:type="dxa"/>
              <w:bottom w:w="28" w:type="dxa"/>
              <w:right w:w="108" w:type="dxa"/>
            </w:tcMar>
            <w:vAlign w:val="cente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1993 birth cohort</w:t>
            </w:r>
          </w:p>
        </w:tc>
        <w:tc>
          <w:tcPr>
            <w:tcW w:w="1985"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006</w:t>
            </w:r>
            <w:r w:rsidRPr="001F3FFC">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(0.001</w:t>
            </w:r>
            <w:r w:rsidRPr="001F3FFC">
              <w:rPr>
                <w:rFonts w:eastAsia="Times New Roman"/>
                <w:sz w:val="20"/>
                <w:szCs w:val="20"/>
                <w:bdr w:val="none" w:sz="0" w:space="0" w:color="auto"/>
                <w:lang w:val="en-NZ" w:eastAsia="en-NZ"/>
              </w:rPr>
              <w:t>)</w:t>
            </w:r>
          </w:p>
        </w:tc>
      </w:tr>
      <w:tr w:rsidR="00BA21D9" w:rsidRPr="0043730F" w:rsidTr="0063534E">
        <w:trPr>
          <w:trHeight w:val="284"/>
          <w:jc w:val="center"/>
        </w:trPr>
        <w:tc>
          <w:tcPr>
            <w:tcW w:w="4933" w:type="dxa"/>
            <w:shd w:val="clear" w:color="auto" w:fill="auto"/>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sidRPr="0099559F">
              <w:rPr>
                <w:color w:val="000000" w:themeColor="text1"/>
                <w:kern w:val="24"/>
                <w:sz w:val="20"/>
                <w:szCs w:val="20"/>
                <w:bdr w:val="none" w:sz="0" w:space="0" w:color="auto"/>
                <w:lang w:eastAsia="en-NZ"/>
              </w:rPr>
              <w:t>1994 birth cohort</w:t>
            </w:r>
          </w:p>
        </w:tc>
        <w:tc>
          <w:tcPr>
            <w:tcW w:w="1985"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021</w:t>
            </w:r>
            <w:r w:rsidRPr="001F3FFC">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(0.001</w:t>
            </w:r>
            <w:r w:rsidRPr="001F3FFC">
              <w:rPr>
                <w:rFonts w:eastAsia="Times New Roman"/>
                <w:sz w:val="20"/>
                <w:szCs w:val="20"/>
                <w:bdr w:val="none" w:sz="0" w:space="0" w:color="auto"/>
                <w:lang w:val="en-NZ" w:eastAsia="en-NZ"/>
              </w:rPr>
              <w:t>)</w:t>
            </w:r>
          </w:p>
        </w:tc>
      </w:tr>
      <w:tr w:rsidR="00BA21D9" w:rsidRPr="0043730F" w:rsidTr="0063534E">
        <w:trPr>
          <w:trHeight w:val="284"/>
          <w:jc w:val="center"/>
        </w:trPr>
        <w:tc>
          <w:tcPr>
            <w:tcW w:w="4933" w:type="dxa"/>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sidRPr="0099559F">
              <w:rPr>
                <w:rFonts w:eastAsia="Times New Roman"/>
                <w:color w:val="000000"/>
                <w:sz w:val="20"/>
                <w:szCs w:val="20"/>
                <w:bdr w:val="none" w:sz="0" w:space="0" w:color="auto"/>
                <w:lang w:val="en-NZ" w:eastAsia="en-NZ"/>
              </w:rPr>
              <w:t xml:space="preserve">Minor urban area </w:t>
            </w:r>
          </w:p>
        </w:tc>
        <w:tc>
          <w:tcPr>
            <w:tcW w:w="1985"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001</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(0.002</w:t>
            </w:r>
            <w:r w:rsidRPr="001F3FFC">
              <w:rPr>
                <w:rFonts w:eastAsia="Times New Roman"/>
                <w:sz w:val="20"/>
                <w:szCs w:val="20"/>
                <w:bdr w:val="none" w:sz="0" w:space="0" w:color="auto"/>
                <w:lang w:val="en-NZ" w:eastAsia="en-NZ"/>
              </w:rPr>
              <w:t>)</w:t>
            </w:r>
          </w:p>
        </w:tc>
      </w:tr>
      <w:tr w:rsidR="00BA21D9" w:rsidRPr="0043730F" w:rsidTr="0063534E">
        <w:trPr>
          <w:trHeight w:val="284"/>
          <w:jc w:val="center"/>
        </w:trPr>
        <w:tc>
          <w:tcPr>
            <w:tcW w:w="4933" w:type="dxa"/>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sidRPr="0099559F">
              <w:rPr>
                <w:rFonts w:eastAsia="Times New Roman"/>
                <w:color w:val="000000"/>
                <w:sz w:val="20"/>
                <w:szCs w:val="20"/>
                <w:bdr w:val="none" w:sz="0" w:space="0" w:color="auto"/>
                <w:lang w:val="en-NZ" w:eastAsia="en-NZ"/>
              </w:rPr>
              <w:t>Secondary urban area</w:t>
            </w:r>
          </w:p>
        </w:tc>
        <w:tc>
          <w:tcPr>
            <w:tcW w:w="1985"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002</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(0.002</w:t>
            </w:r>
            <w:r w:rsidRPr="001F3FFC">
              <w:rPr>
                <w:rFonts w:eastAsia="Times New Roman"/>
                <w:sz w:val="20"/>
                <w:szCs w:val="20"/>
                <w:bdr w:val="none" w:sz="0" w:space="0" w:color="auto"/>
                <w:lang w:val="en-NZ" w:eastAsia="en-NZ"/>
              </w:rPr>
              <w:t>)</w:t>
            </w:r>
          </w:p>
        </w:tc>
      </w:tr>
      <w:tr w:rsidR="00BA21D9" w:rsidRPr="0043730F" w:rsidTr="0063534E">
        <w:trPr>
          <w:trHeight w:val="284"/>
          <w:jc w:val="center"/>
        </w:trPr>
        <w:tc>
          <w:tcPr>
            <w:tcW w:w="4933" w:type="dxa"/>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sidRPr="0099559F">
              <w:rPr>
                <w:rFonts w:eastAsia="Times New Roman"/>
                <w:color w:val="000000"/>
                <w:sz w:val="20"/>
                <w:szCs w:val="20"/>
                <w:bdr w:val="none" w:sz="0" w:space="0" w:color="auto"/>
                <w:lang w:val="en-NZ" w:eastAsia="en-NZ"/>
              </w:rPr>
              <w:t xml:space="preserve">Rural area </w:t>
            </w:r>
          </w:p>
        </w:tc>
        <w:tc>
          <w:tcPr>
            <w:tcW w:w="1985"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004</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(0.003</w:t>
            </w:r>
            <w:r w:rsidRPr="001F3FFC">
              <w:rPr>
                <w:rFonts w:eastAsia="Times New Roman"/>
                <w:sz w:val="20"/>
                <w:szCs w:val="20"/>
                <w:bdr w:val="none" w:sz="0" w:space="0" w:color="auto"/>
                <w:lang w:val="en-NZ" w:eastAsia="en-NZ"/>
              </w:rPr>
              <w:t>)</w:t>
            </w:r>
          </w:p>
        </w:tc>
      </w:tr>
      <w:tr w:rsidR="00BA21D9" w:rsidRPr="0043730F" w:rsidTr="0063534E">
        <w:trPr>
          <w:trHeight w:val="284"/>
          <w:jc w:val="center"/>
        </w:trPr>
        <w:tc>
          <w:tcPr>
            <w:tcW w:w="4933" w:type="dxa"/>
            <w:shd w:val="clear" w:color="auto" w:fill="auto"/>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sidRPr="0099559F">
              <w:rPr>
                <w:rFonts w:eastAsia="Times New Roman"/>
                <w:color w:val="000000"/>
                <w:sz w:val="20"/>
                <w:szCs w:val="20"/>
                <w:bdr w:val="none" w:sz="0" w:space="0" w:color="auto"/>
                <w:lang w:val="en-NZ" w:eastAsia="en-NZ"/>
              </w:rPr>
              <w:t>Rural/urban not applicable/missing</w:t>
            </w:r>
          </w:p>
        </w:tc>
        <w:tc>
          <w:tcPr>
            <w:tcW w:w="1985"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009</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(0.011</w:t>
            </w:r>
            <w:r w:rsidRPr="001F3FFC">
              <w:rPr>
                <w:rFonts w:eastAsia="Times New Roman"/>
                <w:sz w:val="20"/>
                <w:szCs w:val="20"/>
                <w:bdr w:val="none" w:sz="0" w:space="0" w:color="auto"/>
                <w:lang w:val="en-NZ" w:eastAsia="en-NZ"/>
              </w:rPr>
              <w:t>)</w:t>
            </w:r>
          </w:p>
        </w:tc>
      </w:tr>
      <w:tr w:rsidR="00BA21D9" w:rsidRPr="0043730F" w:rsidTr="0063534E">
        <w:trPr>
          <w:trHeight w:val="284"/>
          <w:jc w:val="center"/>
        </w:trPr>
        <w:tc>
          <w:tcPr>
            <w:tcW w:w="4933" w:type="dxa"/>
            <w:shd w:val="clear" w:color="auto" w:fill="auto"/>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sidRPr="0099559F">
              <w:rPr>
                <w:color w:val="000000" w:themeColor="text1"/>
                <w:kern w:val="24"/>
                <w:sz w:val="20"/>
                <w:szCs w:val="20"/>
                <w:bdr w:val="none" w:sz="0" w:space="0" w:color="auto"/>
                <w:lang w:eastAsia="en-NZ"/>
              </w:rPr>
              <w:t>Ever placed in CYF care</w:t>
            </w:r>
          </w:p>
        </w:tc>
        <w:tc>
          <w:tcPr>
            <w:tcW w:w="1985"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056</w:t>
            </w:r>
            <w:r w:rsidRPr="001F3FFC">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(0.006</w:t>
            </w:r>
            <w:r w:rsidRPr="001F3FFC">
              <w:rPr>
                <w:rFonts w:eastAsia="Times New Roman"/>
                <w:sz w:val="20"/>
                <w:szCs w:val="20"/>
                <w:bdr w:val="none" w:sz="0" w:space="0" w:color="auto"/>
                <w:lang w:val="en-NZ" w:eastAsia="en-NZ"/>
              </w:rPr>
              <w:t>)</w:t>
            </w:r>
          </w:p>
        </w:tc>
      </w:tr>
      <w:tr w:rsidR="00BA21D9" w:rsidRPr="0043730F" w:rsidTr="0063534E">
        <w:trPr>
          <w:trHeight w:val="284"/>
          <w:jc w:val="center"/>
        </w:trPr>
        <w:tc>
          <w:tcPr>
            <w:tcW w:w="4933" w:type="dxa"/>
            <w:shd w:val="clear" w:color="auto" w:fill="auto"/>
            <w:tcMar>
              <w:top w:w="28" w:type="dxa"/>
              <w:left w:w="108" w:type="dxa"/>
              <w:bottom w:w="28" w:type="dxa"/>
              <w:right w:w="108" w:type="dxa"/>
            </w:tcMar>
            <w:vAlign w:val="center"/>
          </w:tcPr>
          <w:p w:rsidR="00BA21D9" w:rsidRPr="0099559F" w:rsidRDefault="00BA21D9" w:rsidP="005575E4">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sidRPr="0099559F">
              <w:rPr>
                <w:color w:val="000000" w:themeColor="text1"/>
                <w:kern w:val="24"/>
                <w:sz w:val="20"/>
                <w:szCs w:val="20"/>
                <w:bdr w:val="none" w:sz="0" w:space="0" w:color="auto"/>
                <w:lang w:eastAsia="en-NZ"/>
              </w:rPr>
              <w:t xml:space="preserve">Ever </w:t>
            </w:r>
            <w:r w:rsidR="005575E4">
              <w:rPr>
                <w:color w:val="000000" w:themeColor="text1"/>
                <w:kern w:val="24"/>
                <w:sz w:val="20"/>
                <w:szCs w:val="20"/>
                <w:bdr w:val="none" w:sz="0" w:space="0" w:color="auto"/>
                <w:lang w:eastAsia="en-NZ"/>
              </w:rPr>
              <w:t>CYF Y</w:t>
            </w:r>
            <w:r w:rsidR="005575E4" w:rsidRPr="0099559F">
              <w:rPr>
                <w:color w:val="000000" w:themeColor="text1"/>
                <w:kern w:val="24"/>
                <w:sz w:val="20"/>
                <w:szCs w:val="20"/>
                <w:bdr w:val="none" w:sz="0" w:space="0" w:color="auto"/>
                <w:lang w:eastAsia="en-NZ"/>
              </w:rPr>
              <w:t xml:space="preserve">outh </w:t>
            </w:r>
            <w:r w:rsidR="005575E4">
              <w:rPr>
                <w:color w:val="000000" w:themeColor="text1"/>
                <w:kern w:val="24"/>
                <w:sz w:val="20"/>
                <w:szCs w:val="20"/>
                <w:bdr w:val="none" w:sz="0" w:space="0" w:color="auto"/>
                <w:lang w:eastAsia="en-NZ"/>
              </w:rPr>
              <w:t>J</w:t>
            </w:r>
            <w:r w:rsidR="005575E4" w:rsidRPr="0099559F">
              <w:rPr>
                <w:color w:val="000000" w:themeColor="text1"/>
                <w:kern w:val="24"/>
                <w:sz w:val="20"/>
                <w:szCs w:val="20"/>
                <w:bdr w:val="none" w:sz="0" w:space="0" w:color="auto"/>
                <w:lang w:eastAsia="en-NZ"/>
              </w:rPr>
              <w:t xml:space="preserve">ustice </w:t>
            </w:r>
            <w:r w:rsidRPr="0099559F">
              <w:rPr>
                <w:color w:val="000000" w:themeColor="text1"/>
                <w:kern w:val="24"/>
                <w:sz w:val="20"/>
                <w:szCs w:val="20"/>
                <w:bdr w:val="none" w:sz="0" w:space="0" w:color="auto"/>
                <w:lang w:eastAsia="en-NZ"/>
              </w:rPr>
              <w:t>involvement</w:t>
            </w:r>
          </w:p>
        </w:tc>
        <w:tc>
          <w:tcPr>
            <w:tcW w:w="1985"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085</w:t>
            </w:r>
            <w:r w:rsidRPr="001F3FFC">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(0.008</w:t>
            </w:r>
            <w:r w:rsidRPr="001F3FFC">
              <w:rPr>
                <w:rFonts w:eastAsia="Times New Roman"/>
                <w:sz w:val="20"/>
                <w:szCs w:val="20"/>
                <w:bdr w:val="none" w:sz="0" w:space="0" w:color="auto"/>
                <w:lang w:val="en-NZ" w:eastAsia="en-NZ"/>
              </w:rPr>
              <w:t>)</w:t>
            </w:r>
          </w:p>
        </w:tc>
      </w:tr>
      <w:tr w:rsidR="00BA21D9" w:rsidRPr="0043730F" w:rsidTr="0063534E">
        <w:trPr>
          <w:trHeight w:val="284"/>
          <w:jc w:val="center"/>
        </w:trPr>
        <w:tc>
          <w:tcPr>
            <w:tcW w:w="4933" w:type="dxa"/>
            <w:shd w:val="clear" w:color="auto" w:fill="auto"/>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sidRPr="0099559F">
              <w:rPr>
                <w:color w:val="000000" w:themeColor="text1"/>
                <w:kern w:val="24"/>
                <w:sz w:val="20"/>
                <w:szCs w:val="20"/>
                <w:bdr w:val="none" w:sz="0" w:space="0" w:color="auto"/>
                <w:lang w:eastAsia="en-NZ"/>
              </w:rPr>
              <w:t>School in bottom three deciles</w:t>
            </w:r>
          </w:p>
        </w:tc>
        <w:tc>
          <w:tcPr>
            <w:tcW w:w="1985"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000</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(0.016</w:t>
            </w:r>
            <w:r w:rsidRPr="001F3FFC">
              <w:rPr>
                <w:rFonts w:eastAsia="Times New Roman"/>
                <w:sz w:val="20"/>
                <w:szCs w:val="20"/>
                <w:bdr w:val="none" w:sz="0" w:space="0" w:color="auto"/>
                <w:lang w:val="en-NZ" w:eastAsia="en-NZ"/>
              </w:rPr>
              <w:t>)</w:t>
            </w:r>
          </w:p>
        </w:tc>
      </w:tr>
      <w:tr w:rsidR="00BA21D9" w:rsidRPr="0043730F" w:rsidTr="0063534E">
        <w:trPr>
          <w:trHeight w:val="284"/>
          <w:jc w:val="center"/>
        </w:trPr>
        <w:tc>
          <w:tcPr>
            <w:tcW w:w="4933" w:type="dxa"/>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Pr>
                <w:rFonts w:eastAsia="Times New Roman"/>
                <w:color w:val="000000"/>
                <w:sz w:val="20"/>
                <w:szCs w:val="20"/>
                <w:bdr w:val="none" w:sz="0" w:space="0" w:color="auto"/>
                <w:lang w:val="en-NZ" w:eastAsia="en-NZ"/>
              </w:rPr>
              <w:t xml:space="preserve">South </w:t>
            </w:r>
            <w:r w:rsidRPr="0099559F">
              <w:rPr>
                <w:rFonts w:eastAsia="Times New Roman"/>
                <w:color w:val="000000"/>
                <w:sz w:val="20"/>
                <w:szCs w:val="20"/>
                <w:bdr w:val="none" w:sz="0" w:space="0" w:color="auto"/>
                <w:lang w:val="en-NZ" w:eastAsia="en-NZ"/>
              </w:rPr>
              <w:t xml:space="preserve">Auckland </w:t>
            </w:r>
            <w:r w:rsidR="008720EC">
              <w:rPr>
                <w:rFonts w:eastAsia="Times New Roman"/>
                <w:color w:val="000000"/>
                <w:sz w:val="20"/>
                <w:szCs w:val="20"/>
                <w:bdr w:val="none" w:sz="0" w:space="0" w:color="auto"/>
                <w:lang w:val="en-NZ" w:eastAsia="en-NZ"/>
              </w:rPr>
              <w:t>MoE</w:t>
            </w:r>
            <w:r w:rsidR="00DF661F">
              <w:rPr>
                <w:rFonts w:eastAsia="Times New Roman"/>
                <w:color w:val="000000"/>
                <w:sz w:val="20"/>
                <w:szCs w:val="20"/>
                <w:bdr w:val="none" w:sz="0" w:space="0" w:color="auto"/>
                <w:lang w:val="en-NZ" w:eastAsia="en-NZ"/>
              </w:rPr>
              <w:t xml:space="preserve"> </w:t>
            </w:r>
            <w:r w:rsidRPr="0099559F">
              <w:rPr>
                <w:rFonts w:eastAsia="Times New Roman"/>
                <w:color w:val="000000"/>
                <w:sz w:val="20"/>
                <w:szCs w:val="20"/>
                <w:bdr w:val="none" w:sz="0" w:space="0" w:color="auto"/>
                <w:lang w:val="en-NZ" w:eastAsia="en-NZ"/>
              </w:rPr>
              <w:t>office</w:t>
            </w:r>
          </w:p>
        </w:tc>
        <w:tc>
          <w:tcPr>
            <w:tcW w:w="1985"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005</w:t>
            </w:r>
            <w:r w:rsidRPr="001F3FFC">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(0.002</w:t>
            </w:r>
            <w:r w:rsidRPr="001F3FFC">
              <w:rPr>
                <w:rFonts w:eastAsia="Times New Roman"/>
                <w:sz w:val="20"/>
                <w:szCs w:val="20"/>
                <w:bdr w:val="none" w:sz="0" w:space="0" w:color="auto"/>
                <w:lang w:val="en-NZ" w:eastAsia="en-NZ"/>
              </w:rPr>
              <w:t>)</w:t>
            </w:r>
          </w:p>
        </w:tc>
      </w:tr>
      <w:tr w:rsidR="00BA21D9" w:rsidRPr="0043730F" w:rsidTr="0063534E">
        <w:trPr>
          <w:trHeight w:val="284"/>
          <w:jc w:val="center"/>
        </w:trPr>
        <w:tc>
          <w:tcPr>
            <w:tcW w:w="4933" w:type="dxa"/>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sidRPr="0099559F">
              <w:rPr>
                <w:rFonts w:eastAsia="Times New Roman"/>
                <w:color w:val="000000"/>
                <w:sz w:val="20"/>
                <w:szCs w:val="20"/>
                <w:bdr w:val="none" w:sz="0" w:space="0" w:color="auto"/>
                <w:lang w:val="en-NZ" w:eastAsia="en-NZ"/>
              </w:rPr>
              <w:t xml:space="preserve">Christchurch </w:t>
            </w:r>
            <w:r w:rsidR="008720EC">
              <w:rPr>
                <w:rFonts w:eastAsia="Times New Roman"/>
                <w:color w:val="000000"/>
                <w:sz w:val="20"/>
                <w:szCs w:val="20"/>
                <w:bdr w:val="none" w:sz="0" w:space="0" w:color="auto"/>
                <w:lang w:val="en-NZ" w:eastAsia="en-NZ"/>
              </w:rPr>
              <w:t xml:space="preserve">MoE </w:t>
            </w:r>
            <w:r w:rsidRPr="0099559F">
              <w:rPr>
                <w:rFonts w:eastAsia="Times New Roman"/>
                <w:color w:val="000000"/>
                <w:sz w:val="20"/>
                <w:szCs w:val="20"/>
                <w:bdr w:val="none" w:sz="0" w:space="0" w:color="auto"/>
                <w:lang w:val="en-NZ" w:eastAsia="en-NZ"/>
              </w:rPr>
              <w:t>office</w:t>
            </w:r>
          </w:p>
        </w:tc>
        <w:tc>
          <w:tcPr>
            <w:tcW w:w="1985"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006</w:t>
            </w:r>
            <w:r w:rsidRPr="001F3FFC">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(0.002</w:t>
            </w:r>
            <w:r w:rsidRPr="001F3FFC">
              <w:rPr>
                <w:rFonts w:eastAsia="Times New Roman"/>
                <w:sz w:val="20"/>
                <w:szCs w:val="20"/>
                <w:bdr w:val="none" w:sz="0" w:space="0" w:color="auto"/>
                <w:lang w:val="en-NZ" w:eastAsia="en-NZ"/>
              </w:rPr>
              <w:t>)</w:t>
            </w:r>
          </w:p>
        </w:tc>
      </w:tr>
      <w:tr w:rsidR="00BA21D9" w:rsidRPr="0043730F" w:rsidTr="0063534E">
        <w:trPr>
          <w:trHeight w:val="284"/>
          <w:jc w:val="center"/>
        </w:trPr>
        <w:tc>
          <w:tcPr>
            <w:tcW w:w="4933" w:type="dxa"/>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sidRPr="0099559F">
              <w:rPr>
                <w:rFonts w:eastAsia="Times New Roman"/>
                <w:color w:val="000000"/>
                <w:sz w:val="20"/>
                <w:szCs w:val="20"/>
                <w:bdr w:val="none" w:sz="0" w:space="0" w:color="auto"/>
                <w:lang w:val="en-NZ" w:eastAsia="en-NZ"/>
              </w:rPr>
              <w:t xml:space="preserve">Dunedin </w:t>
            </w:r>
            <w:r w:rsidR="008720EC">
              <w:rPr>
                <w:rFonts w:eastAsia="Times New Roman"/>
                <w:color w:val="000000"/>
                <w:sz w:val="20"/>
                <w:szCs w:val="20"/>
                <w:bdr w:val="none" w:sz="0" w:space="0" w:color="auto"/>
                <w:lang w:val="en-NZ" w:eastAsia="en-NZ"/>
              </w:rPr>
              <w:t xml:space="preserve">MoE </w:t>
            </w:r>
            <w:r w:rsidRPr="0099559F">
              <w:rPr>
                <w:rFonts w:eastAsia="Times New Roman"/>
                <w:color w:val="000000"/>
                <w:sz w:val="20"/>
                <w:szCs w:val="20"/>
                <w:bdr w:val="none" w:sz="0" w:space="0" w:color="auto"/>
                <w:lang w:val="en-NZ" w:eastAsia="en-NZ"/>
              </w:rPr>
              <w:t>office</w:t>
            </w:r>
          </w:p>
        </w:tc>
        <w:tc>
          <w:tcPr>
            <w:tcW w:w="1985"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006</w:t>
            </w:r>
            <w:r>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(0.003</w:t>
            </w:r>
            <w:r w:rsidRPr="001F3FFC">
              <w:rPr>
                <w:rFonts w:eastAsia="Times New Roman"/>
                <w:sz w:val="20"/>
                <w:szCs w:val="20"/>
                <w:bdr w:val="none" w:sz="0" w:space="0" w:color="auto"/>
                <w:lang w:val="en-NZ" w:eastAsia="en-NZ"/>
              </w:rPr>
              <w:t>)</w:t>
            </w:r>
          </w:p>
        </w:tc>
      </w:tr>
      <w:tr w:rsidR="00BA21D9" w:rsidRPr="0043730F" w:rsidTr="0063534E">
        <w:trPr>
          <w:trHeight w:val="284"/>
          <w:jc w:val="center"/>
        </w:trPr>
        <w:tc>
          <w:tcPr>
            <w:tcW w:w="4933" w:type="dxa"/>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sidRPr="0099559F">
              <w:rPr>
                <w:rFonts w:eastAsia="Times New Roman"/>
                <w:color w:val="000000"/>
                <w:sz w:val="20"/>
                <w:szCs w:val="20"/>
                <w:bdr w:val="none" w:sz="0" w:space="0" w:color="auto"/>
                <w:lang w:val="en-NZ" w:eastAsia="en-NZ"/>
              </w:rPr>
              <w:t xml:space="preserve">Hamilton </w:t>
            </w:r>
            <w:r w:rsidR="008720EC">
              <w:rPr>
                <w:rFonts w:eastAsia="Times New Roman"/>
                <w:color w:val="000000"/>
                <w:sz w:val="20"/>
                <w:szCs w:val="20"/>
                <w:bdr w:val="none" w:sz="0" w:space="0" w:color="auto"/>
                <w:lang w:val="en-NZ" w:eastAsia="en-NZ"/>
              </w:rPr>
              <w:t xml:space="preserve">MoE </w:t>
            </w:r>
            <w:r w:rsidRPr="0099559F">
              <w:rPr>
                <w:rFonts w:eastAsia="Times New Roman"/>
                <w:color w:val="000000"/>
                <w:sz w:val="20"/>
                <w:szCs w:val="20"/>
                <w:bdr w:val="none" w:sz="0" w:space="0" w:color="auto"/>
                <w:lang w:val="en-NZ" w:eastAsia="en-NZ"/>
              </w:rPr>
              <w:t>office</w:t>
            </w:r>
          </w:p>
        </w:tc>
        <w:tc>
          <w:tcPr>
            <w:tcW w:w="1985"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001</w:t>
            </w:r>
          </w:p>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i/>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(0.003</w:t>
            </w:r>
            <w:r w:rsidRPr="001F3FFC">
              <w:rPr>
                <w:rFonts w:eastAsia="Times New Roman"/>
                <w:sz w:val="20"/>
                <w:szCs w:val="20"/>
                <w:bdr w:val="none" w:sz="0" w:space="0" w:color="auto"/>
                <w:lang w:val="en-NZ" w:eastAsia="en-NZ"/>
              </w:rPr>
              <w:t>)</w:t>
            </w:r>
          </w:p>
        </w:tc>
      </w:tr>
    </w:tbl>
    <w:p w:rsidR="00BA21D9" w:rsidRDefault="00BA21D9" w:rsidP="00BA21D9">
      <w:pPr>
        <w:jc w:val="center"/>
      </w:pPr>
      <w:r>
        <w:br w:type="page"/>
      </w:r>
    </w:p>
    <w:p w:rsidR="00BA21D9" w:rsidRPr="0099559F" w:rsidRDefault="00EB1E61" w:rsidP="00BA21D9">
      <w:pPr>
        <w:jc w:val="center"/>
        <w:rPr>
          <w:i/>
          <w:sz w:val="20"/>
          <w:szCs w:val="20"/>
        </w:rPr>
      </w:pPr>
      <w:r>
        <w:rPr>
          <w:i/>
          <w:sz w:val="20"/>
          <w:szCs w:val="20"/>
        </w:rPr>
        <w:t xml:space="preserve">Appendix </w:t>
      </w:r>
      <w:r w:rsidR="006C39FE">
        <w:rPr>
          <w:i/>
          <w:sz w:val="20"/>
          <w:szCs w:val="20"/>
        </w:rPr>
        <w:t>T</w:t>
      </w:r>
      <w:r w:rsidR="00BA21D9">
        <w:rPr>
          <w:i/>
          <w:sz w:val="20"/>
          <w:szCs w:val="20"/>
        </w:rPr>
        <w:t xml:space="preserve">able </w:t>
      </w:r>
      <w:r>
        <w:rPr>
          <w:i/>
          <w:sz w:val="20"/>
          <w:szCs w:val="20"/>
        </w:rPr>
        <w:t xml:space="preserve">4 </w:t>
      </w:r>
      <w:r w:rsidR="006C39FE">
        <w:rPr>
          <w:i/>
          <w:sz w:val="20"/>
          <w:szCs w:val="20"/>
        </w:rPr>
        <w:t>c</w:t>
      </w:r>
      <w:r w:rsidR="00BA21D9" w:rsidRPr="0099559F">
        <w:rPr>
          <w:i/>
          <w:sz w:val="20"/>
          <w:szCs w:val="20"/>
        </w:rPr>
        <w:t>ontinued</w:t>
      </w:r>
    </w:p>
    <w:tbl>
      <w:tblPr>
        <w:tblW w:w="0" w:type="auto"/>
        <w:jc w:val="center"/>
        <w:tblBorders>
          <w:top w:val="single" w:sz="4" w:space="0" w:color="auto"/>
          <w:bottom w:val="single" w:sz="4" w:space="0" w:color="auto"/>
          <w:insideH w:val="single" w:sz="4" w:space="0" w:color="auto"/>
        </w:tblBorders>
        <w:tblLayout w:type="fixed"/>
        <w:tblCellMar>
          <w:left w:w="0" w:type="dxa"/>
          <w:right w:w="0" w:type="dxa"/>
        </w:tblCellMar>
        <w:tblLook w:val="0600" w:firstRow="0" w:lastRow="0" w:firstColumn="0" w:lastColumn="0" w:noHBand="1" w:noVBand="1"/>
      </w:tblPr>
      <w:tblGrid>
        <w:gridCol w:w="4510"/>
        <w:gridCol w:w="4510"/>
      </w:tblGrid>
      <w:tr w:rsidR="00BA21D9" w:rsidRPr="0043730F" w:rsidTr="008D7DED">
        <w:trPr>
          <w:trHeight w:val="284"/>
          <w:jc w:val="center"/>
        </w:trPr>
        <w:tc>
          <w:tcPr>
            <w:tcW w:w="4510" w:type="dxa"/>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br w:type="page"/>
            </w:r>
            <w:r w:rsidRPr="0099559F">
              <w:rPr>
                <w:rFonts w:eastAsia="Times New Roman"/>
                <w:color w:val="000000"/>
                <w:sz w:val="20"/>
                <w:szCs w:val="20"/>
                <w:bdr w:val="none" w:sz="0" w:space="0" w:color="auto"/>
                <w:lang w:val="en-NZ" w:eastAsia="en-NZ"/>
              </w:rPr>
              <w:t xml:space="preserve">Invercargill </w:t>
            </w:r>
            <w:r w:rsidR="008720EC">
              <w:rPr>
                <w:rFonts w:eastAsia="Times New Roman"/>
                <w:color w:val="000000"/>
                <w:sz w:val="20"/>
                <w:szCs w:val="20"/>
                <w:bdr w:val="none" w:sz="0" w:space="0" w:color="auto"/>
                <w:lang w:val="en-NZ" w:eastAsia="en-NZ"/>
              </w:rPr>
              <w:t xml:space="preserve">MoE </w:t>
            </w:r>
            <w:r w:rsidRPr="0099559F">
              <w:rPr>
                <w:rFonts w:eastAsia="Times New Roman"/>
                <w:color w:val="000000"/>
                <w:sz w:val="20"/>
                <w:szCs w:val="20"/>
                <w:bdr w:val="none" w:sz="0" w:space="0" w:color="auto"/>
                <w:lang w:val="en-NZ" w:eastAsia="en-NZ"/>
              </w:rPr>
              <w:t>office</w:t>
            </w:r>
          </w:p>
        </w:tc>
        <w:tc>
          <w:tcPr>
            <w:tcW w:w="4510"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004</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(0.004</w:t>
            </w:r>
            <w:r w:rsidRPr="001F3FFC">
              <w:rPr>
                <w:rFonts w:eastAsia="Times New Roman"/>
                <w:sz w:val="20"/>
                <w:szCs w:val="20"/>
                <w:bdr w:val="none" w:sz="0" w:space="0" w:color="auto"/>
                <w:lang w:val="en-NZ" w:eastAsia="en-NZ"/>
              </w:rPr>
              <w:t>)</w:t>
            </w:r>
          </w:p>
        </w:tc>
      </w:tr>
      <w:tr w:rsidR="00BA21D9" w:rsidRPr="0043730F" w:rsidTr="008D7DED">
        <w:trPr>
          <w:trHeight w:val="284"/>
          <w:jc w:val="center"/>
        </w:trPr>
        <w:tc>
          <w:tcPr>
            <w:tcW w:w="4510" w:type="dxa"/>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sidRPr="0099559F">
              <w:rPr>
                <w:rFonts w:eastAsia="Times New Roman"/>
                <w:color w:val="000000"/>
                <w:sz w:val="20"/>
                <w:szCs w:val="20"/>
                <w:bdr w:val="none" w:sz="0" w:space="0" w:color="auto"/>
                <w:lang w:val="en-NZ" w:eastAsia="en-NZ"/>
              </w:rPr>
              <w:t xml:space="preserve">Napier </w:t>
            </w:r>
            <w:r w:rsidR="008720EC">
              <w:rPr>
                <w:rFonts w:eastAsia="Times New Roman"/>
                <w:color w:val="000000"/>
                <w:sz w:val="20"/>
                <w:szCs w:val="20"/>
                <w:bdr w:val="none" w:sz="0" w:space="0" w:color="auto"/>
                <w:lang w:val="en-NZ" w:eastAsia="en-NZ"/>
              </w:rPr>
              <w:t xml:space="preserve">MoE </w:t>
            </w:r>
            <w:r w:rsidRPr="0099559F">
              <w:rPr>
                <w:rFonts w:eastAsia="Times New Roman"/>
                <w:color w:val="000000"/>
                <w:sz w:val="20"/>
                <w:szCs w:val="20"/>
                <w:bdr w:val="none" w:sz="0" w:space="0" w:color="auto"/>
                <w:lang w:val="en-NZ" w:eastAsia="en-NZ"/>
              </w:rPr>
              <w:t>office</w:t>
            </w:r>
          </w:p>
        </w:tc>
        <w:tc>
          <w:tcPr>
            <w:tcW w:w="4510"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006</w:t>
            </w:r>
            <w:r w:rsidRPr="001F3FFC">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(0.002</w:t>
            </w:r>
            <w:r w:rsidRPr="001F3FFC">
              <w:rPr>
                <w:rFonts w:eastAsia="Times New Roman"/>
                <w:sz w:val="20"/>
                <w:szCs w:val="20"/>
                <w:bdr w:val="none" w:sz="0" w:space="0" w:color="auto"/>
                <w:lang w:val="en-NZ" w:eastAsia="en-NZ"/>
              </w:rPr>
              <w:t>)</w:t>
            </w:r>
          </w:p>
        </w:tc>
      </w:tr>
      <w:tr w:rsidR="00BA21D9" w:rsidRPr="0043730F" w:rsidTr="008D7DED">
        <w:trPr>
          <w:trHeight w:val="284"/>
          <w:jc w:val="center"/>
        </w:trPr>
        <w:tc>
          <w:tcPr>
            <w:tcW w:w="4510" w:type="dxa"/>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sidRPr="0099559F">
              <w:rPr>
                <w:rFonts w:eastAsia="Times New Roman"/>
                <w:color w:val="000000"/>
                <w:sz w:val="20"/>
                <w:szCs w:val="20"/>
                <w:bdr w:val="none" w:sz="0" w:space="0" w:color="auto"/>
                <w:lang w:val="en-NZ" w:eastAsia="en-NZ"/>
              </w:rPr>
              <w:t xml:space="preserve">Nelson </w:t>
            </w:r>
            <w:r w:rsidR="008720EC">
              <w:rPr>
                <w:rFonts w:eastAsia="Times New Roman"/>
                <w:color w:val="000000"/>
                <w:sz w:val="20"/>
                <w:szCs w:val="20"/>
                <w:bdr w:val="none" w:sz="0" w:space="0" w:color="auto"/>
                <w:lang w:val="en-NZ" w:eastAsia="en-NZ"/>
              </w:rPr>
              <w:t xml:space="preserve">MoE </w:t>
            </w:r>
            <w:r w:rsidRPr="0099559F">
              <w:rPr>
                <w:rFonts w:eastAsia="Times New Roman"/>
                <w:color w:val="000000"/>
                <w:sz w:val="20"/>
                <w:szCs w:val="20"/>
                <w:bdr w:val="none" w:sz="0" w:space="0" w:color="auto"/>
                <w:lang w:val="en-NZ" w:eastAsia="en-NZ"/>
              </w:rPr>
              <w:t>office</w:t>
            </w:r>
          </w:p>
        </w:tc>
        <w:tc>
          <w:tcPr>
            <w:tcW w:w="4510"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007</w:t>
            </w:r>
            <w:r w:rsidRPr="001F3FFC">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(0.003</w:t>
            </w:r>
            <w:r w:rsidRPr="001F3FFC">
              <w:rPr>
                <w:rFonts w:eastAsia="Times New Roman"/>
                <w:sz w:val="20"/>
                <w:szCs w:val="20"/>
                <w:bdr w:val="none" w:sz="0" w:space="0" w:color="auto"/>
                <w:lang w:val="en-NZ" w:eastAsia="en-NZ"/>
              </w:rPr>
              <w:t>)</w:t>
            </w:r>
          </w:p>
        </w:tc>
      </w:tr>
      <w:tr w:rsidR="00BA21D9" w:rsidRPr="0043730F" w:rsidTr="008D7DED">
        <w:trPr>
          <w:trHeight w:val="284"/>
          <w:jc w:val="center"/>
        </w:trPr>
        <w:tc>
          <w:tcPr>
            <w:tcW w:w="4510" w:type="dxa"/>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sidRPr="0099559F">
              <w:rPr>
                <w:rFonts w:eastAsia="Times New Roman"/>
                <w:color w:val="000000"/>
                <w:sz w:val="20"/>
                <w:szCs w:val="20"/>
                <w:bdr w:val="none" w:sz="0" w:space="0" w:color="auto"/>
                <w:lang w:val="en-NZ" w:eastAsia="en-NZ"/>
              </w:rPr>
              <w:t xml:space="preserve">Rotorua </w:t>
            </w:r>
            <w:r w:rsidR="008720EC">
              <w:rPr>
                <w:rFonts w:eastAsia="Times New Roman"/>
                <w:color w:val="000000"/>
                <w:sz w:val="20"/>
                <w:szCs w:val="20"/>
                <w:bdr w:val="none" w:sz="0" w:space="0" w:color="auto"/>
                <w:lang w:val="en-NZ" w:eastAsia="en-NZ"/>
              </w:rPr>
              <w:t xml:space="preserve">MoE </w:t>
            </w:r>
            <w:r w:rsidRPr="0099559F">
              <w:rPr>
                <w:rFonts w:eastAsia="Times New Roman"/>
                <w:color w:val="000000"/>
                <w:sz w:val="20"/>
                <w:szCs w:val="20"/>
                <w:bdr w:val="none" w:sz="0" w:space="0" w:color="auto"/>
                <w:lang w:val="en-NZ" w:eastAsia="en-NZ"/>
              </w:rPr>
              <w:t>office</w:t>
            </w:r>
          </w:p>
        </w:tc>
        <w:tc>
          <w:tcPr>
            <w:tcW w:w="4510"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006</w:t>
            </w:r>
            <w:r w:rsidRPr="001F3FFC">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(0.002</w:t>
            </w:r>
            <w:r w:rsidRPr="001F3FFC">
              <w:rPr>
                <w:rFonts w:eastAsia="Times New Roman"/>
                <w:sz w:val="20"/>
                <w:szCs w:val="20"/>
                <w:bdr w:val="none" w:sz="0" w:space="0" w:color="auto"/>
                <w:lang w:val="en-NZ" w:eastAsia="en-NZ"/>
              </w:rPr>
              <w:t>)</w:t>
            </w:r>
          </w:p>
        </w:tc>
      </w:tr>
      <w:tr w:rsidR="00BA21D9" w:rsidRPr="0043730F" w:rsidTr="008D7DED">
        <w:trPr>
          <w:trHeight w:val="284"/>
          <w:jc w:val="center"/>
        </w:trPr>
        <w:tc>
          <w:tcPr>
            <w:tcW w:w="4510" w:type="dxa"/>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sidRPr="0099559F">
              <w:rPr>
                <w:rFonts w:eastAsia="Times New Roman"/>
                <w:color w:val="000000"/>
                <w:sz w:val="20"/>
                <w:szCs w:val="20"/>
                <w:bdr w:val="none" w:sz="0" w:space="0" w:color="auto"/>
                <w:lang w:val="en-NZ" w:eastAsia="en-NZ"/>
              </w:rPr>
              <w:t xml:space="preserve">Wellington </w:t>
            </w:r>
            <w:r w:rsidR="008720EC">
              <w:rPr>
                <w:rFonts w:eastAsia="Times New Roman"/>
                <w:color w:val="000000"/>
                <w:sz w:val="20"/>
                <w:szCs w:val="20"/>
                <w:bdr w:val="none" w:sz="0" w:space="0" w:color="auto"/>
                <w:lang w:val="en-NZ" w:eastAsia="en-NZ"/>
              </w:rPr>
              <w:t xml:space="preserve">MoE </w:t>
            </w:r>
            <w:r w:rsidRPr="0099559F">
              <w:rPr>
                <w:rFonts w:eastAsia="Times New Roman"/>
                <w:color w:val="000000"/>
                <w:sz w:val="20"/>
                <w:szCs w:val="20"/>
                <w:bdr w:val="none" w:sz="0" w:space="0" w:color="auto"/>
                <w:lang w:val="en-NZ" w:eastAsia="en-NZ"/>
              </w:rPr>
              <w:t>office</w:t>
            </w:r>
          </w:p>
        </w:tc>
        <w:tc>
          <w:tcPr>
            <w:tcW w:w="4510"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002</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(0.002</w:t>
            </w:r>
            <w:r w:rsidRPr="001F3FFC">
              <w:rPr>
                <w:rFonts w:eastAsia="Times New Roman"/>
                <w:sz w:val="20"/>
                <w:szCs w:val="20"/>
                <w:bdr w:val="none" w:sz="0" w:space="0" w:color="auto"/>
                <w:lang w:val="en-NZ" w:eastAsia="en-NZ"/>
              </w:rPr>
              <w:t>)</w:t>
            </w:r>
          </w:p>
        </w:tc>
      </w:tr>
      <w:tr w:rsidR="00BA21D9" w:rsidRPr="0043730F" w:rsidTr="008D7DED">
        <w:trPr>
          <w:trHeight w:val="284"/>
          <w:jc w:val="center"/>
        </w:trPr>
        <w:tc>
          <w:tcPr>
            <w:tcW w:w="4510" w:type="dxa"/>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sidRPr="0099559F">
              <w:rPr>
                <w:rFonts w:eastAsia="Times New Roman"/>
                <w:color w:val="000000"/>
                <w:sz w:val="20"/>
                <w:szCs w:val="20"/>
                <w:bdr w:val="none" w:sz="0" w:space="0" w:color="auto"/>
                <w:lang w:val="en-NZ" w:eastAsia="en-NZ"/>
              </w:rPr>
              <w:t xml:space="preserve">Whanganui </w:t>
            </w:r>
            <w:r w:rsidR="008720EC">
              <w:rPr>
                <w:rFonts w:eastAsia="Times New Roman"/>
                <w:color w:val="000000"/>
                <w:sz w:val="20"/>
                <w:szCs w:val="20"/>
                <w:bdr w:val="none" w:sz="0" w:space="0" w:color="auto"/>
                <w:lang w:val="en-NZ" w:eastAsia="en-NZ"/>
              </w:rPr>
              <w:t xml:space="preserve">MoE </w:t>
            </w:r>
            <w:r w:rsidRPr="0099559F">
              <w:rPr>
                <w:rFonts w:eastAsia="Times New Roman"/>
                <w:color w:val="000000"/>
                <w:sz w:val="20"/>
                <w:szCs w:val="20"/>
                <w:bdr w:val="none" w:sz="0" w:space="0" w:color="auto"/>
                <w:lang w:val="en-NZ" w:eastAsia="en-NZ"/>
              </w:rPr>
              <w:t>office</w:t>
            </w:r>
          </w:p>
        </w:tc>
        <w:tc>
          <w:tcPr>
            <w:tcW w:w="4510"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001</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(0.003</w:t>
            </w:r>
            <w:r w:rsidRPr="001F3FFC">
              <w:rPr>
                <w:rFonts w:eastAsia="Times New Roman"/>
                <w:sz w:val="20"/>
                <w:szCs w:val="20"/>
                <w:bdr w:val="none" w:sz="0" w:space="0" w:color="auto"/>
                <w:lang w:val="en-NZ" w:eastAsia="en-NZ"/>
              </w:rPr>
              <w:t>)</w:t>
            </w:r>
          </w:p>
        </w:tc>
      </w:tr>
      <w:tr w:rsidR="00BA21D9" w:rsidRPr="0043730F" w:rsidTr="008D7DED">
        <w:trPr>
          <w:trHeight w:val="284"/>
          <w:jc w:val="center"/>
        </w:trPr>
        <w:tc>
          <w:tcPr>
            <w:tcW w:w="4510" w:type="dxa"/>
            <w:tcBorders>
              <w:bottom w:val="single" w:sz="4" w:space="0" w:color="auto"/>
            </w:tcBorders>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sidRPr="0099559F">
              <w:rPr>
                <w:rFonts w:eastAsia="Times New Roman"/>
                <w:color w:val="000000"/>
                <w:sz w:val="20"/>
                <w:szCs w:val="20"/>
                <w:bdr w:val="none" w:sz="0" w:space="0" w:color="auto"/>
                <w:lang w:val="en-NZ" w:eastAsia="en-NZ"/>
              </w:rPr>
              <w:t xml:space="preserve">Whangarei </w:t>
            </w:r>
            <w:r w:rsidR="008720EC">
              <w:rPr>
                <w:rFonts w:eastAsia="Times New Roman"/>
                <w:color w:val="000000"/>
                <w:sz w:val="20"/>
                <w:szCs w:val="20"/>
                <w:bdr w:val="none" w:sz="0" w:space="0" w:color="auto"/>
                <w:lang w:val="en-NZ" w:eastAsia="en-NZ"/>
              </w:rPr>
              <w:t xml:space="preserve">MoE </w:t>
            </w:r>
            <w:r w:rsidRPr="0099559F">
              <w:rPr>
                <w:rFonts w:eastAsia="Times New Roman"/>
                <w:color w:val="000000"/>
                <w:sz w:val="20"/>
                <w:szCs w:val="20"/>
                <w:bdr w:val="none" w:sz="0" w:space="0" w:color="auto"/>
                <w:lang w:val="en-NZ" w:eastAsia="en-NZ"/>
              </w:rPr>
              <w:t>office</w:t>
            </w:r>
          </w:p>
        </w:tc>
        <w:tc>
          <w:tcPr>
            <w:tcW w:w="4510" w:type="dxa"/>
            <w:tcBorders>
              <w:bottom w:val="single" w:sz="4" w:space="0" w:color="auto"/>
            </w:tcBorders>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004</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(0.003</w:t>
            </w:r>
            <w:r w:rsidRPr="001F3FFC">
              <w:rPr>
                <w:rFonts w:eastAsia="Times New Roman"/>
                <w:sz w:val="20"/>
                <w:szCs w:val="20"/>
                <w:bdr w:val="none" w:sz="0" w:space="0" w:color="auto"/>
                <w:lang w:val="en-NZ" w:eastAsia="en-NZ"/>
              </w:rPr>
              <w:t>)</w:t>
            </w:r>
          </w:p>
        </w:tc>
      </w:tr>
      <w:tr w:rsidR="00BA21D9" w:rsidRPr="0043730F" w:rsidTr="008D7DED">
        <w:trPr>
          <w:trHeight w:val="284"/>
          <w:jc w:val="center"/>
        </w:trPr>
        <w:tc>
          <w:tcPr>
            <w:tcW w:w="4510" w:type="dxa"/>
            <w:tcBorders>
              <w:bottom w:val="single" w:sz="4" w:space="0" w:color="auto"/>
            </w:tcBorders>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lang w:val="en-NZ" w:eastAsia="en-NZ"/>
              </w:rPr>
            </w:pPr>
            <w:r>
              <w:rPr>
                <w:rFonts w:eastAsia="Times New Roman"/>
                <w:color w:val="000000"/>
                <w:sz w:val="20"/>
                <w:szCs w:val="20"/>
                <w:bdr w:val="none" w:sz="0" w:space="0" w:color="auto"/>
                <w:lang w:val="en-NZ" w:eastAsia="en-NZ"/>
              </w:rPr>
              <w:t>Decile 2 school at age 14</w:t>
            </w:r>
          </w:p>
        </w:tc>
        <w:tc>
          <w:tcPr>
            <w:tcW w:w="4510" w:type="dxa"/>
            <w:tcBorders>
              <w:bottom w:val="single" w:sz="4" w:space="0" w:color="auto"/>
            </w:tcBorders>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005</w:t>
            </w:r>
            <w:r w:rsidRPr="001F3FFC">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(0.002</w:t>
            </w:r>
            <w:r w:rsidRPr="001F3FFC">
              <w:rPr>
                <w:rFonts w:eastAsia="Times New Roman"/>
                <w:sz w:val="20"/>
                <w:szCs w:val="20"/>
                <w:bdr w:val="none" w:sz="0" w:space="0" w:color="auto"/>
                <w:lang w:val="en-NZ" w:eastAsia="en-NZ"/>
              </w:rPr>
              <w:t>)</w:t>
            </w:r>
          </w:p>
        </w:tc>
      </w:tr>
      <w:tr w:rsidR="00BA21D9" w:rsidRPr="0043730F" w:rsidTr="008D7DED">
        <w:trPr>
          <w:trHeight w:val="284"/>
          <w:jc w:val="center"/>
        </w:trPr>
        <w:tc>
          <w:tcPr>
            <w:tcW w:w="4510" w:type="dxa"/>
            <w:tcBorders>
              <w:bottom w:val="single" w:sz="4" w:space="0" w:color="auto"/>
            </w:tcBorders>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lang w:val="en-NZ" w:eastAsia="en-NZ"/>
              </w:rPr>
            </w:pPr>
            <w:r w:rsidRPr="00012C33">
              <w:rPr>
                <w:rFonts w:eastAsia="Times New Roman"/>
                <w:color w:val="000000"/>
                <w:sz w:val="20"/>
                <w:szCs w:val="20"/>
                <w:bdr w:val="none" w:sz="0" w:space="0" w:color="auto"/>
                <w:lang w:val="en-NZ" w:eastAsia="en-NZ"/>
              </w:rPr>
              <w:t xml:space="preserve">Decile </w:t>
            </w:r>
            <w:r>
              <w:rPr>
                <w:rFonts w:eastAsia="Times New Roman"/>
                <w:color w:val="000000"/>
                <w:sz w:val="20"/>
                <w:szCs w:val="20"/>
                <w:bdr w:val="none" w:sz="0" w:space="0" w:color="auto"/>
                <w:lang w:val="en-NZ" w:eastAsia="en-NZ"/>
              </w:rPr>
              <w:t>3</w:t>
            </w:r>
            <w:r w:rsidRPr="00012C33">
              <w:rPr>
                <w:rFonts w:eastAsia="Times New Roman"/>
                <w:color w:val="000000"/>
                <w:sz w:val="20"/>
                <w:szCs w:val="20"/>
                <w:bdr w:val="none" w:sz="0" w:space="0" w:color="auto"/>
                <w:lang w:val="en-NZ" w:eastAsia="en-NZ"/>
              </w:rPr>
              <w:t xml:space="preserve"> school at age 14</w:t>
            </w:r>
          </w:p>
        </w:tc>
        <w:tc>
          <w:tcPr>
            <w:tcW w:w="4510" w:type="dxa"/>
            <w:tcBorders>
              <w:bottom w:val="single" w:sz="4" w:space="0" w:color="auto"/>
            </w:tcBorders>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007</w:t>
            </w:r>
            <w:r w:rsidRPr="001F3FFC">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(0.002</w:t>
            </w:r>
            <w:r w:rsidRPr="001F3FFC">
              <w:rPr>
                <w:rFonts w:eastAsia="Times New Roman"/>
                <w:sz w:val="20"/>
                <w:szCs w:val="20"/>
                <w:bdr w:val="none" w:sz="0" w:space="0" w:color="auto"/>
                <w:lang w:val="en-NZ" w:eastAsia="en-NZ"/>
              </w:rPr>
              <w:t>)</w:t>
            </w:r>
          </w:p>
        </w:tc>
      </w:tr>
      <w:tr w:rsidR="00BA21D9" w:rsidRPr="0043730F" w:rsidTr="008D7DED">
        <w:trPr>
          <w:trHeight w:val="284"/>
          <w:jc w:val="center"/>
        </w:trPr>
        <w:tc>
          <w:tcPr>
            <w:tcW w:w="4510" w:type="dxa"/>
            <w:tcBorders>
              <w:bottom w:val="single" w:sz="4" w:space="0" w:color="auto"/>
            </w:tcBorders>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lang w:val="en-NZ" w:eastAsia="en-NZ"/>
              </w:rPr>
            </w:pPr>
            <w:r w:rsidRPr="00012C33">
              <w:rPr>
                <w:rFonts w:eastAsia="Times New Roman"/>
                <w:color w:val="000000"/>
                <w:sz w:val="20"/>
                <w:szCs w:val="20"/>
                <w:bdr w:val="none" w:sz="0" w:space="0" w:color="auto"/>
                <w:lang w:val="en-NZ" w:eastAsia="en-NZ"/>
              </w:rPr>
              <w:t xml:space="preserve">Decile </w:t>
            </w:r>
            <w:r>
              <w:rPr>
                <w:rFonts w:eastAsia="Times New Roman"/>
                <w:color w:val="000000"/>
                <w:sz w:val="20"/>
                <w:szCs w:val="20"/>
                <w:bdr w:val="none" w:sz="0" w:space="0" w:color="auto"/>
                <w:lang w:val="en-NZ" w:eastAsia="en-NZ"/>
              </w:rPr>
              <w:t>4</w:t>
            </w:r>
            <w:r w:rsidRPr="00012C33">
              <w:rPr>
                <w:rFonts w:eastAsia="Times New Roman"/>
                <w:color w:val="000000"/>
                <w:sz w:val="20"/>
                <w:szCs w:val="20"/>
                <w:bdr w:val="none" w:sz="0" w:space="0" w:color="auto"/>
                <w:lang w:val="en-NZ" w:eastAsia="en-NZ"/>
              </w:rPr>
              <w:t xml:space="preserve"> school at age 14</w:t>
            </w:r>
          </w:p>
        </w:tc>
        <w:tc>
          <w:tcPr>
            <w:tcW w:w="4510" w:type="dxa"/>
            <w:tcBorders>
              <w:bottom w:val="single" w:sz="4" w:space="0" w:color="auto"/>
            </w:tcBorders>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007</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(0.013</w:t>
            </w:r>
            <w:r w:rsidRPr="001F3FFC">
              <w:rPr>
                <w:rFonts w:eastAsia="Times New Roman"/>
                <w:sz w:val="20"/>
                <w:szCs w:val="20"/>
                <w:bdr w:val="none" w:sz="0" w:space="0" w:color="auto"/>
                <w:lang w:val="en-NZ" w:eastAsia="en-NZ"/>
              </w:rPr>
              <w:t>)</w:t>
            </w:r>
          </w:p>
        </w:tc>
      </w:tr>
      <w:tr w:rsidR="00BA21D9" w:rsidRPr="0043730F" w:rsidTr="008D7DED">
        <w:trPr>
          <w:trHeight w:val="284"/>
          <w:jc w:val="center"/>
        </w:trPr>
        <w:tc>
          <w:tcPr>
            <w:tcW w:w="4510" w:type="dxa"/>
            <w:tcBorders>
              <w:bottom w:val="single" w:sz="4" w:space="0" w:color="auto"/>
            </w:tcBorders>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lang w:val="en-NZ" w:eastAsia="en-NZ"/>
              </w:rPr>
            </w:pPr>
            <w:r w:rsidRPr="00012C33">
              <w:rPr>
                <w:rFonts w:eastAsia="Times New Roman"/>
                <w:color w:val="000000"/>
                <w:sz w:val="20"/>
                <w:szCs w:val="20"/>
                <w:bdr w:val="none" w:sz="0" w:space="0" w:color="auto"/>
                <w:lang w:val="en-NZ" w:eastAsia="en-NZ"/>
              </w:rPr>
              <w:t xml:space="preserve">Decile </w:t>
            </w:r>
            <w:r>
              <w:rPr>
                <w:rFonts w:eastAsia="Times New Roman"/>
                <w:color w:val="000000"/>
                <w:sz w:val="20"/>
                <w:szCs w:val="20"/>
                <w:bdr w:val="none" w:sz="0" w:space="0" w:color="auto"/>
                <w:lang w:val="en-NZ" w:eastAsia="en-NZ"/>
              </w:rPr>
              <w:t>5</w:t>
            </w:r>
            <w:r w:rsidRPr="00012C33">
              <w:rPr>
                <w:rFonts w:eastAsia="Times New Roman"/>
                <w:color w:val="000000"/>
                <w:sz w:val="20"/>
                <w:szCs w:val="20"/>
                <w:bdr w:val="none" w:sz="0" w:space="0" w:color="auto"/>
                <w:lang w:val="en-NZ" w:eastAsia="en-NZ"/>
              </w:rPr>
              <w:t xml:space="preserve"> school at age 14</w:t>
            </w:r>
          </w:p>
        </w:tc>
        <w:tc>
          <w:tcPr>
            <w:tcW w:w="4510" w:type="dxa"/>
            <w:tcBorders>
              <w:bottom w:val="single" w:sz="4" w:space="0" w:color="auto"/>
            </w:tcBorders>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012</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(0.011</w:t>
            </w:r>
            <w:r w:rsidRPr="001F3FFC">
              <w:rPr>
                <w:rFonts w:eastAsia="Times New Roman"/>
                <w:sz w:val="20"/>
                <w:szCs w:val="20"/>
                <w:bdr w:val="none" w:sz="0" w:space="0" w:color="auto"/>
                <w:lang w:val="en-NZ" w:eastAsia="en-NZ"/>
              </w:rPr>
              <w:t>)</w:t>
            </w:r>
          </w:p>
        </w:tc>
      </w:tr>
      <w:tr w:rsidR="00BA21D9" w:rsidRPr="0043730F" w:rsidTr="008D7DED">
        <w:trPr>
          <w:trHeight w:val="284"/>
          <w:jc w:val="center"/>
        </w:trPr>
        <w:tc>
          <w:tcPr>
            <w:tcW w:w="4510" w:type="dxa"/>
            <w:tcBorders>
              <w:bottom w:val="single" w:sz="4" w:space="0" w:color="auto"/>
            </w:tcBorders>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lang w:val="en-NZ" w:eastAsia="en-NZ"/>
              </w:rPr>
            </w:pPr>
            <w:r w:rsidRPr="00012C33">
              <w:rPr>
                <w:rFonts w:eastAsia="Times New Roman"/>
                <w:color w:val="000000"/>
                <w:sz w:val="20"/>
                <w:szCs w:val="20"/>
                <w:bdr w:val="none" w:sz="0" w:space="0" w:color="auto"/>
                <w:lang w:val="en-NZ" w:eastAsia="en-NZ"/>
              </w:rPr>
              <w:t xml:space="preserve">Decile </w:t>
            </w:r>
            <w:r>
              <w:rPr>
                <w:rFonts w:eastAsia="Times New Roman"/>
                <w:color w:val="000000"/>
                <w:sz w:val="20"/>
                <w:szCs w:val="20"/>
                <w:bdr w:val="none" w:sz="0" w:space="0" w:color="auto"/>
                <w:lang w:val="en-NZ" w:eastAsia="en-NZ"/>
              </w:rPr>
              <w:t>6</w:t>
            </w:r>
            <w:r w:rsidRPr="00012C33">
              <w:rPr>
                <w:rFonts w:eastAsia="Times New Roman"/>
                <w:color w:val="000000"/>
                <w:sz w:val="20"/>
                <w:szCs w:val="20"/>
                <w:bdr w:val="none" w:sz="0" w:space="0" w:color="auto"/>
                <w:lang w:val="en-NZ" w:eastAsia="en-NZ"/>
              </w:rPr>
              <w:t xml:space="preserve"> school at age 14</w:t>
            </w:r>
          </w:p>
        </w:tc>
        <w:tc>
          <w:tcPr>
            <w:tcW w:w="4510" w:type="dxa"/>
            <w:tcBorders>
              <w:bottom w:val="single" w:sz="4" w:space="0" w:color="auto"/>
            </w:tcBorders>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012</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(0.011</w:t>
            </w:r>
            <w:r w:rsidRPr="001F3FFC">
              <w:rPr>
                <w:rFonts w:eastAsia="Times New Roman"/>
                <w:sz w:val="20"/>
                <w:szCs w:val="20"/>
                <w:bdr w:val="none" w:sz="0" w:space="0" w:color="auto"/>
                <w:lang w:val="en-NZ" w:eastAsia="en-NZ"/>
              </w:rPr>
              <w:t>)</w:t>
            </w:r>
          </w:p>
        </w:tc>
      </w:tr>
      <w:tr w:rsidR="00BA21D9" w:rsidRPr="0043730F" w:rsidTr="008D7DED">
        <w:trPr>
          <w:trHeight w:val="284"/>
          <w:jc w:val="center"/>
        </w:trPr>
        <w:tc>
          <w:tcPr>
            <w:tcW w:w="4510" w:type="dxa"/>
            <w:tcBorders>
              <w:bottom w:val="single" w:sz="4" w:space="0" w:color="auto"/>
            </w:tcBorders>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lang w:val="en-NZ" w:eastAsia="en-NZ"/>
              </w:rPr>
            </w:pPr>
            <w:r w:rsidRPr="00012C33">
              <w:rPr>
                <w:rFonts w:eastAsia="Times New Roman"/>
                <w:color w:val="000000"/>
                <w:sz w:val="20"/>
                <w:szCs w:val="20"/>
                <w:bdr w:val="none" w:sz="0" w:space="0" w:color="auto"/>
                <w:lang w:val="en-NZ" w:eastAsia="en-NZ"/>
              </w:rPr>
              <w:t xml:space="preserve">Decile </w:t>
            </w:r>
            <w:r>
              <w:rPr>
                <w:rFonts w:eastAsia="Times New Roman"/>
                <w:color w:val="000000"/>
                <w:sz w:val="20"/>
                <w:szCs w:val="20"/>
                <w:bdr w:val="none" w:sz="0" w:space="0" w:color="auto"/>
                <w:lang w:val="en-NZ" w:eastAsia="en-NZ"/>
              </w:rPr>
              <w:t>7</w:t>
            </w:r>
            <w:r w:rsidRPr="00012C33">
              <w:rPr>
                <w:rFonts w:eastAsia="Times New Roman"/>
                <w:color w:val="000000"/>
                <w:sz w:val="20"/>
                <w:szCs w:val="20"/>
                <w:bdr w:val="none" w:sz="0" w:space="0" w:color="auto"/>
                <w:lang w:val="en-NZ" w:eastAsia="en-NZ"/>
              </w:rPr>
              <w:t xml:space="preserve"> school at age 14</w:t>
            </w:r>
          </w:p>
        </w:tc>
        <w:tc>
          <w:tcPr>
            <w:tcW w:w="4510" w:type="dxa"/>
            <w:tcBorders>
              <w:bottom w:val="single" w:sz="4" w:space="0" w:color="auto"/>
            </w:tcBorders>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016</w:t>
            </w:r>
            <w:r>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(0.009</w:t>
            </w:r>
            <w:r w:rsidRPr="001F3FFC">
              <w:rPr>
                <w:rFonts w:eastAsia="Times New Roman"/>
                <w:sz w:val="20"/>
                <w:szCs w:val="20"/>
                <w:bdr w:val="none" w:sz="0" w:space="0" w:color="auto"/>
                <w:lang w:val="en-NZ" w:eastAsia="en-NZ"/>
              </w:rPr>
              <w:t>)</w:t>
            </w:r>
          </w:p>
        </w:tc>
      </w:tr>
      <w:tr w:rsidR="00BA21D9" w:rsidRPr="0043730F" w:rsidTr="008D7DED">
        <w:trPr>
          <w:trHeight w:val="284"/>
          <w:jc w:val="center"/>
        </w:trPr>
        <w:tc>
          <w:tcPr>
            <w:tcW w:w="4510" w:type="dxa"/>
            <w:tcBorders>
              <w:bottom w:val="single" w:sz="4" w:space="0" w:color="auto"/>
            </w:tcBorders>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lang w:val="en-NZ" w:eastAsia="en-NZ"/>
              </w:rPr>
            </w:pPr>
            <w:r w:rsidRPr="00012C33">
              <w:rPr>
                <w:rFonts w:eastAsia="Times New Roman"/>
                <w:color w:val="000000"/>
                <w:sz w:val="20"/>
                <w:szCs w:val="20"/>
                <w:bdr w:val="none" w:sz="0" w:space="0" w:color="auto"/>
                <w:lang w:val="en-NZ" w:eastAsia="en-NZ"/>
              </w:rPr>
              <w:t xml:space="preserve">Decile </w:t>
            </w:r>
            <w:r>
              <w:rPr>
                <w:rFonts w:eastAsia="Times New Roman"/>
                <w:color w:val="000000"/>
                <w:sz w:val="20"/>
                <w:szCs w:val="20"/>
                <w:bdr w:val="none" w:sz="0" w:space="0" w:color="auto"/>
                <w:lang w:val="en-NZ" w:eastAsia="en-NZ"/>
              </w:rPr>
              <w:t>8</w:t>
            </w:r>
            <w:r w:rsidRPr="00012C33">
              <w:rPr>
                <w:rFonts w:eastAsia="Times New Roman"/>
                <w:color w:val="000000"/>
                <w:sz w:val="20"/>
                <w:szCs w:val="20"/>
                <w:bdr w:val="none" w:sz="0" w:space="0" w:color="auto"/>
                <w:lang w:val="en-NZ" w:eastAsia="en-NZ"/>
              </w:rPr>
              <w:t xml:space="preserve"> school at age 14</w:t>
            </w:r>
          </w:p>
        </w:tc>
        <w:tc>
          <w:tcPr>
            <w:tcW w:w="4510" w:type="dxa"/>
            <w:tcBorders>
              <w:bottom w:val="single" w:sz="4" w:space="0" w:color="auto"/>
            </w:tcBorders>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019</w:t>
            </w:r>
            <w:r>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(0.008</w:t>
            </w:r>
            <w:r w:rsidRPr="001F3FFC">
              <w:rPr>
                <w:rFonts w:eastAsia="Times New Roman"/>
                <w:sz w:val="20"/>
                <w:szCs w:val="20"/>
                <w:bdr w:val="none" w:sz="0" w:space="0" w:color="auto"/>
                <w:lang w:val="en-NZ" w:eastAsia="en-NZ"/>
              </w:rPr>
              <w:t>)</w:t>
            </w:r>
          </w:p>
        </w:tc>
      </w:tr>
      <w:tr w:rsidR="00BA21D9" w:rsidRPr="0043730F" w:rsidTr="008D7DED">
        <w:trPr>
          <w:trHeight w:val="284"/>
          <w:jc w:val="center"/>
        </w:trPr>
        <w:tc>
          <w:tcPr>
            <w:tcW w:w="4510" w:type="dxa"/>
            <w:tcBorders>
              <w:bottom w:val="single" w:sz="4" w:space="0" w:color="auto"/>
            </w:tcBorders>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lang w:val="en-NZ" w:eastAsia="en-NZ"/>
              </w:rPr>
            </w:pPr>
            <w:r w:rsidRPr="00012C33">
              <w:rPr>
                <w:rFonts w:eastAsia="Times New Roman"/>
                <w:color w:val="000000"/>
                <w:sz w:val="20"/>
                <w:szCs w:val="20"/>
                <w:bdr w:val="none" w:sz="0" w:space="0" w:color="auto"/>
                <w:lang w:val="en-NZ" w:eastAsia="en-NZ"/>
              </w:rPr>
              <w:t xml:space="preserve">Decile </w:t>
            </w:r>
            <w:r>
              <w:rPr>
                <w:rFonts w:eastAsia="Times New Roman"/>
                <w:color w:val="000000"/>
                <w:sz w:val="20"/>
                <w:szCs w:val="20"/>
                <w:bdr w:val="none" w:sz="0" w:space="0" w:color="auto"/>
                <w:lang w:val="en-NZ" w:eastAsia="en-NZ"/>
              </w:rPr>
              <w:t>9</w:t>
            </w:r>
            <w:r w:rsidRPr="00012C33">
              <w:rPr>
                <w:rFonts w:eastAsia="Times New Roman"/>
                <w:color w:val="000000"/>
                <w:sz w:val="20"/>
                <w:szCs w:val="20"/>
                <w:bdr w:val="none" w:sz="0" w:space="0" w:color="auto"/>
                <w:lang w:val="en-NZ" w:eastAsia="en-NZ"/>
              </w:rPr>
              <w:t xml:space="preserve"> school at age 14</w:t>
            </w:r>
          </w:p>
        </w:tc>
        <w:tc>
          <w:tcPr>
            <w:tcW w:w="4510" w:type="dxa"/>
            <w:tcBorders>
              <w:bottom w:val="single" w:sz="4" w:space="0" w:color="auto"/>
            </w:tcBorders>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023</w:t>
            </w:r>
            <w:r w:rsidRPr="001F3FFC">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(0.007</w:t>
            </w:r>
            <w:r w:rsidRPr="001F3FFC">
              <w:rPr>
                <w:rFonts w:eastAsia="Times New Roman"/>
                <w:sz w:val="20"/>
                <w:szCs w:val="20"/>
                <w:bdr w:val="none" w:sz="0" w:space="0" w:color="auto"/>
                <w:lang w:val="en-NZ" w:eastAsia="en-NZ"/>
              </w:rPr>
              <w:t>)</w:t>
            </w:r>
          </w:p>
        </w:tc>
      </w:tr>
      <w:tr w:rsidR="00BA21D9" w:rsidRPr="0043730F" w:rsidTr="008D7DED">
        <w:trPr>
          <w:trHeight w:val="284"/>
          <w:jc w:val="center"/>
        </w:trPr>
        <w:tc>
          <w:tcPr>
            <w:tcW w:w="4510" w:type="dxa"/>
            <w:tcBorders>
              <w:top w:val="single" w:sz="4" w:space="0" w:color="auto"/>
              <w:bottom w:val="single" w:sz="8" w:space="0" w:color="auto"/>
            </w:tcBorders>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lang w:val="en-NZ" w:eastAsia="en-NZ"/>
              </w:rPr>
            </w:pPr>
            <w:r w:rsidRPr="00012C33">
              <w:rPr>
                <w:rFonts w:eastAsia="Times New Roman"/>
                <w:color w:val="000000"/>
                <w:sz w:val="20"/>
                <w:szCs w:val="20"/>
                <w:bdr w:val="none" w:sz="0" w:space="0" w:color="auto"/>
                <w:lang w:val="en-NZ" w:eastAsia="en-NZ"/>
              </w:rPr>
              <w:t xml:space="preserve">Decile </w:t>
            </w:r>
            <w:r>
              <w:rPr>
                <w:rFonts w:eastAsia="Times New Roman"/>
                <w:color w:val="000000"/>
                <w:sz w:val="20"/>
                <w:szCs w:val="20"/>
                <w:bdr w:val="none" w:sz="0" w:space="0" w:color="auto"/>
                <w:lang w:val="en-NZ" w:eastAsia="en-NZ"/>
              </w:rPr>
              <w:t>10</w:t>
            </w:r>
            <w:r w:rsidRPr="00012C33">
              <w:rPr>
                <w:rFonts w:eastAsia="Times New Roman"/>
                <w:color w:val="000000"/>
                <w:sz w:val="20"/>
                <w:szCs w:val="20"/>
                <w:bdr w:val="none" w:sz="0" w:space="0" w:color="auto"/>
                <w:lang w:val="en-NZ" w:eastAsia="en-NZ"/>
              </w:rPr>
              <w:t xml:space="preserve"> school at age 14</w:t>
            </w:r>
          </w:p>
        </w:tc>
        <w:tc>
          <w:tcPr>
            <w:tcW w:w="4510" w:type="dxa"/>
            <w:tcBorders>
              <w:top w:val="single" w:sz="4" w:space="0" w:color="auto"/>
              <w:bottom w:val="single" w:sz="8" w:space="0" w:color="auto"/>
            </w:tcBorders>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031</w:t>
            </w:r>
            <w:r w:rsidRPr="001F3FFC">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(0.005</w:t>
            </w:r>
            <w:r w:rsidRPr="001F3FFC">
              <w:rPr>
                <w:rFonts w:eastAsia="Times New Roman"/>
                <w:sz w:val="20"/>
                <w:szCs w:val="20"/>
                <w:bdr w:val="none" w:sz="0" w:space="0" w:color="auto"/>
                <w:lang w:val="en-NZ" w:eastAsia="en-NZ"/>
              </w:rPr>
              <w:t>)</w:t>
            </w:r>
          </w:p>
        </w:tc>
      </w:tr>
      <w:tr w:rsidR="00BA21D9" w:rsidRPr="0043730F" w:rsidTr="008D7DED">
        <w:trPr>
          <w:trHeight w:val="227"/>
          <w:jc w:val="center"/>
        </w:trPr>
        <w:tc>
          <w:tcPr>
            <w:tcW w:w="4510" w:type="dxa"/>
            <w:tcBorders>
              <w:top w:val="single" w:sz="8" w:space="0" w:color="auto"/>
              <w:bottom w:val="nil"/>
            </w:tcBorders>
            <w:shd w:val="clear" w:color="auto" w:fill="auto"/>
            <w:tcMar>
              <w:top w:w="28" w:type="dxa"/>
              <w:left w:w="108" w:type="dxa"/>
              <w:bottom w:w="28" w:type="dxa"/>
              <w:right w:w="108" w:type="dxa"/>
            </w:tcMar>
            <w:hideMark/>
          </w:tcPr>
          <w:p w:rsidR="00BA21D9" w:rsidRPr="004B26AA"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i/>
                <w:sz w:val="20"/>
                <w:szCs w:val="20"/>
                <w:bdr w:val="none" w:sz="0" w:space="0" w:color="auto"/>
                <w:lang w:val="en-NZ" w:eastAsia="en-NZ"/>
              </w:rPr>
            </w:pPr>
            <w:r w:rsidRPr="004B26AA">
              <w:rPr>
                <w:i/>
                <w:color w:val="000000" w:themeColor="text1"/>
                <w:kern w:val="24"/>
                <w:sz w:val="20"/>
                <w:szCs w:val="20"/>
                <w:bdr w:val="none" w:sz="0" w:space="0" w:color="auto"/>
                <w:lang w:val="en-NZ" w:eastAsia="en-NZ"/>
              </w:rPr>
              <w:t>n</w:t>
            </w:r>
          </w:p>
        </w:tc>
        <w:tc>
          <w:tcPr>
            <w:tcW w:w="4510" w:type="dxa"/>
            <w:tcBorders>
              <w:top w:val="single" w:sz="8" w:space="0" w:color="auto"/>
              <w:bottom w:val="nil"/>
            </w:tcBorders>
            <w:shd w:val="clear" w:color="auto" w:fill="auto"/>
            <w:tcMar>
              <w:top w:w="28" w:type="dxa"/>
              <w:left w:w="108" w:type="dxa"/>
              <w:bottom w:w="28" w:type="dxa"/>
              <w:right w:w="108" w:type="dxa"/>
            </w:tcMar>
            <w:hideMark/>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rFonts w:eastAsiaTheme="minorEastAsia"/>
                <w:color w:val="000000" w:themeColor="text1"/>
                <w:kern w:val="24"/>
                <w:sz w:val="20"/>
                <w:szCs w:val="20"/>
                <w:bdr w:val="none" w:sz="0" w:space="0" w:color="auto"/>
                <w:lang w:val="en-NZ" w:eastAsia="en-NZ"/>
              </w:rPr>
              <w:t>81,129</w:t>
            </w:r>
          </w:p>
        </w:tc>
      </w:tr>
      <w:tr w:rsidR="00BA21D9" w:rsidRPr="0043730F" w:rsidTr="008D7DED">
        <w:trPr>
          <w:trHeight w:val="227"/>
          <w:jc w:val="center"/>
        </w:trPr>
        <w:tc>
          <w:tcPr>
            <w:tcW w:w="4510" w:type="dxa"/>
            <w:tcBorders>
              <w:top w:val="nil"/>
              <w:bottom w:val="nil"/>
            </w:tcBorders>
            <w:shd w:val="clear" w:color="auto" w:fill="auto"/>
            <w:tcMar>
              <w:top w:w="28" w:type="dxa"/>
              <w:left w:w="108" w:type="dxa"/>
              <w:bottom w:w="28" w:type="dxa"/>
              <w:right w:w="108" w:type="dxa"/>
            </w:tcMa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val="en-NZ" w:eastAsia="en-NZ"/>
              </w:rPr>
            </w:pPr>
            <w:r>
              <w:rPr>
                <w:color w:val="000000" w:themeColor="text1"/>
                <w:kern w:val="24"/>
                <w:sz w:val="20"/>
                <w:szCs w:val="20"/>
                <w:bdr w:val="none" w:sz="0" w:space="0" w:color="auto"/>
                <w:lang w:val="en-NZ" w:eastAsia="en-NZ"/>
              </w:rPr>
              <w:t>Log-Likelihood Function</w:t>
            </w:r>
          </w:p>
        </w:tc>
        <w:tc>
          <w:tcPr>
            <w:tcW w:w="4510" w:type="dxa"/>
            <w:tcBorders>
              <w:top w:val="nil"/>
              <w:bottom w:val="nil"/>
            </w:tcBorders>
            <w:shd w:val="clear" w:color="auto" w:fill="auto"/>
            <w:tcMar>
              <w:top w:w="28" w:type="dxa"/>
              <w:left w:w="108" w:type="dxa"/>
              <w:bottom w:w="28" w:type="dxa"/>
              <w:right w:w="108" w:type="dxa"/>
            </w:tcMa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EastAsia"/>
                <w:color w:val="000000" w:themeColor="text1"/>
                <w:kern w:val="24"/>
                <w:sz w:val="20"/>
                <w:szCs w:val="20"/>
                <w:bdr w:val="none" w:sz="0" w:space="0" w:color="auto"/>
                <w:lang w:val="en-NZ" w:eastAsia="en-NZ"/>
              </w:rPr>
            </w:pPr>
            <w:r>
              <w:rPr>
                <w:rFonts w:eastAsiaTheme="minorEastAsia"/>
                <w:color w:val="000000" w:themeColor="text1"/>
                <w:kern w:val="24"/>
                <w:sz w:val="20"/>
                <w:szCs w:val="20"/>
                <w:bdr w:val="none" w:sz="0" w:space="0" w:color="auto"/>
                <w:lang w:val="en-NZ" w:eastAsia="en-NZ"/>
              </w:rPr>
              <w:t>-12,135.8</w:t>
            </w:r>
          </w:p>
        </w:tc>
      </w:tr>
      <w:tr w:rsidR="00BA21D9" w:rsidRPr="0043730F" w:rsidTr="008D7DED">
        <w:trPr>
          <w:trHeight w:val="227"/>
          <w:jc w:val="center"/>
        </w:trPr>
        <w:tc>
          <w:tcPr>
            <w:tcW w:w="4510" w:type="dxa"/>
            <w:tcBorders>
              <w:top w:val="nil"/>
              <w:bottom w:val="single" w:sz="8" w:space="0" w:color="auto"/>
            </w:tcBorders>
            <w:shd w:val="clear" w:color="auto" w:fill="auto"/>
            <w:tcMar>
              <w:top w:w="28" w:type="dxa"/>
              <w:left w:w="108" w:type="dxa"/>
              <w:bottom w:w="28" w:type="dxa"/>
              <w:right w:w="108" w:type="dxa"/>
            </w:tcMa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val="en-NZ" w:eastAsia="en-NZ"/>
              </w:rPr>
            </w:pPr>
            <w:r>
              <w:rPr>
                <w:color w:val="000000" w:themeColor="text1"/>
                <w:kern w:val="24"/>
                <w:sz w:val="20"/>
                <w:szCs w:val="20"/>
                <w:bdr w:val="none" w:sz="0" w:space="0" w:color="auto"/>
                <w:lang w:val="en-NZ" w:eastAsia="en-NZ"/>
              </w:rPr>
              <w:t>Pseudo R</w:t>
            </w:r>
            <w:r w:rsidRPr="001F3FFC">
              <w:rPr>
                <w:color w:val="000000" w:themeColor="text1"/>
                <w:kern w:val="24"/>
                <w:sz w:val="20"/>
                <w:szCs w:val="20"/>
                <w:bdr w:val="none" w:sz="0" w:space="0" w:color="auto"/>
                <w:vertAlign w:val="superscript"/>
                <w:lang w:val="en-NZ" w:eastAsia="en-NZ"/>
              </w:rPr>
              <w:t>2</w:t>
            </w:r>
            <w:r>
              <w:rPr>
                <w:color w:val="000000" w:themeColor="text1"/>
                <w:kern w:val="24"/>
                <w:sz w:val="20"/>
                <w:szCs w:val="20"/>
                <w:bdr w:val="none" w:sz="0" w:space="0" w:color="auto"/>
                <w:lang w:val="en-NZ" w:eastAsia="en-NZ"/>
              </w:rPr>
              <w:t xml:space="preserve"> Statistic</w:t>
            </w:r>
          </w:p>
        </w:tc>
        <w:tc>
          <w:tcPr>
            <w:tcW w:w="4510" w:type="dxa"/>
            <w:tcBorders>
              <w:top w:val="nil"/>
              <w:bottom w:val="single" w:sz="8" w:space="0" w:color="auto"/>
            </w:tcBorders>
            <w:shd w:val="clear" w:color="auto" w:fill="auto"/>
            <w:tcMar>
              <w:top w:w="28" w:type="dxa"/>
              <w:left w:w="108" w:type="dxa"/>
              <w:bottom w:w="28" w:type="dxa"/>
              <w:right w:w="108" w:type="dxa"/>
            </w:tcMa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EastAsia"/>
                <w:color w:val="000000" w:themeColor="text1"/>
                <w:kern w:val="24"/>
                <w:sz w:val="20"/>
                <w:szCs w:val="20"/>
                <w:bdr w:val="none" w:sz="0" w:space="0" w:color="auto"/>
                <w:lang w:val="en-NZ" w:eastAsia="en-NZ"/>
              </w:rPr>
            </w:pPr>
            <w:r>
              <w:rPr>
                <w:rFonts w:eastAsiaTheme="minorEastAsia"/>
                <w:color w:val="000000" w:themeColor="text1"/>
                <w:kern w:val="24"/>
                <w:sz w:val="20"/>
                <w:szCs w:val="20"/>
                <w:bdr w:val="none" w:sz="0" w:space="0" w:color="auto"/>
                <w:lang w:val="en-NZ" w:eastAsia="en-NZ"/>
              </w:rPr>
              <w:t>0.1209</w:t>
            </w:r>
          </w:p>
        </w:tc>
      </w:tr>
    </w:tbl>
    <w:p w:rsidR="00BA21D9" w:rsidRDefault="00BA21D9" w:rsidP="00BA21D9">
      <w:pPr>
        <w:widowControl w:val="0"/>
        <w:autoSpaceDE w:val="0"/>
        <w:autoSpaceDN w:val="0"/>
        <w:adjustRightInd w:val="0"/>
        <w:spacing w:before="80" w:after="80"/>
        <w:jc w:val="both"/>
        <w:rPr>
          <w:sz w:val="20"/>
          <w:szCs w:val="20"/>
        </w:rPr>
      </w:pPr>
      <w:r w:rsidRPr="000C6A33">
        <w:rPr>
          <w:sz w:val="20"/>
          <w:szCs w:val="20"/>
        </w:rPr>
        <w:t>Notes</w:t>
      </w:r>
      <w:r>
        <w:rPr>
          <w:sz w:val="20"/>
          <w:szCs w:val="20"/>
        </w:rPr>
        <w:t>:</w:t>
      </w:r>
    </w:p>
    <w:p w:rsidR="007D10F3" w:rsidRDefault="00BA21D9" w:rsidP="007D10F3">
      <w:pPr>
        <w:widowControl w:val="0"/>
        <w:autoSpaceDE w:val="0"/>
        <w:autoSpaceDN w:val="0"/>
        <w:adjustRightInd w:val="0"/>
        <w:jc w:val="both"/>
        <w:rPr>
          <w:sz w:val="20"/>
          <w:szCs w:val="20"/>
        </w:rPr>
      </w:pPr>
      <w:r>
        <w:rPr>
          <w:sz w:val="20"/>
          <w:szCs w:val="20"/>
        </w:rPr>
        <w:t>Full set of regression results.  See the notes at the bottom of Table 9 in the main body of this report for more information on this estimation procedure.</w:t>
      </w:r>
      <w:r w:rsidR="007D10F3">
        <w:rPr>
          <w:sz w:val="20"/>
          <w:szCs w:val="20"/>
        </w:rPr>
        <w:t xml:space="preserve"> Excluded categories are birth cohort =1991, urban area = Main Urban Area and </w:t>
      </w:r>
      <w:r w:rsidR="008720EC">
        <w:rPr>
          <w:sz w:val="20"/>
          <w:szCs w:val="20"/>
        </w:rPr>
        <w:t xml:space="preserve">MoE </w:t>
      </w:r>
      <w:r w:rsidR="00DF661F">
        <w:rPr>
          <w:sz w:val="20"/>
          <w:szCs w:val="20"/>
        </w:rPr>
        <w:t xml:space="preserve"> </w:t>
      </w:r>
      <w:r w:rsidR="007D10F3">
        <w:rPr>
          <w:sz w:val="20"/>
          <w:szCs w:val="20"/>
        </w:rPr>
        <w:t xml:space="preserve">Office = Auckland North, Decile school at age 14 = 1.  </w:t>
      </w:r>
    </w:p>
    <w:p w:rsidR="00BA21D9" w:rsidRDefault="00BA21D9" w:rsidP="00BA21D9">
      <w:pPr>
        <w:widowControl w:val="0"/>
        <w:autoSpaceDE w:val="0"/>
        <w:autoSpaceDN w:val="0"/>
        <w:adjustRightInd w:val="0"/>
        <w:jc w:val="both"/>
        <w:rPr>
          <w:sz w:val="20"/>
          <w:szCs w:val="20"/>
        </w:rPr>
      </w:pPr>
    </w:p>
    <w:p w:rsidR="00BA21D9" w:rsidRDefault="00BA21D9" w:rsidP="00BA21D9">
      <w:pPr>
        <w:widowControl w:val="0"/>
        <w:autoSpaceDE w:val="0"/>
        <w:autoSpaceDN w:val="0"/>
        <w:adjustRightInd w:val="0"/>
        <w:jc w:val="both"/>
        <w:rPr>
          <w:sz w:val="20"/>
          <w:szCs w:val="20"/>
        </w:rPr>
      </w:pPr>
    </w:p>
    <w:p w:rsidR="00BA21D9" w:rsidRDefault="00BA21D9" w:rsidP="00BA21D9">
      <w:pPr>
        <w:widowControl w:val="0"/>
        <w:autoSpaceDE w:val="0"/>
        <w:autoSpaceDN w:val="0"/>
        <w:adjustRightInd w:val="0"/>
        <w:jc w:val="both"/>
        <w:rPr>
          <w:sz w:val="20"/>
          <w:szCs w:val="20"/>
        </w:rPr>
      </w:pPr>
      <w:r w:rsidRPr="000C6A33">
        <w:rPr>
          <w:sz w:val="20"/>
          <w:szCs w:val="20"/>
          <w:vertAlign w:val="superscript"/>
        </w:rPr>
        <w:t>***</w:t>
      </w:r>
      <w:r>
        <w:rPr>
          <w:sz w:val="20"/>
          <w:szCs w:val="20"/>
        </w:rPr>
        <w:t xml:space="preserve"> Estimated partial derivative significantly different from zero</w:t>
      </w:r>
      <w:r w:rsidRPr="004B26AA">
        <w:rPr>
          <w:sz w:val="20"/>
          <w:szCs w:val="20"/>
        </w:rPr>
        <w:t xml:space="preserve"> </w:t>
      </w:r>
      <w:r>
        <w:rPr>
          <w:sz w:val="20"/>
          <w:szCs w:val="20"/>
        </w:rPr>
        <w:t xml:space="preserve">at a 1% level using a </w:t>
      </w:r>
      <w:r w:rsidRPr="000C6A33">
        <w:rPr>
          <w:i/>
          <w:sz w:val="20"/>
          <w:szCs w:val="20"/>
        </w:rPr>
        <w:t xml:space="preserve">t </w:t>
      </w:r>
      <w:r>
        <w:rPr>
          <w:sz w:val="20"/>
          <w:szCs w:val="20"/>
        </w:rPr>
        <w:t>test</w:t>
      </w:r>
    </w:p>
    <w:p w:rsidR="00BA21D9" w:rsidRDefault="00BA21D9" w:rsidP="00BA21D9">
      <w:pPr>
        <w:widowControl w:val="0"/>
        <w:autoSpaceDE w:val="0"/>
        <w:autoSpaceDN w:val="0"/>
        <w:adjustRightInd w:val="0"/>
        <w:jc w:val="both"/>
        <w:rPr>
          <w:sz w:val="20"/>
          <w:szCs w:val="20"/>
        </w:rPr>
      </w:pPr>
      <w:r w:rsidRPr="000C6A33">
        <w:rPr>
          <w:sz w:val="20"/>
          <w:szCs w:val="20"/>
          <w:vertAlign w:val="superscript"/>
        </w:rPr>
        <w:t>**</w:t>
      </w:r>
      <w:r>
        <w:rPr>
          <w:sz w:val="20"/>
          <w:szCs w:val="20"/>
          <w:vertAlign w:val="superscript"/>
        </w:rPr>
        <w:t xml:space="preserve">  </w:t>
      </w:r>
      <w:r>
        <w:rPr>
          <w:sz w:val="20"/>
          <w:szCs w:val="20"/>
        </w:rPr>
        <w:t xml:space="preserve"> Estimated partial derivative significantly different from zero</w:t>
      </w:r>
      <w:r w:rsidRPr="004B26AA">
        <w:rPr>
          <w:sz w:val="20"/>
          <w:szCs w:val="20"/>
        </w:rPr>
        <w:t xml:space="preserve"> </w:t>
      </w:r>
      <w:r>
        <w:rPr>
          <w:sz w:val="20"/>
          <w:szCs w:val="20"/>
        </w:rPr>
        <w:t xml:space="preserve">at a 5% level using a </w:t>
      </w:r>
      <w:r w:rsidRPr="000C6A33">
        <w:rPr>
          <w:i/>
          <w:sz w:val="20"/>
          <w:szCs w:val="20"/>
        </w:rPr>
        <w:t xml:space="preserve">t </w:t>
      </w:r>
      <w:r>
        <w:rPr>
          <w:sz w:val="20"/>
          <w:szCs w:val="20"/>
        </w:rPr>
        <w:t>test</w:t>
      </w:r>
    </w:p>
    <w:p w:rsidR="00BA21D9" w:rsidRDefault="00BA21D9" w:rsidP="00BA21D9">
      <w:pPr>
        <w:widowControl w:val="0"/>
        <w:autoSpaceDE w:val="0"/>
        <w:autoSpaceDN w:val="0"/>
        <w:adjustRightInd w:val="0"/>
        <w:jc w:val="both"/>
        <w:rPr>
          <w:sz w:val="20"/>
          <w:szCs w:val="20"/>
        </w:rPr>
      </w:pPr>
      <w:r>
        <w:rPr>
          <w:sz w:val="20"/>
          <w:szCs w:val="20"/>
          <w:vertAlign w:val="superscript"/>
        </w:rPr>
        <w:t>*</w:t>
      </w:r>
      <w:r>
        <w:rPr>
          <w:sz w:val="20"/>
          <w:szCs w:val="20"/>
        </w:rPr>
        <w:t xml:space="preserve">    Estimated partial derivative significantly different from zero</w:t>
      </w:r>
      <w:r w:rsidRPr="004B26AA">
        <w:rPr>
          <w:sz w:val="20"/>
          <w:szCs w:val="20"/>
        </w:rPr>
        <w:t xml:space="preserve"> </w:t>
      </w:r>
      <w:r>
        <w:rPr>
          <w:sz w:val="20"/>
          <w:szCs w:val="20"/>
        </w:rPr>
        <w:t xml:space="preserve">at a 10% level using a </w:t>
      </w:r>
      <w:r w:rsidRPr="000C6A33">
        <w:rPr>
          <w:i/>
          <w:sz w:val="20"/>
          <w:szCs w:val="20"/>
        </w:rPr>
        <w:t xml:space="preserve">t </w:t>
      </w:r>
      <w:r>
        <w:rPr>
          <w:sz w:val="20"/>
          <w:szCs w:val="20"/>
        </w:rPr>
        <w:t>test</w:t>
      </w:r>
    </w:p>
    <w:p w:rsidR="00BA21D9" w:rsidRDefault="00BA21D9" w:rsidP="00BA21D9">
      <w:pPr>
        <w:widowControl w:val="0"/>
        <w:autoSpaceDE w:val="0"/>
        <w:autoSpaceDN w:val="0"/>
        <w:adjustRightInd w:val="0"/>
        <w:jc w:val="both"/>
        <w:rPr>
          <w:sz w:val="20"/>
          <w:szCs w:val="20"/>
          <w:lang w:val="en-NZ"/>
        </w:rPr>
      </w:pPr>
      <w:r w:rsidRPr="00994E2A">
        <w:rPr>
          <w:sz w:val="20"/>
          <w:szCs w:val="20"/>
        </w:rPr>
        <w:t xml:space="preserve"> </w:t>
      </w:r>
    </w:p>
    <w:p w:rsidR="00BA21D9" w:rsidRPr="00804AE3" w:rsidRDefault="00BA21D9" w:rsidP="00BA21D9">
      <w:pPr>
        <w:rPr>
          <w:sz w:val="20"/>
          <w:szCs w:val="20"/>
          <w:lang w:val="en-NZ"/>
        </w:rPr>
      </w:pPr>
      <w:r>
        <w:rPr>
          <w:sz w:val="20"/>
          <w:szCs w:val="20"/>
          <w:lang w:val="en-NZ"/>
        </w:rPr>
        <w:br w:type="page"/>
      </w:r>
    </w:p>
    <w:p w:rsidR="00BA21D9" w:rsidRPr="006C39FE" w:rsidRDefault="00EB1E61" w:rsidP="006C39FE">
      <w:pPr>
        <w:pStyle w:val="Caption"/>
        <w:jc w:val="center"/>
        <w:rPr>
          <w:i/>
          <w:sz w:val="22"/>
          <w:szCs w:val="22"/>
        </w:rPr>
      </w:pPr>
      <w:bookmarkStart w:id="67" w:name="_Toc475430728"/>
      <w:r>
        <w:rPr>
          <w:sz w:val="22"/>
          <w:szCs w:val="22"/>
        </w:rPr>
        <w:t xml:space="preserve">Appendix </w:t>
      </w:r>
      <w:r w:rsidR="006C39FE" w:rsidRPr="006C39FE">
        <w:rPr>
          <w:sz w:val="22"/>
          <w:szCs w:val="22"/>
        </w:rPr>
        <w:t xml:space="preserve">Table </w:t>
      </w:r>
      <w:r w:rsidR="006C39FE" w:rsidRPr="006C39FE">
        <w:rPr>
          <w:sz w:val="22"/>
          <w:szCs w:val="22"/>
        </w:rPr>
        <w:fldChar w:fldCharType="begin"/>
      </w:r>
      <w:r w:rsidR="006C39FE" w:rsidRPr="006C39FE">
        <w:rPr>
          <w:sz w:val="22"/>
          <w:szCs w:val="22"/>
        </w:rPr>
        <w:instrText xml:space="preserve"> SEQ Table \* ARABIC </w:instrText>
      </w:r>
      <w:r w:rsidR="006C39FE" w:rsidRPr="006C39FE">
        <w:rPr>
          <w:sz w:val="22"/>
          <w:szCs w:val="22"/>
        </w:rPr>
        <w:fldChar w:fldCharType="separate"/>
      </w:r>
      <w:r>
        <w:rPr>
          <w:noProof/>
          <w:sz w:val="22"/>
          <w:szCs w:val="22"/>
        </w:rPr>
        <w:t>5</w:t>
      </w:r>
      <w:r w:rsidR="006C39FE" w:rsidRPr="006C39FE">
        <w:rPr>
          <w:sz w:val="22"/>
          <w:szCs w:val="22"/>
        </w:rPr>
        <w:fldChar w:fldCharType="end"/>
      </w:r>
      <w:r w:rsidR="006C39FE">
        <w:rPr>
          <w:sz w:val="22"/>
          <w:szCs w:val="22"/>
        </w:rPr>
        <w:t>A</w:t>
      </w:r>
      <w:r w:rsidR="006C39FE" w:rsidRPr="006C39FE">
        <w:rPr>
          <w:sz w:val="22"/>
          <w:szCs w:val="22"/>
        </w:rPr>
        <w:t>: Linear Probability Model and Maximum Likelihood Probit results, estimated effects on probability of completing NCEA Level 1 qualification, young teen mothers who enrolled post-</w:t>
      </w:r>
      <w:r w:rsidR="006C39FE" w:rsidRPr="0042073E">
        <w:rPr>
          <w:sz w:val="22"/>
          <w:szCs w:val="22"/>
        </w:rPr>
        <w:t>birth</w:t>
      </w:r>
      <w:r w:rsidR="00311D32" w:rsidRPr="0042073E">
        <w:rPr>
          <w:sz w:val="22"/>
          <w:szCs w:val="22"/>
        </w:rPr>
        <w:t>,</w:t>
      </w:r>
      <w:r w:rsidR="00B6446F" w:rsidRPr="0042073E">
        <w:t xml:space="preserve"> </w:t>
      </w:r>
      <w:r w:rsidR="00B6446F" w:rsidRPr="0042073E">
        <w:rPr>
          <w:szCs w:val="24"/>
        </w:rPr>
        <w:t>sub-samples without the qualification before the end of the year of their first birth</w:t>
      </w:r>
      <w:bookmarkEnd w:id="67"/>
    </w:p>
    <w:tbl>
      <w:tblPr>
        <w:tblW w:w="9049" w:type="dxa"/>
        <w:jc w:val="center"/>
        <w:tblBorders>
          <w:top w:val="single" w:sz="4" w:space="0" w:color="000000"/>
          <w:bottom w:val="single" w:sz="4" w:space="0" w:color="000000"/>
          <w:insideH w:val="single" w:sz="4" w:space="0" w:color="000000"/>
        </w:tblBorders>
        <w:tblLayout w:type="fixed"/>
        <w:tblCellMar>
          <w:left w:w="0" w:type="dxa"/>
          <w:right w:w="0" w:type="dxa"/>
        </w:tblCellMar>
        <w:tblLook w:val="0600" w:firstRow="0" w:lastRow="0" w:firstColumn="0" w:lastColumn="0" w:noHBand="1" w:noVBand="1"/>
      </w:tblPr>
      <w:tblGrid>
        <w:gridCol w:w="4317"/>
        <w:gridCol w:w="1574"/>
        <w:gridCol w:w="1570"/>
        <w:gridCol w:w="1588"/>
      </w:tblGrid>
      <w:tr w:rsidR="00BA21D9" w:rsidRPr="0043730F" w:rsidTr="0063534E">
        <w:trPr>
          <w:trHeight w:val="510"/>
          <w:jc w:val="center"/>
        </w:trPr>
        <w:tc>
          <w:tcPr>
            <w:tcW w:w="4317" w:type="dxa"/>
            <w:vMerge w:val="restart"/>
            <w:tcBorders>
              <w:top w:val="single" w:sz="8" w:space="0" w:color="000000"/>
            </w:tcBorders>
            <w:shd w:val="clear" w:color="auto" w:fill="auto"/>
            <w:tcMar>
              <w:top w:w="15" w:type="dxa"/>
              <w:left w:w="108" w:type="dxa"/>
              <w:bottom w:w="0" w:type="dxa"/>
              <w:right w:w="108" w:type="dxa"/>
            </w:tcMar>
            <w:vAlign w:val="bottom"/>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sidRPr="004F4C26">
              <w:rPr>
                <w:color w:val="000000" w:themeColor="text1"/>
                <w:kern w:val="24"/>
                <w:sz w:val="20"/>
                <w:szCs w:val="20"/>
                <w:bdr w:val="none" w:sz="0" w:space="0" w:color="auto"/>
                <w:lang w:eastAsia="en-NZ"/>
              </w:rPr>
              <w:t> </w:t>
            </w:r>
          </w:p>
        </w:tc>
        <w:tc>
          <w:tcPr>
            <w:tcW w:w="4732" w:type="dxa"/>
            <w:gridSpan w:val="3"/>
            <w:tcBorders>
              <w:top w:val="single" w:sz="8" w:space="0" w:color="000000"/>
              <w:bottom w:val="single" w:sz="8" w:space="0" w:color="000000"/>
            </w:tcBorders>
            <w:shd w:val="clear" w:color="auto" w:fill="auto"/>
            <w:tcMar>
              <w:top w:w="15" w:type="dxa"/>
              <w:left w:w="108" w:type="dxa"/>
              <w:bottom w:w="0" w:type="dxa"/>
              <w:right w:w="108" w:type="dxa"/>
            </w:tcMar>
            <w:vAlign w:val="bottom"/>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 xml:space="preserve">Estimated Coefficients or Marginal </w:t>
            </w:r>
            <w:r w:rsidRPr="004F4C26">
              <w:rPr>
                <w:color w:val="000000" w:themeColor="text1"/>
                <w:kern w:val="24"/>
                <w:sz w:val="20"/>
                <w:szCs w:val="20"/>
                <w:bdr w:val="none" w:sz="0" w:space="0" w:color="auto"/>
                <w:lang w:eastAsia="en-NZ"/>
              </w:rPr>
              <w:t>Effect</w:t>
            </w:r>
            <w:r>
              <w:rPr>
                <w:color w:val="000000" w:themeColor="text1"/>
                <w:kern w:val="24"/>
                <w:sz w:val="20"/>
                <w:szCs w:val="20"/>
                <w:bdr w:val="none" w:sz="0" w:space="0" w:color="auto"/>
                <w:lang w:eastAsia="en-NZ"/>
              </w:rPr>
              <w:t>s</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Standard Errors in Parentheses</w:t>
            </w:r>
          </w:p>
        </w:tc>
      </w:tr>
      <w:tr w:rsidR="00BA21D9" w:rsidRPr="0043730F" w:rsidTr="0063534E">
        <w:trPr>
          <w:trHeight w:val="510"/>
          <w:jc w:val="center"/>
        </w:trPr>
        <w:tc>
          <w:tcPr>
            <w:tcW w:w="4317" w:type="dxa"/>
            <w:vMerge/>
            <w:tcBorders>
              <w:bottom w:val="single" w:sz="8" w:space="0" w:color="000000"/>
            </w:tcBorders>
            <w:shd w:val="clear" w:color="auto" w:fill="auto"/>
            <w:tcMar>
              <w:top w:w="15" w:type="dxa"/>
              <w:left w:w="108" w:type="dxa"/>
              <w:bottom w:w="0" w:type="dxa"/>
              <w:right w:w="108" w:type="dxa"/>
            </w:tcMar>
            <w:vAlign w:val="bottom"/>
            <w:hideMark/>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NZ" w:eastAsia="en-NZ"/>
              </w:rPr>
            </w:pPr>
          </w:p>
        </w:tc>
        <w:tc>
          <w:tcPr>
            <w:tcW w:w="1574" w:type="dxa"/>
            <w:tcBorders>
              <w:top w:val="single" w:sz="8" w:space="0" w:color="000000"/>
              <w:bottom w:val="single" w:sz="8" w:space="0" w:color="000000"/>
            </w:tcBorders>
            <w:shd w:val="clear" w:color="auto" w:fill="auto"/>
            <w:tcMar>
              <w:top w:w="15" w:type="dxa"/>
              <w:left w:w="108" w:type="dxa"/>
              <w:bottom w:w="0" w:type="dxa"/>
              <w:right w:w="108" w:type="dxa"/>
            </w:tcMar>
            <w:vAlign w:val="bottom"/>
            <w:hideMark/>
          </w:tcPr>
          <w:p w:rsidR="00BA21D9" w:rsidRPr="009D5E6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rPr>
            </w:pPr>
            <w:r w:rsidRPr="009D5E69">
              <w:rPr>
                <w:sz w:val="20"/>
                <w:szCs w:val="20"/>
              </w:rPr>
              <w:t>Naïve</w:t>
            </w:r>
          </w:p>
          <w:p w:rsidR="00BA21D9" w:rsidRPr="009D5E6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sidRPr="009D5E69">
              <w:rPr>
                <w:sz w:val="20"/>
                <w:szCs w:val="20"/>
              </w:rPr>
              <w:t>LPM</w:t>
            </w:r>
          </w:p>
        </w:tc>
        <w:tc>
          <w:tcPr>
            <w:tcW w:w="1570" w:type="dxa"/>
            <w:tcBorders>
              <w:top w:val="single" w:sz="8" w:space="0" w:color="000000"/>
              <w:bottom w:val="single" w:sz="8" w:space="0" w:color="000000"/>
            </w:tcBorders>
            <w:vAlign w:val="bottom"/>
          </w:tcPr>
          <w:p w:rsidR="00BA21D9" w:rsidRPr="009D5E6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sidRPr="009D5E69">
              <w:rPr>
                <w:color w:val="000000" w:themeColor="text1"/>
                <w:kern w:val="24"/>
                <w:sz w:val="20"/>
                <w:szCs w:val="20"/>
                <w:bdr w:val="none" w:sz="0" w:space="0" w:color="auto"/>
                <w:lang w:eastAsia="en-NZ"/>
              </w:rPr>
              <w:t>IV</w:t>
            </w:r>
          </w:p>
          <w:p w:rsidR="00BA21D9" w:rsidRPr="009D5E6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sidRPr="009D5E69">
              <w:rPr>
                <w:color w:val="000000" w:themeColor="text1"/>
                <w:kern w:val="24"/>
                <w:sz w:val="20"/>
                <w:szCs w:val="20"/>
                <w:bdr w:val="none" w:sz="0" w:space="0" w:color="auto"/>
                <w:lang w:eastAsia="en-NZ"/>
              </w:rPr>
              <w:t>LPM</w:t>
            </w:r>
          </w:p>
        </w:tc>
        <w:tc>
          <w:tcPr>
            <w:tcW w:w="1588" w:type="dxa"/>
            <w:tcBorders>
              <w:top w:val="single" w:sz="8" w:space="0" w:color="000000"/>
              <w:bottom w:val="single" w:sz="8" w:space="0" w:color="000000"/>
            </w:tcBorders>
            <w:vAlign w:val="bottom"/>
          </w:tcPr>
          <w:p w:rsidR="00BA21D9" w:rsidRPr="009D5E6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sidRPr="009D5E69">
              <w:rPr>
                <w:color w:val="000000" w:themeColor="text1"/>
                <w:kern w:val="24"/>
                <w:sz w:val="20"/>
                <w:szCs w:val="20"/>
                <w:bdr w:val="none" w:sz="0" w:space="0" w:color="auto"/>
                <w:lang w:eastAsia="en-NZ"/>
              </w:rPr>
              <w:t>IV</w:t>
            </w:r>
          </w:p>
          <w:p w:rsidR="00BA21D9" w:rsidRPr="009D5E6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sidRPr="009D5E69">
              <w:rPr>
                <w:color w:val="000000" w:themeColor="text1"/>
                <w:kern w:val="24"/>
                <w:sz w:val="20"/>
                <w:szCs w:val="20"/>
                <w:bdr w:val="none" w:sz="0" w:space="0" w:color="auto"/>
                <w:lang w:eastAsia="en-NZ"/>
              </w:rPr>
              <w:t>Probit</w:t>
            </w:r>
          </w:p>
        </w:tc>
      </w:tr>
      <w:tr w:rsidR="00BA21D9" w:rsidRPr="0043730F" w:rsidTr="0063534E">
        <w:trPr>
          <w:trHeight w:val="284"/>
          <w:jc w:val="center"/>
        </w:trPr>
        <w:tc>
          <w:tcPr>
            <w:tcW w:w="4317" w:type="dxa"/>
            <w:tcBorders>
              <w:top w:val="single" w:sz="8" w:space="0" w:color="000000"/>
            </w:tcBorders>
            <w:shd w:val="clear" w:color="auto" w:fill="auto"/>
            <w:tcMar>
              <w:top w:w="28" w:type="dxa"/>
              <w:left w:w="108" w:type="dxa"/>
              <w:bottom w:w="28" w:type="dxa"/>
              <w:right w:w="108" w:type="dxa"/>
            </w:tcMar>
            <w:vAlign w:val="center"/>
            <w:hideMark/>
          </w:tcPr>
          <w:p w:rsidR="00BA21D9" w:rsidRPr="00804AE3"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sz w:val="20"/>
                <w:szCs w:val="20"/>
                <w:bdr w:val="none" w:sz="0" w:space="0" w:color="auto"/>
                <w:lang w:val="en-NZ" w:eastAsia="en-NZ"/>
              </w:rPr>
            </w:pPr>
            <w:r w:rsidRPr="00804AE3">
              <w:rPr>
                <w:b/>
                <w:sz w:val="20"/>
                <w:szCs w:val="20"/>
                <w:lang w:val="en-NZ"/>
              </w:rPr>
              <w:t>Enrolled post-birth in TPU</w:t>
            </w:r>
          </w:p>
        </w:tc>
        <w:tc>
          <w:tcPr>
            <w:tcW w:w="1574" w:type="dxa"/>
            <w:tcBorders>
              <w:top w:val="single" w:sz="8" w:space="0" w:color="000000"/>
            </w:tcBorders>
            <w:shd w:val="clear" w:color="auto" w:fill="auto"/>
            <w:tcMar>
              <w:top w:w="28" w:type="dxa"/>
              <w:left w:w="108" w:type="dxa"/>
              <w:bottom w:w="28" w:type="dxa"/>
              <w:right w:w="108" w:type="dxa"/>
            </w:tcMar>
            <w:vAlign w:val="center"/>
            <w:hideMark/>
          </w:tcPr>
          <w:p w:rsidR="00BA21D9" w:rsidRPr="002A02F2"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sz w:val="20"/>
                <w:szCs w:val="20"/>
                <w:bdr w:val="none" w:sz="0" w:space="0" w:color="auto"/>
                <w:lang w:val="en-NZ" w:eastAsia="en-NZ"/>
              </w:rPr>
            </w:pPr>
            <w:r>
              <w:rPr>
                <w:b/>
                <w:color w:val="000000" w:themeColor="text1"/>
                <w:kern w:val="24"/>
                <w:sz w:val="20"/>
                <w:szCs w:val="20"/>
                <w:bdr w:val="none" w:sz="0" w:space="0" w:color="auto"/>
                <w:lang w:eastAsia="en-NZ"/>
              </w:rPr>
              <w:t xml:space="preserve">   0.169</w:t>
            </w:r>
            <w:r w:rsidRPr="00BB5B9D">
              <w:rPr>
                <w:color w:val="000000" w:themeColor="text1"/>
                <w:kern w:val="24"/>
                <w:sz w:val="20"/>
                <w:szCs w:val="20"/>
                <w:bdr w:val="none" w:sz="0" w:space="0" w:color="auto"/>
                <w:vertAlign w:val="superscript"/>
                <w:lang w:eastAsia="en-NZ"/>
              </w:rPr>
              <w:t>***</w:t>
            </w:r>
          </w:p>
          <w:p w:rsidR="00BA21D9" w:rsidRPr="002A02F2"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sz w:val="20"/>
                <w:szCs w:val="20"/>
                <w:bdr w:val="none" w:sz="0" w:space="0" w:color="auto"/>
                <w:lang w:val="en-NZ" w:eastAsia="en-NZ"/>
              </w:rPr>
            </w:pPr>
            <w:r>
              <w:rPr>
                <w:b/>
                <w:color w:val="000000" w:themeColor="text1"/>
                <w:kern w:val="24"/>
                <w:sz w:val="20"/>
                <w:szCs w:val="20"/>
                <w:bdr w:val="none" w:sz="0" w:space="0" w:color="auto"/>
                <w:lang w:eastAsia="en-NZ"/>
              </w:rPr>
              <w:t>(0.026</w:t>
            </w:r>
            <w:r w:rsidRPr="002A02F2">
              <w:rPr>
                <w:b/>
                <w:color w:val="000000" w:themeColor="text1"/>
                <w:kern w:val="24"/>
                <w:sz w:val="20"/>
                <w:szCs w:val="20"/>
                <w:bdr w:val="none" w:sz="0" w:space="0" w:color="auto"/>
                <w:lang w:eastAsia="en-NZ"/>
              </w:rPr>
              <w:t>)</w:t>
            </w:r>
          </w:p>
        </w:tc>
        <w:tc>
          <w:tcPr>
            <w:tcW w:w="1570" w:type="dxa"/>
            <w:tcBorders>
              <w:top w:val="single" w:sz="8" w:space="0" w:color="000000"/>
            </w:tcBorders>
            <w:shd w:val="clear" w:color="auto" w:fill="auto"/>
            <w:vAlign w:val="center"/>
          </w:tcPr>
          <w:p w:rsidR="00BA21D9" w:rsidRPr="002A02F2"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sz w:val="20"/>
                <w:szCs w:val="20"/>
                <w:bdr w:val="none" w:sz="0" w:space="0" w:color="auto"/>
                <w:lang w:val="en-NZ" w:eastAsia="en-NZ"/>
              </w:rPr>
            </w:pPr>
            <w:r>
              <w:rPr>
                <w:b/>
                <w:color w:val="000000" w:themeColor="text1"/>
                <w:kern w:val="24"/>
                <w:sz w:val="20"/>
                <w:szCs w:val="20"/>
                <w:bdr w:val="none" w:sz="0" w:space="0" w:color="auto"/>
                <w:lang w:eastAsia="en-NZ"/>
              </w:rPr>
              <w:t xml:space="preserve">  0.222</w:t>
            </w:r>
            <w:r>
              <w:rPr>
                <w:color w:val="000000" w:themeColor="text1"/>
                <w:kern w:val="24"/>
                <w:sz w:val="20"/>
                <w:szCs w:val="20"/>
                <w:bdr w:val="none" w:sz="0" w:space="0" w:color="auto"/>
                <w:vertAlign w:val="superscript"/>
                <w:lang w:eastAsia="en-NZ"/>
              </w:rPr>
              <w:t>*</w:t>
            </w:r>
            <w:r w:rsidRPr="00BB5B9D">
              <w:rPr>
                <w:color w:val="000000" w:themeColor="text1"/>
                <w:kern w:val="24"/>
                <w:sz w:val="20"/>
                <w:szCs w:val="20"/>
                <w:bdr w:val="none" w:sz="0" w:space="0" w:color="auto"/>
                <w:vertAlign w:val="superscript"/>
                <w:lang w:eastAsia="en-NZ"/>
              </w:rPr>
              <w:t>*</w:t>
            </w:r>
          </w:p>
          <w:p w:rsidR="00BA21D9" w:rsidRPr="002A02F2"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b/>
                <w:color w:val="000000" w:themeColor="text1"/>
                <w:kern w:val="24"/>
                <w:sz w:val="20"/>
                <w:szCs w:val="20"/>
                <w:bdr w:val="none" w:sz="0" w:space="0" w:color="auto"/>
                <w:lang w:eastAsia="en-NZ"/>
              </w:rPr>
            </w:pPr>
            <w:r>
              <w:rPr>
                <w:b/>
                <w:color w:val="000000" w:themeColor="text1"/>
                <w:kern w:val="24"/>
                <w:sz w:val="20"/>
                <w:szCs w:val="20"/>
                <w:bdr w:val="none" w:sz="0" w:space="0" w:color="auto"/>
                <w:lang w:eastAsia="en-NZ"/>
              </w:rPr>
              <w:t>(0.100</w:t>
            </w:r>
            <w:r w:rsidRPr="002A02F2">
              <w:rPr>
                <w:b/>
                <w:color w:val="000000" w:themeColor="text1"/>
                <w:kern w:val="24"/>
                <w:sz w:val="20"/>
                <w:szCs w:val="20"/>
                <w:bdr w:val="none" w:sz="0" w:space="0" w:color="auto"/>
                <w:lang w:eastAsia="en-NZ"/>
              </w:rPr>
              <w:t>)</w:t>
            </w:r>
          </w:p>
        </w:tc>
        <w:tc>
          <w:tcPr>
            <w:tcW w:w="1588" w:type="dxa"/>
            <w:tcBorders>
              <w:top w:val="single" w:sz="8" w:space="0" w:color="000000"/>
            </w:tcBorders>
            <w:shd w:val="clear" w:color="auto" w:fill="auto"/>
            <w:vAlign w:val="center"/>
          </w:tcPr>
          <w:p w:rsidR="00BA21D9" w:rsidRPr="002A02F2"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sz w:val="20"/>
                <w:szCs w:val="20"/>
                <w:bdr w:val="none" w:sz="0" w:space="0" w:color="auto"/>
                <w:lang w:val="en-NZ" w:eastAsia="en-NZ"/>
              </w:rPr>
            </w:pPr>
            <w:r>
              <w:rPr>
                <w:b/>
                <w:color w:val="000000" w:themeColor="text1"/>
                <w:kern w:val="24"/>
                <w:sz w:val="20"/>
                <w:szCs w:val="20"/>
                <w:bdr w:val="none" w:sz="0" w:space="0" w:color="auto"/>
                <w:lang w:eastAsia="en-NZ"/>
              </w:rPr>
              <w:t xml:space="preserve">  0.232</w:t>
            </w:r>
            <w:r>
              <w:rPr>
                <w:color w:val="000000" w:themeColor="text1"/>
                <w:kern w:val="24"/>
                <w:sz w:val="20"/>
                <w:szCs w:val="20"/>
                <w:bdr w:val="none" w:sz="0" w:space="0" w:color="auto"/>
                <w:vertAlign w:val="superscript"/>
                <w:lang w:eastAsia="en-NZ"/>
              </w:rPr>
              <w:t>*</w:t>
            </w:r>
            <w:r w:rsidRPr="00BB5B9D">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b/>
                <w:color w:val="000000" w:themeColor="text1"/>
                <w:kern w:val="24"/>
                <w:sz w:val="20"/>
                <w:szCs w:val="20"/>
                <w:bdr w:val="none" w:sz="0" w:space="0" w:color="auto"/>
                <w:lang w:eastAsia="en-NZ"/>
              </w:rPr>
            </w:pPr>
            <w:r>
              <w:rPr>
                <w:b/>
                <w:color w:val="000000" w:themeColor="text1"/>
                <w:kern w:val="24"/>
                <w:sz w:val="20"/>
                <w:szCs w:val="20"/>
                <w:bdr w:val="none" w:sz="0" w:space="0" w:color="auto"/>
                <w:lang w:eastAsia="en-NZ"/>
              </w:rPr>
              <w:t>(0.107</w:t>
            </w:r>
            <w:r w:rsidRPr="002A02F2">
              <w:rPr>
                <w:b/>
                <w:color w:val="000000" w:themeColor="text1"/>
                <w:kern w:val="24"/>
                <w:sz w:val="20"/>
                <w:szCs w:val="20"/>
                <w:bdr w:val="none" w:sz="0" w:space="0" w:color="auto"/>
                <w:lang w:eastAsia="en-NZ"/>
              </w:rPr>
              <w:t>)</w:t>
            </w:r>
          </w:p>
        </w:tc>
      </w:tr>
      <w:tr w:rsidR="00BA21D9" w:rsidRPr="0043730F" w:rsidTr="0063534E">
        <w:trPr>
          <w:trHeight w:val="284"/>
          <w:jc w:val="center"/>
        </w:trPr>
        <w:tc>
          <w:tcPr>
            <w:tcW w:w="4317" w:type="dxa"/>
            <w:shd w:val="clear" w:color="auto" w:fill="auto"/>
            <w:tcMar>
              <w:top w:w="28" w:type="dxa"/>
              <w:left w:w="108" w:type="dxa"/>
              <w:bottom w:w="28" w:type="dxa"/>
              <w:right w:w="108" w:type="dxa"/>
            </w:tcMar>
            <w:vAlign w:val="center"/>
            <w:hideMark/>
          </w:tcPr>
          <w:p w:rsidR="00BA21D9" w:rsidRPr="002A02F2"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sz w:val="20"/>
                <w:szCs w:val="20"/>
                <w:bdr w:val="none" w:sz="0" w:space="0" w:color="auto"/>
                <w:lang w:val="en-NZ" w:eastAsia="en-NZ"/>
              </w:rPr>
            </w:pPr>
            <w:r w:rsidRPr="004F4C26">
              <w:rPr>
                <w:color w:val="000000" w:themeColor="text1"/>
                <w:kern w:val="24"/>
                <w:sz w:val="20"/>
                <w:szCs w:val="20"/>
                <w:bdr w:val="none" w:sz="0" w:space="0" w:color="auto"/>
                <w:lang w:eastAsia="en-NZ"/>
              </w:rPr>
              <w:t>School enrolled at conception</w:t>
            </w:r>
          </w:p>
        </w:tc>
        <w:tc>
          <w:tcPr>
            <w:tcW w:w="1574" w:type="dxa"/>
            <w:shd w:val="clear" w:color="auto" w:fill="auto"/>
            <w:tcMar>
              <w:top w:w="28" w:type="dxa"/>
              <w:left w:w="108" w:type="dxa"/>
              <w:bottom w:w="28" w:type="dxa"/>
              <w:right w:w="108" w:type="dxa"/>
            </w:tcMar>
            <w:vAlign w:val="center"/>
            <w:hideMark/>
          </w:tcPr>
          <w:p w:rsidR="00BA21D9" w:rsidRPr="00804AE3"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lang w:val="en-NZ" w:eastAsia="en-NZ"/>
              </w:rPr>
            </w:pPr>
            <w:r>
              <w:rPr>
                <w:color w:val="000000" w:themeColor="text1"/>
                <w:kern w:val="24"/>
                <w:sz w:val="20"/>
                <w:szCs w:val="20"/>
                <w:bdr w:val="none" w:sz="0" w:space="0" w:color="auto"/>
                <w:lang w:eastAsia="en-NZ"/>
              </w:rPr>
              <w:t xml:space="preserve">   0.220</w:t>
            </w:r>
            <w:r w:rsidRPr="00804AE3">
              <w:rPr>
                <w:color w:val="000000" w:themeColor="text1"/>
                <w:kern w:val="24"/>
                <w:sz w:val="20"/>
                <w:szCs w:val="20"/>
                <w:bdr w:val="none" w:sz="0" w:space="0" w:color="auto"/>
                <w:vertAlign w:val="superscript"/>
                <w:lang w:eastAsia="en-NZ"/>
              </w:rPr>
              <w:t>***</w:t>
            </w:r>
          </w:p>
          <w:p w:rsidR="00BA21D9" w:rsidRPr="00804AE3"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rFonts w:eastAsia="Times New Roman"/>
                <w:sz w:val="20"/>
                <w:szCs w:val="20"/>
                <w:bdr w:val="none" w:sz="0" w:space="0" w:color="auto"/>
                <w:lang w:val="en-NZ" w:eastAsia="en-NZ"/>
              </w:rPr>
              <w:t>(0.028</w:t>
            </w:r>
            <w:r w:rsidRPr="00804AE3">
              <w:rPr>
                <w:rFonts w:eastAsia="Times New Roman"/>
                <w:sz w:val="20"/>
                <w:szCs w:val="20"/>
                <w:bdr w:val="none" w:sz="0" w:space="0" w:color="auto"/>
                <w:lang w:val="en-NZ" w:eastAsia="en-NZ"/>
              </w:rPr>
              <w:t>)</w:t>
            </w:r>
          </w:p>
        </w:tc>
        <w:tc>
          <w:tcPr>
            <w:tcW w:w="1570" w:type="dxa"/>
            <w:shd w:val="clear" w:color="auto" w:fill="auto"/>
            <w:vAlign w:val="center"/>
          </w:tcPr>
          <w:p w:rsidR="00BA21D9" w:rsidRPr="00804AE3"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lang w:val="en-NZ" w:eastAsia="en-NZ"/>
              </w:rPr>
            </w:pPr>
            <w:r>
              <w:rPr>
                <w:color w:val="000000" w:themeColor="text1"/>
                <w:kern w:val="24"/>
                <w:sz w:val="20"/>
                <w:szCs w:val="20"/>
                <w:bdr w:val="none" w:sz="0" w:space="0" w:color="auto"/>
                <w:lang w:eastAsia="en-NZ"/>
              </w:rPr>
              <w:t xml:space="preserve">   0.222</w:t>
            </w:r>
            <w:r w:rsidRPr="00804AE3">
              <w:rPr>
                <w:color w:val="000000" w:themeColor="text1"/>
                <w:kern w:val="24"/>
                <w:sz w:val="20"/>
                <w:szCs w:val="20"/>
                <w:bdr w:val="none" w:sz="0" w:space="0" w:color="auto"/>
                <w:vertAlign w:val="superscript"/>
                <w:lang w:eastAsia="en-NZ"/>
              </w:rPr>
              <w:t>*</w:t>
            </w:r>
            <w:r>
              <w:rPr>
                <w:color w:val="000000" w:themeColor="text1"/>
                <w:kern w:val="24"/>
                <w:sz w:val="20"/>
                <w:szCs w:val="20"/>
                <w:bdr w:val="none" w:sz="0" w:space="0" w:color="auto"/>
                <w:vertAlign w:val="superscript"/>
                <w:lang w:eastAsia="en-NZ"/>
              </w:rPr>
              <w:t>*</w:t>
            </w:r>
            <w:r w:rsidRPr="00804AE3">
              <w:rPr>
                <w:color w:val="000000" w:themeColor="text1"/>
                <w:kern w:val="24"/>
                <w:sz w:val="20"/>
                <w:szCs w:val="20"/>
                <w:bdr w:val="none" w:sz="0" w:space="0" w:color="auto"/>
                <w:vertAlign w:val="superscript"/>
                <w:lang w:eastAsia="en-NZ"/>
              </w:rPr>
              <w:t>*</w:t>
            </w:r>
          </w:p>
          <w:p w:rsidR="00BA21D9" w:rsidRPr="00804AE3"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sidRPr="00804AE3">
              <w:rPr>
                <w:rFonts w:eastAsia="Times New Roman"/>
                <w:sz w:val="20"/>
                <w:szCs w:val="20"/>
                <w:bdr w:val="none" w:sz="0" w:space="0" w:color="auto"/>
                <w:lang w:val="en-NZ" w:eastAsia="en-NZ"/>
              </w:rPr>
              <w:t>(0.028)</w:t>
            </w:r>
          </w:p>
        </w:tc>
        <w:tc>
          <w:tcPr>
            <w:tcW w:w="1588" w:type="dxa"/>
            <w:shd w:val="clear" w:color="auto" w:fill="auto"/>
            <w:vAlign w:val="center"/>
          </w:tcPr>
          <w:p w:rsidR="00BA21D9" w:rsidRPr="00804AE3"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lang w:val="en-NZ" w:eastAsia="en-NZ"/>
              </w:rPr>
            </w:pPr>
            <w:r>
              <w:rPr>
                <w:color w:val="000000" w:themeColor="text1"/>
                <w:kern w:val="24"/>
                <w:sz w:val="20"/>
                <w:szCs w:val="20"/>
                <w:bdr w:val="none" w:sz="0" w:space="0" w:color="auto"/>
                <w:lang w:eastAsia="en-NZ"/>
              </w:rPr>
              <w:t xml:space="preserve">   0.238</w:t>
            </w:r>
            <w:r w:rsidRPr="00804AE3">
              <w:rPr>
                <w:color w:val="000000" w:themeColor="text1"/>
                <w:kern w:val="24"/>
                <w:sz w:val="20"/>
                <w:szCs w:val="20"/>
                <w:bdr w:val="none" w:sz="0" w:space="0" w:color="auto"/>
                <w:vertAlign w:val="superscript"/>
                <w:lang w:eastAsia="en-NZ"/>
              </w:rPr>
              <w:t>*</w:t>
            </w:r>
            <w:r>
              <w:rPr>
                <w:color w:val="000000" w:themeColor="text1"/>
                <w:kern w:val="24"/>
                <w:sz w:val="20"/>
                <w:szCs w:val="20"/>
                <w:bdr w:val="none" w:sz="0" w:space="0" w:color="auto"/>
                <w:vertAlign w:val="superscript"/>
                <w:lang w:eastAsia="en-NZ"/>
              </w:rPr>
              <w:t>*</w:t>
            </w:r>
            <w:r w:rsidRPr="00804AE3">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b/>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(0.029</w:t>
            </w:r>
            <w:r w:rsidRPr="00804AE3">
              <w:rPr>
                <w:rFonts w:eastAsia="Times New Roman"/>
                <w:sz w:val="20"/>
                <w:szCs w:val="20"/>
                <w:bdr w:val="none" w:sz="0" w:space="0" w:color="auto"/>
                <w:lang w:val="en-NZ" w:eastAsia="en-NZ"/>
              </w:rPr>
              <w:t>)</w:t>
            </w:r>
          </w:p>
        </w:tc>
      </w:tr>
      <w:tr w:rsidR="00BA21D9" w:rsidRPr="0043730F" w:rsidTr="0063534E">
        <w:trPr>
          <w:trHeight w:val="284"/>
          <w:jc w:val="center"/>
        </w:trPr>
        <w:tc>
          <w:tcPr>
            <w:tcW w:w="4317"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European</w:t>
            </w:r>
          </w:p>
        </w:tc>
        <w:tc>
          <w:tcPr>
            <w:tcW w:w="1574"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102</w:t>
            </w:r>
            <w:r w:rsidRPr="001F3FFC">
              <w:rPr>
                <w:color w:val="000000" w:themeColor="text1"/>
                <w:kern w:val="24"/>
                <w:sz w:val="20"/>
                <w:szCs w:val="20"/>
                <w:bdr w:val="none" w:sz="0" w:space="0" w:color="auto"/>
                <w:vertAlign w:val="superscript"/>
                <w:lang w:eastAsia="en-NZ"/>
              </w:rPr>
              <w:t>*</w:t>
            </w:r>
            <w:r>
              <w:rPr>
                <w:color w:val="000000" w:themeColor="text1"/>
                <w:kern w:val="24"/>
                <w:sz w:val="20"/>
                <w:szCs w:val="20"/>
                <w:bdr w:val="none" w:sz="0" w:space="0" w:color="auto"/>
                <w:vertAlign w:val="superscript"/>
                <w:lang w:eastAsia="en-NZ"/>
              </w:rPr>
              <w:t>*</w:t>
            </w:r>
            <w:r w:rsidRPr="001F3FFC">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(0.039</w:t>
            </w:r>
            <w:r w:rsidRPr="001F3FFC">
              <w:rPr>
                <w:rFonts w:eastAsia="Times New Roman"/>
                <w:sz w:val="20"/>
                <w:szCs w:val="20"/>
                <w:bdr w:val="none" w:sz="0" w:space="0" w:color="auto"/>
                <w:lang w:val="en-NZ" w:eastAsia="en-NZ"/>
              </w:rPr>
              <w:t>)</w:t>
            </w:r>
          </w:p>
        </w:tc>
        <w:tc>
          <w:tcPr>
            <w:tcW w:w="1570"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104</w:t>
            </w:r>
            <w:r>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(0.039</w:t>
            </w:r>
            <w:r w:rsidRPr="001F3FFC">
              <w:rPr>
                <w:rFonts w:eastAsia="Times New Roman"/>
                <w:sz w:val="20"/>
                <w:szCs w:val="20"/>
                <w:bdr w:val="none" w:sz="0" w:space="0" w:color="auto"/>
                <w:lang w:val="en-NZ" w:eastAsia="en-NZ"/>
              </w:rPr>
              <w:t>)</w:t>
            </w:r>
          </w:p>
        </w:tc>
        <w:tc>
          <w:tcPr>
            <w:tcW w:w="1588"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111</w:t>
            </w:r>
            <w:r>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(0.044</w:t>
            </w:r>
            <w:r w:rsidRPr="001F3FFC">
              <w:rPr>
                <w:rFonts w:eastAsia="Times New Roman"/>
                <w:sz w:val="20"/>
                <w:szCs w:val="20"/>
                <w:bdr w:val="none" w:sz="0" w:space="0" w:color="auto"/>
                <w:lang w:val="en-NZ" w:eastAsia="en-NZ"/>
              </w:rPr>
              <w:t>)</w:t>
            </w:r>
          </w:p>
        </w:tc>
      </w:tr>
      <w:tr w:rsidR="00BA21D9" w:rsidRPr="0043730F" w:rsidTr="0063534E">
        <w:trPr>
          <w:trHeight w:val="284"/>
          <w:jc w:val="center"/>
        </w:trPr>
        <w:tc>
          <w:tcPr>
            <w:tcW w:w="4317"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Maori</w:t>
            </w:r>
          </w:p>
        </w:tc>
        <w:tc>
          <w:tcPr>
            <w:tcW w:w="1574"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002</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(0.038</w:t>
            </w:r>
            <w:r w:rsidRPr="001F3FFC">
              <w:rPr>
                <w:rFonts w:eastAsia="Times New Roman"/>
                <w:sz w:val="20"/>
                <w:szCs w:val="20"/>
                <w:bdr w:val="none" w:sz="0" w:space="0" w:color="auto"/>
                <w:lang w:val="en-NZ" w:eastAsia="en-NZ"/>
              </w:rPr>
              <w:t>)</w:t>
            </w:r>
          </w:p>
        </w:tc>
        <w:tc>
          <w:tcPr>
            <w:tcW w:w="1570"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001</w:t>
            </w:r>
          </w:p>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(0.038</w:t>
            </w:r>
            <w:r w:rsidRPr="001F3FFC">
              <w:rPr>
                <w:rFonts w:eastAsia="Times New Roman"/>
                <w:sz w:val="20"/>
                <w:szCs w:val="20"/>
                <w:bdr w:val="none" w:sz="0" w:space="0" w:color="auto"/>
                <w:lang w:val="en-NZ" w:eastAsia="en-NZ"/>
              </w:rPr>
              <w:t>)</w:t>
            </w:r>
          </w:p>
        </w:tc>
        <w:tc>
          <w:tcPr>
            <w:tcW w:w="1588"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002</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(0.043</w:t>
            </w:r>
            <w:r w:rsidRPr="001F3FFC">
              <w:rPr>
                <w:rFonts w:eastAsia="Times New Roman"/>
                <w:sz w:val="20"/>
                <w:szCs w:val="20"/>
                <w:bdr w:val="none" w:sz="0" w:space="0" w:color="auto"/>
                <w:lang w:val="en-NZ" w:eastAsia="en-NZ"/>
              </w:rPr>
              <w:t>)</w:t>
            </w:r>
          </w:p>
        </w:tc>
      </w:tr>
      <w:tr w:rsidR="00BA21D9" w:rsidRPr="0043730F" w:rsidTr="0063534E">
        <w:trPr>
          <w:trHeight w:val="284"/>
          <w:jc w:val="center"/>
        </w:trPr>
        <w:tc>
          <w:tcPr>
            <w:tcW w:w="4317" w:type="dxa"/>
            <w:shd w:val="clear" w:color="auto" w:fill="auto"/>
            <w:tcMar>
              <w:top w:w="28" w:type="dxa"/>
              <w:left w:w="108" w:type="dxa"/>
              <w:bottom w:w="28" w:type="dxa"/>
              <w:right w:w="108" w:type="dxa"/>
            </w:tcMar>
            <w:vAlign w:val="cente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Pacific</w:t>
            </w:r>
          </w:p>
        </w:tc>
        <w:tc>
          <w:tcPr>
            <w:tcW w:w="1574"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0</w:t>
            </w:r>
            <w:r w:rsidRPr="004F4C26">
              <w:rPr>
                <w:color w:val="000000" w:themeColor="text1"/>
                <w:kern w:val="24"/>
                <w:sz w:val="20"/>
                <w:szCs w:val="20"/>
                <w:bdr w:val="none" w:sz="0" w:space="0" w:color="auto"/>
                <w:lang w:eastAsia="en-NZ"/>
              </w:rPr>
              <w:t>.</w:t>
            </w:r>
            <w:r>
              <w:rPr>
                <w:color w:val="000000" w:themeColor="text1"/>
                <w:kern w:val="24"/>
                <w:sz w:val="20"/>
                <w:szCs w:val="20"/>
                <w:bdr w:val="none" w:sz="0" w:space="0" w:color="auto"/>
                <w:lang w:eastAsia="en-NZ"/>
              </w:rPr>
              <w:t>059</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(0.048</w:t>
            </w:r>
            <w:r w:rsidRPr="001F3FFC">
              <w:rPr>
                <w:rFonts w:eastAsia="Times New Roman"/>
                <w:sz w:val="20"/>
                <w:szCs w:val="20"/>
                <w:bdr w:val="none" w:sz="0" w:space="0" w:color="auto"/>
                <w:lang w:val="en-NZ" w:eastAsia="en-NZ"/>
              </w:rPr>
              <w:t>)</w:t>
            </w:r>
          </w:p>
        </w:tc>
        <w:tc>
          <w:tcPr>
            <w:tcW w:w="1570"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0</w:t>
            </w:r>
            <w:r w:rsidRPr="004F4C26">
              <w:rPr>
                <w:color w:val="000000" w:themeColor="text1"/>
                <w:kern w:val="24"/>
                <w:sz w:val="20"/>
                <w:szCs w:val="20"/>
                <w:bdr w:val="none" w:sz="0" w:space="0" w:color="auto"/>
                <w:lang w:eastAsia="en-NZ"/>
              </w:rPr>
              <w:t>.</w:t>
            </w:r>
            <w:r>
              <w:rPr>
                <w:color w:val="000000" w:themeColor="text1"/>
                <w:kern w:val="24"/>
                <w:sz w:val="20"/>
                <w:szCs w:val="20"/>
                <w:bdr w:val="none" w:sz="0" w:space="0" w:color="auto"/>
                <w:lang w:eastAsia="en-NZ"/>
              </w:rPr>
              <w:t>051</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(0.051</w:t>
            </w:r>
            <w:r w:rsidRPr="001F3FFC">
              <w:rPr>
                <w:rFonts w:eastAsia="Times New Roman"/>
                <w:sz w:val="20"/>
                <w:szCs w:val="20"/>
                <w:bdr w:val="none" w:sz="0" w:space="0" w:color="auto"/>
                <w:lang w:val="en-NZ" w:eastAsia="en-NZ"/>
              </w:rPr>
              <w:t>)</w:t>
            </w:r>
          </w:p>
        </w:tc>
        <w:tc>
          <w:tcPr>
            <w:tcW w:w="1588"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0</w:t>
            </w:r>
            <w:r w:rsidRPr="004F4C26">
              <w:rPr>
                <w:color w:val="000000" w:themeColor="text1"/>
                <w:kern w:val="24"/>
                <w:sz w:val="20"/>
                <w:szCs w:val="20"/>
                <w:bdr w:val="none" w:sz="0" w:space="0" w:color="auto"/>
                <w:lang w:eastAsia="en-NZ"/>
              </w:rPr>
              <w:t>.</w:t>
            </w:r>
            <w:r>
              <w:rPr>
                <w:color w:val="000000" w:themeColor="text1"/>
                <w:kern w:val="24"/>
                <w:sz w:val="20"/>
                <w:szCs w:val="20"/>
                <w:bdr w:val="none" w:sz="0" w:space="0" w:color="auto"/>
                <w:lang w:eastAsia="en-NZ"/>
              </w:rPr>
              <w:t>052</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(0.058</w:t>
            </w:r>
            <w:r w:rsidRPr="001F3FFC">
              <w:rPr>
                <w:rFonts w:eastAsia="Times New Roman"/>
                <w:sz w:val="20"/>
                <w:szCs w:val="20"/>
                <w:bdr w:val="none" w:sz="0" w:space="0" w:color="auto"/>
                <w:lang w:val="en-NZ" w:eastAsia="en-NZ"/>
              </w:rPr>
              <w:t>)</w:t>
            </w:r>
          </w:p>
        </w:tc>
      </w:tr>
      <w:tr w:rsidR="00BA21D9" w:rsidRPr="0043730F" w:rsidTr="0063534E">
        <w:trPr>
          <w:trHeight w:val="284"/>
          <w:jc w:val="center"/>
        </w:trPr>
        <w:tc>
          <w:tcPr>
            <w:tcW w:w="4317" w:type="dxa"/>
            <w:shd w:val="clear" w:color="auto" w:fill="auto"/>
            <w:tcMar>
              <w:top w:w="28" w:type="dxa"/>
              <w:left w:w="108" w:type="dxa"/>
              <w:bottom w:w="28" w:type="dxa"/>
              <w:right w:w="108" w:type="dxa"/>
            </w:tcMar>
            <w:vAlign w:val="cente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Asian</w:t>
            </w:r>
          </w:p>
        </w:tc>
        <w:tc>
          <w:tcPr>
            <w:tcW w:w="1574"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095</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(0.104</w:t>
            </w:r>
            <w:r w:rsidRPr="001F3FFC">
              <w:rPr>
                <w:rFonts w:eastAsia="Times New Roman"/>
                <w:sz w:val="20"/>
                <w:szCs w:val="20"/>
                <w:bdr w:val="none" w:sz="0" w:space="0" w:color="auto"/>
                <w:lang w:val="en-NZ" w:eastAsia="en-NZ"/>
              </w:rPr>
              <w:t>)</w:t>
            </w:r>
          </w:p>
        </w:tc>
        <w:tc>
          <w:tcPr>
            <w:tcW w:w="1570"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100</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(0.105</w:t>
            </w:r>
            <w:r w:rsidRPr="001F3FFC">
              <w:rPr>
                <w:rFonts w:eastAsia="Times New Roman"/>
                <w:sz w:val="20"/>
                <w:szCs w:val="20"/>
                <w:bdr w:val="none" w:sz="0" w:space="0" w:color="auto"/>
                <w:lang w:val="en-NZ" w:eastAsia="en-NZ"/>
              </w:rPr>
              <w:t>)</w:t>
            </w:r>
          </w:p>
        </w:tc>
        <w:tc>
          <w:tcPr>
            <w:tcW w:w="1588"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107</w:t>
            </w:r>
          </w:p>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(0.109</w:t>
            </w:r>
            <w:r w:rsidRPr="001F3FFC">
              <w:rPr>
                <w:rFonts w:eastAsia="Times New Roman"/>
                <w:sz w:val="20"/>
                <w:szCs w:val="20"/>
                <w:bdr w:val="none" w:sz="0" w:space="0" w:color="auto"/>
                <w:lang w:val="en-NZ" w:eastAsia="en-NZ"/>
              </w:rPr>
              <w:t>)</w:t>
            </w:r>
          </w:p>
        </w:tc>
      </w:tr>
      <w:tr w:rsidR="00BA21D9" w:rsidRPr="0043730F" w:rsidTr="0063534E">
        <w:trPr>
          <w:trHeight w:val="284"/>
          <w:jc w:val="center"/>
        </w:trPr>
        <w:tc>
          <w:tcPr>
            <w:tcW w:w="4317" w:type="dxa"/>
            <w:shd w:val="clear" w:color="auto" w:fill="auto"/>
            <w:tcMar>
              <w:top w:w="28" w:type="dxa"/>
              <w:left w:w="108" w:type="dxa"/>
              <w:bottom w:w="28" w:type="dxa"/>
              <w:right w:w="108" w:type="dxa"/>
            </w:tcMar>
            <w:vAlign w:val="cente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Other ethnicity</w:t>
            </w:r>
          </w:p>
        </w:tc>
        <w:tc>
          <w:tcPr>
            <w:tcW w:w="1574"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401</w:t>
            </w:r>
            <w:r w:rsidRPr="001F3FFC">
              <w:rPr>
                <w:color w:val="000000" w:themeColor="text1"/>
                <w:kern w:val="24"/>
                <w:sz w:val="20"/>
                <w:szCs w:val="20"/>
                <w:bdr w:val="none" w:sz="0" w:space="0" w:color="auto"/>
                <w:vertAlign w:val="superscript"/>
                <w:lang w:eastAsia="en-NZ"/>
              </w:rPr>
              <w:t>*</w:t>
            </w:r>
            <w:r>
              <w:rPr>
                <w:color w:val="000000" w:themeColor="text1"/>
                <w:kern w:val="24"/>
                <w:sz w:val="20"/>
                <w:szCs w:val="20"/>
                <w:bdr w:val="none" w:sz="0" w:space="0" w:color="auto"/>
                <w:vertAlign w:val="superscript"/>
                <w:lang w:eastAsia="en-NZ"/>
              </w:rPr>
              <w:t>*</w:t>
            </w:r>
            <w:r w:rsidRPr="001F3FFC">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(0.122</w:t>
            </w:r>
            <w:r w:rsidRPr="001F3FFC">
              <w:rPr>
                <w:rFonts w:eastAsia="Times New Roman"/>
                <w:sz w:val="20"/>
                <w:szCs w:val="20"/>
                <w:bdr w:val="none" w:sz="0" w:space="0" w:color="auto"/>
                <w:lang w:val="en-NZ" w:eastAsia="en-NZ"/>
              </w:rPr>
              <w:t>)</w:t>
            </w:r>
          </w:p>
        </w:tc>
        <w:tc>
          <w:tcPr>
            <w:tcW w:w="1570"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400</w:t>
            </w:r>
            <w:r w:rsidRPr="001F3FFC">
              <w:rPr>
                <w:color w:val="000000" w:themeColor="text1"/>
                <w:kern w:val="24"/>
                <w:sz w:val="20"/>
                <w:szCs w:val="20"/>
                <w:bdr w:val="none" w:sz="0" w:space="0" w:color="auto"/>
                <w:vertAlign w:val="superscript"/>
                <w:lang w:eastAsia="en-NZ"/>
              </w:rPr>
              <w:t>*</w:t>
            </w:r>
            <w:r>
              <w:rPr>
                <w:color w:val="000000" w:themeColor="text1"/>
                <w:kern w:val="24"/>
                <w:sz w:val="20"/>
                <w:szCs w:val="20"/>
                <w:bdr w:val="none" w:sz="0" w:space="0" w:color="auto"/>
                <w:vertAlign w:val="superscript"/>
                <w:lang w:eastAsia="en-NZ"/>
              </w:rPr>
              <w:t>*</w:t>
            </w:r>
            <w:r w:rsidRPr="001F3FFC">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(0.123</w:t>
            </w:r>
            <w:r w:rsidRPr="001F3FFC">
              <w:rPr>
                <w:rFonts w:eastAsia="Times New Roman"/>
                <w:sz w:val="20"/>
                <w:szCs w:val="20"/>
                <w:bdr w:val="none" w:sz="0" w:space="0" w:color="auto"/>
                <w:lang w:val="en-NZ" w:eastAsia="en-NZ"/>
              </w:rPr>
              <w:t>)</w:t>
            </w:r>
          </w:p>
        </w:tc>
        <w:tc>
          <w:tcPr>
            <w:tcW w:w="1588"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434</w:t>
            </w:r>
            <w:r w:rsidRPr="001F3FFC">
              <w:rPr>
                <w:color w:val="000000" w:themeColor="text1"/>
                <w:kern w:val="24"/>
                <w:sz w:val="20"/>
                <w:szCs w:val="20"/>
                <w:bdr w:val="none" w:sz="0" w:space="0" w:color="auto"/>
                <w:vertAlign w:val="superscript"/>
                <w:lang w:eastAsia="en-NZ"/>
              </w:rPr>
              <w:t>*</w:t>
            </w:r>
            <w:r>
              <w:rPr>
                <w:color w:val="000000" w:themeColor="text1"/>
                <w:kern w:val="24"/>
                <w:sz w:val="20"/>
                <w:szCs w:val="20"/>
                <w:bdr w:val="none" w:sz="0" w:space="0" w:color="auto"/>
                <w:vertAlign w:val="superscript"/>
                <w:lang w:eastAsia="en-NZ"/>
              </w:rPr>
              <w:t>*</w:t>
            </w:r>
            <w:r w:rsidRPr="001F3FFC">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(0.093</w:t>
            </w:r>
            <w:r w:rsidRPr="001F3FFC">
              <w:rPr>
                <w:rFonts w:eastAsia="Times New Roman"/>
                <w:sz w:val="20"/>
                <w:szCs w:val="20"/>
                <w:bdr w:val="none" w:sz="0" w:space="0" w:color="auto"/>
                <w:lang w:val="en-NZ" w:eastAsia="en-NZ"/>
              </w:rPr>
              <w:t>)</w:t>
            </w:r>
          </w:p>
        </w:tc>
      </w:tr>
      <w:tr w:rsidR="00BA21D9" w:rsidRPr="0043730F" w:rsidTr="0063534E">
        <w:trPr>
          <w:trHeight w:val="284"/>
          <w:jc w:val="center"/>
        </w:trPr>
        <w:tc>
          <w:tcPr>
            <w:tcW w:w="4317" w:type="dxa"/>
            <w:shd w:val="clear" w:color="auto" w:fill="auto"/>
            <w:tcMar>
              <w:top w:w="28" w:type="dxa"/>
              <w:left w:w="108" w:type="dxa"/>
              <w:bottom w:w="28" w:type="dxa"/>
              <w:right w:w="108" w:type="dxa"/>
            </w:tcMar>
            <w:vAlign w:val="cente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1992 birth cohort</w:t>
            </w:r>
          </w:p>
        </w:tc>
        <w:tc>
          <w:tcPr>
            <w:tcW w:w="1574"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040</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(0.034</w:t>
            </w:r>
            <w:r w:rsidRPr="001F3FFC">
              <w:rPr>
                <w:rFonts w:eastAsia="Times New Roman"/>
                <w:sz w:val="20"/>
                <w:szCs w:val="20"/>
                <w:bdr w:val="none" w:sz="0" w:space="0" w:color="auto"/>
                <w:lang w:val="en-NZ" w:eastAsia="en-NZ"/>
              </w:rPr>
              <w:t>)</w:t>
            </w:r>
          </w:p>
        </w:tc>
        <w:tc>
          <w:tcPr>
            <w:tcW w:w="1570"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038</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(0.034</w:t>
            </w:r>
            <w:r w:rsidRPr="001F3FFC">
              <w:rPr>
                <w:rFonts w:eastAsia="Times New Roman"/>
                <w:sz w:val="20"/>
                <w:szCs w:val="20"/>
                <w:bdr w:val="none" w:sz="0" w:space="0" w:color="auto"/>
                <w:lang w:val="en-NZ" w:eastAsia="en-NZ"/>
              </w:rPr>
              <w:t>)</w:t>
            </w:r>
          </w:p>
        </w:tc>
        <w:tc>
          <w:tcPr>
            <w:tcW w:w="1588"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046</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(0.038</w:t>
            </w:r>
            <w:r w:rsidRPr="001F3FFC">
              <w:rPr>
                <w:rFonts w:eastAsia="Times New Roman"/>
                <w:sz w:val="20"/>
                <w:szCs w:val="20"/>
                <w:bdr w:val="none" w:sz="0" w:space="0" w:color="auto"/>
                <w:lang w:val="en-NZ" w:eastAsia="en-NZ"/>
              </w:rPr>
              <w:t>)</w:t>
            </w:r>
          </w:p>
        </w:tc>
      </w:tr>
      <w:tr w:rsidR="00BA21D9" w:rsidRPr="0043730F" w:rsidTr="0063534E">
        <w:trPr>
          <w:trHeight w:val="284"/>
          <w:jc w:val="center"/>
        </w:trPr>
        <w:tc>
          <w:tcPr>
            <w:tcW w:w="4317" w:type="dxa"/>
            <w:shd w:val="clear" w:color="auto" w:fill="auto"/>
            <w:tcMar>
              <w:top w:w="28" w:type="dxa"/>
              <w:left w:w="108" w:type="dxa"/>
              <w:bottom w:w="28" w:type="dxa"/>
              <w:right w:w="108" w:type="dxa"/>
            </w:tcMar>
            <w:vAlign w:val="cente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1993 birth cohort</w:t>
            </w:r>
          </w:p>
        </w:tc>
        <w:tc>
          <w:tcPr>
            <w:tcW w:w="1574"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062</w:t>
            </w:r>
            <w:r w:rsidRPr="001F3FFC">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(0.035</w:t>
            </w:r>
            <w:r w:rsidRPr="001F3FFC">
              <w:rPr>
                <w:rFonts w:eastAsia="Times New Roman"/>
                <w:sz w:val="20"/>
                <w:szCs w:val="20"/>
                <w:bdr w:val="none" w:sz="0" w:space="0" w:color="auto"/>
                <w:lang w:val="en-NZ" w:eastAsia="en-NZ"/>
              </w:rPr>
              <w:t>)</w:t>
            </w:r>
          </w:p>
        </w:tc>
        <w:tc>
          <w:tcPr>
            <w:tcW w:w="1570"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061</w:t>
            </w:r>
            <w:r w:rsidRPr="001F3FFC">
              <w:rPr>
                <w:color w:val="000000" w:themeColor="text1"/>
                <w:kern w:val="24"/>
                <w:sz w:val="20"/>
                <w:szCs w:val="20"/>
                <w:bdr w:val="none" w:sz="0" w:space="0" w:color="auto"/>
                <w:vertAlign w:val="superscript"/>
                <w:lang w:eastAsia="en-NZ"/>
              </w:rPr>
              <w:t>*</w:t>
            </w:r>
          </w:p>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(0.034</w:t>
            </w:r>
            <w:r w:rsidRPr="001F3FFC">
              <w:rPr>
                <w:rFonts w:eastAsia="Times New Roman"/>
                <w:sz w:val="20"/>
                <w:szCs w:val="20"/>
                <w:bdr w:val="none" w:sz="0" w:space="0" w:color="auto"/>
                <w:lang w:val="en-NZ" w:eastAsia="en-NZ"/>
              </w:rPr>
              <w:t>)</w:t>
            </w:r>
          </w:p>
        </w:tc>
        <w:tc>
          <w:tcPr>
            <w:tcW w:w="1588"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071</w:t>
            </w:r>
            <w:r w:rsidRPr="001F3FFC">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(0.038</w:t>
            </w:r>
            <w:r w:rsidRPr="001F3FFC">
              <w:rPr>
                <w:rFonts w:eastAsia="Times New Roman"/>
                <w:sz w:val="20"/>
                <w:szCs w:val="20"/>
                <w:bdr w:val="none" w:sz="0" w:space="0" w:color="auto"/>
                <w:lang w:val="en-NZ" w:eastAsia="en-NZ"/>
              </w:rPr>
              <w:t>)</w:t>
            </w:r>
          </w:p>
        </w:tc>
      </w:tr>
      <w:tr w:rsidR="00BA21D9" w:rsidRPr="0043730F" w:rsidTr="0063534E">
        <w:trPr>
          <w:trHeight w:val="284"/>
          <w:jc w:val="center"/>
        </w:trPr>
        <w:tc>
          <w:tcPr>
            <w:tcW w:w="4317" w:type="dxa"/>
            <w:shd w:val="clear" w:color="auto" w:fill="auto"/>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sidRPr="0099559F">
              <w:rPr>
                <w:color w:val="000000" w:themeColor="text1"/>
                <w:kern w:val="24"/>
                <w:sz w:val="20"/>
                <w:szCs w:val="20"/>
                <w:bdr w:val="none" w:sz="0" w:space="0" w:color="auto"/>
                <w:lang w:eastAsia="en-NZ"/>
              </w:rPr>
              <w:t>1994 birth cohort</w:t>
            </w:r>
          </w:p>
        </w:tc>
        <w:tc>
          <w:tcPr>
            <w:tcW w:w="1574"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067</w:t>
            </w:r>
            <w:r w:rsidRPr="001F3FFC">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(0.038</w:t>
            </w:r>
            <w:r w:rsidRPr="001F3FFC">
              <w:rPr>
                <w:rFonts w:eastAsia="Times New Roman"/>
                <w:sz w:val="20"/>
                <w:szCs w:val="20"/>
                <w:bdr w:val="none" w:sz="0" w:space="0" w:color="auto"/>
                <w:lang w:val="en-NZ" w:eastAsia="en-NZ"/>
              </w:rPr>
              <w:t>)</w:t>
            </w:r>
          </w:p>
        </w:tc>
        <w:tc>
          <w:tcPr>
            <w:tcW w:w="1570"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068</w:t>
            </w:r>
            <w:r w:rsidRPr="001F3FFC">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(0.039</w:t>
            </w:r>
            <w:r w:rsidRPr="001F3FFC">
              <w:rPr>
                <w:rFonts w:eastAsia="Times New Roman"/>
                <w:sz w:val="20"/>
                <w:szCs w:val="20"/>
                <w:bdr w:val="none" w:sz="0" w:space="0" w:color="auto"/>
                <w:lang w:val="en-NZ" w:eastAsia="en-NZ"/>
              </w:rPr>
              <w:t>)</w:t>
            </w:r>
          </w:p>
        </w:tc>
        <w:tc>
          <w:tcPr>
            <w:tcW w:w="1588"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077</w:t>
            </w:r>
            <w:r w:rsidRPr="001F3FFC">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(0.042</w:t>
            </w:r>
            <w:r w:rsidRPr="001F3FFC">
              <w:rPr>
                <w:rFonts w:eastAsia="Times New Roman"/>
                <w:sz w:val="20"/>
                <w:szCs w:val="20"/>
                <w:bdr w:val="none" w:sz="0" w:space="0" w:color="auto"/>
                <w:lang w:val="en-NZ" w:eastAsia="en-NZ"/>
              </w:rPr>
              <w:t>)</w:t>
            </w:r>
          </w:p>
        </w:tc>
      </w:tr>
      <w:tr w:rsidR="00BA21D9" w:rsidRPr="0043730F" w:rsidTr="0063534E">
        <w:trPr>
          <w:trHeight w:val="284"/>
          <w:jc w:val="center"/>
        </w:trPr>
        <w:tc>
          <w:tcPr>
            <w:tcW w:w="4317" w:type="dxa"/>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sidRPr="0099559F">
              <w:rPr>
                <w:rFonts w:eastAsia="Times New Roman"/>
                <w:color w:val="000000"/>
                <w:sz w:val="20"/>
                <w:szCs w:val="20"/>
                <w:bdr w:val="none" w:sz="0" w:space="0" w:color="auto"/>
                <w:lang w:val="en-NZ" w:eastAsia="en-NZ"/>
              </w:rPr>
              <w:t xml:space="preserve">Minor urban area </w:t>
            </w:r>
          </w:p>
        </w:tc>
        <w:tc>
          <w:tcPr>
            <w:tcW w:w="1574"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004</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(0.039</w:t>
            </w:r>
            <w:r w:rsidRPr="001F3FFC">
              <w:rPr>
                <w:rFonts w:eastAsia="Times New Roman"/>
                <w:sz w:val="20"/>
                <w:szCs w:val="20"/>
                <w:bdr w:val="none" w:sz="0" w:space="0" w:color="auto"/>
                <w:lang w:val="en-NZ" w:eastAsia="en-NZ"/>
              </w:rPr>
              <w:t>)</w:t>
            </w:r>
          </w:p>
        </w:tc>
        <w:tc>
          <w:tcPr>
            <w:tcW w:w="1570"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009</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(0.045</w:t>
            </w:r>
            <w:r w:rsidRPr="001F3FFC">
              <w:rPr>
                <w:rFonts w:eastAsia="Times New Roman"/>
                <w:sz w:val="20"/>
                <w:szCs w:val="20"/>
                <w:bdr w:val="none" w:sz="0" w:space="0" w:color="auto"/>
                <w:lang w:val="en-NZ" w:eastAsia="en-NZ"/>
              </w:rPr>
              <w:t>)</w:t>
            </w:r>
          </w:p>
        </w:tc>
        <w:tc>
          <w:tcPr>
            <w:tcW w:w="1588"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007</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(0.051</w:t>
            </w:r>
            <w:r w:rsidRPr="001F3FFC">
              <w:rPr>
                <w:rFonts w:eastAsia="Times New Roman"/>
                <w:sz w:val="20"/>
                <w:szCs w:val="20"/>
                <w:bdr w:val="none" w:sz="0" w:space="0" w:color="auto"/>
                <w:lang w:val="en-NZ" w:eastAsia="en-NZ"/>
              </w:rPr>
              <w:t>)</w:t>
            </w:r>
          </w:p>
        </w:tc>
      </w:tr>
      <w:tr w:rsidR="00BA21D9" w:rsidRPr="0043730F" w:rsidTr="0063534E">
        <w:trPr>
          <w:trHeight w:val="284"/>
          <w:jc w:val="center"/>
        </w:trPr>
        <w:tc>
          <w:tcPr>
            <w:tcW w:w="4317" w:type="dxa"/>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sidRPr="0099559F">
              <w:rPr>
                <w:rFonts w:eastAsia="Times New Roman"/>
                <w:color w:val="000000"/>
                <w:sz w:val="20"/>
                <w:szCs w:val="20"/>
                <w:bdr w:val="none" w:sz="0" w:space="0" w:color="auto"/>
                <w:lang w:val="en-NZ" w:eastAsia="en-NZ"/>
              </w:rPr>
              <w:t>Secondary urban area</w:t>
            </w:r>
          </w:p>
        </w:tc>
        <w:tc>
          <w:tcPr>
            <w:tcW w:w="1574"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039</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(0.043</w:t>
            </w:r>
            <w:r w:rsidRPr="001F3FFC">
              <w:rPr>
                <w:rFonts w:eastAsia="Times New Roman"/>
                <w:sz w:val="20"/>
                <w:szCs w:val="20"/>
                <w:bdr w:val="none" w:sz="0" w:space="0" w:color="auto"/>
                <w:lang w:val="en-NZ" w:eastAsia="en-NZ"/>
              </w:rPr>
              <w:t>)</w:t>
            </w:r>
          </w:p>
        </w:tc>
        <w:tc>
          <w:tcPr>
            <w:tcW w:w="1570"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048</w:t>
            </w:r>
          </w:p>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(0.046</w:t>
            </w:r>
            <w:r w:rsidRPr="001F3FFC">
              <w:rPr>
                <w:rFonts w:eastAsia="Times New Roman"/>
                <w:sz w:val="20"/>
                <w:szCs w:val="20"/>
                <w:bdr w:val="none" w:sz="0" w:space="0" w:color="auto"/>
                <w:lang w:val="en-NZ" w:eastAsia="en-NZ"/>
              </w:rPr>
              <w:t>)</w:t>
            </w:r>
          </w:p>
        </w:tc>
        <w:tc>
          <w:tcPr>
            <w:tcW w:w="1588"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053</w:t>
            </w:r>
          </w:p>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(0.052</w:t>
            </w:r>
            <w:r w:rsidRPr="001F3FFC">
              <w:rPr>
                <w:rFonts w:eastAsia="Times New Roman"/>
                <w:sz w:val="20"/>
                <w:szCs w:val="20"/>
                <w:bdr w:val="none" w:sz="0" w:space="0" w:color="auto"/>
                <w:lang w:val="en-NZ" w:eastAsia="en-NZ"/>
              </w:rPr>
              <w:t>)</w:t>
            </w:r>
          </w:p>
        </w:tc>
      </w:tr>
      <w:tr w:rsidR="00BA21D9" w:rsidRPr="0043730F" w:rsidTr="0063534E">
        <w:trPr>
          <w:trHeight w:val="284"/>
          <w:jc w:val="center"/>
        </w:trPr>
        <w:tc>
          <w:tcPr>
            <w:tcW w:w="4317" w:type="dxa"/>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sidRPr="0099559F">
              <w:rPr>
                <w:rFonts w:eastAsia="Times New Roman"/>
                <w:color w:val="000000"/>
                <w:sz w:val="20"/>
                <w:szCs w:val="20"/>
                <w:bdr w:val="none" w:sz="0" w:space="0" w:color="auto"/>
                <w:lang w:val="en-NZ" w:eastAsia="en-NZ"/>
              </w:rPr>
              <w:t xml:space="preserve">Rural area </w:t>
            </w:r>
          </w:p>
        </w:tc>
        <w:tc>
          <w:tcPr>
            <w:tcW w:w="1574"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120</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(0.082</w:t>
            </w:r>
            <w:r w:rsidRPr="001F3FFC">
              <w:rPr>
                <w:rFonts w:eastAsia="Times New Roman"/>
                <w:sz w:val="20"/>
                <w:szCs w:val="20"/>
                <w:bdr w:val="none" w:sz="0" w:space="0" w:color="auto"/>
                <w:lang w:val="en-NZ" w:eastAsia="en-NZ"/>
              </w:rPr>
              <w:t>)</w:t>
            </w:r>
          </w:p>
        </w:tc>
        <w:tc>
          <w:tcPr>
            <w:tcW w:w="1570"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129</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(0.083</w:t>
            </w:r>
            <w:r w:rsidRPr="001F3FFC">
              <w:rPr>
                <w:rFonts w:eastAsia="Times New Roman"/>
                <w:sz w:val="20"/>
                <w:szCs w:val="20"/>
                <w:bdr w:val="none" w:sz="0" w:space="0" w:color="auto"/>
                <w:lang w:val="en-NZ" w:eastAsia="en-NZ"/>
              </w:rPr>
              <w:t>)</w:t>
            </w:r>
          </w:p>
        </w:tc>
        <w:tc>
          <w:tcPr>
            <w:tcW w:w="1588"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129</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(0.092</w:t>
            </w:r>
            <w:r w:rsidRPr="001F3FFC">
              <w:rPr>
                <w:rFonts w:eastAsia="Times New Roman"/>
                <w:sz w:val="20"/>
                <w:szCs w:val="20"/>
                <w:bdr w:val="none" w:sz="0" w:space="0" w:color="auto"/>
                <w:lang w:val="en-NZ" w:eastAsia="en-NZ"/>
              </w:rPr>
              <w:t>)</w:t>
            </w:r>
          </w:p>
        </w:tc>
      </w:tr>
      <w:tr w:rsidR="00BA21D9" w:rsidRPr="0043730F" w:rsidTr="0063534E">
        <w:trPr>
          <w:trHeight w:val="284"/>
          <w:jc w:val="center"/>
        </w:trPr>
        <w:tc>
          <w:tcPr>
            <w:tcW w:w="4317" w:type="dxa"/>
            <w:shd w:val="clear" w:color="auto" w:fill="auto"/>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sidRPr="0099559F">
              <w:rPr>
                <w:rFonts w:eastAsia="Times New Roman"/>
                <w:color w:val="000000"/>
                <w:sz w:val="20"/>
                <w:szCs w:val="20"/>
                <w:bdr w:val="none" w:sz="0" w:space="0" w:color="auto"/>
                <w:lang w:val="en-NZ" w:eastAsia="en-NZ"/>
              </w:rPr>
              <w:t>Rural/urban not applicable/missing</w:t>
            </w:r>
          </w:p>
        </w:tc>
        <w:tc>
          <w:tcPr>
            <w:tcW w:w="1574"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152</w:t>
            </w:r>
            <w:r w:rsidRPr="001F3FFC">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(0.089</w:t>
            </w:r>
            <w:r w:rsidRPr="001F3FFC">
              <w:rPr>
                <w:rFonts w:eastAsia="Times New Roman"/>
                <w:sz w:val="20"/>
                <w:szCs w:val="20"/>
                <w:bdr w:val="none" w:sz="0" w:space="0" w:color="auto"/>
                <w:lang w:val="en-NZ" w:eastAsia="en-NZ"/>
              </w:rPr>
              <w:t>)</w:t>
            </w:r>
          </w:p>
        </w:tc>
        <w:tc>
          <w:tcPr>
            <w:tcW w:w="1570"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127</w:t>
            </w:r>
          </w:p>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(0.100</w:t>
            </w:r>
            <w:r w:rsidRPr="001F3FFC">
              <w:rPr>
                <w:rFonts w:eastAsia="Times New Roman"/>
                <w:sz w:val="20"/>
                <w:szCs w:val="20"/>
                <w:bdr w:val="none" w:sz="0" w:space="0" w:color="auto"/>
                <w:lang w:val="en-NZ" w:eastAsia="en-NZ"/>
              </w:rPr>
              <w:t>)</w:t>
            </w:r>
          </w:p>
        </w:tc>
        <w:tc>
          <w:tcPr>
            <w:tcW w:w="1588"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188</w:t>
            </w:r>
            <w:r w:rsidRPr="001F3FFC">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(0.102</w:t>
            </w:r>
            <w:r w:rsidRPr="001F3FFC">
              <w:rPr>
                <w:rFonts w:eastAsia="Times New Roman"/>
                <w:sz w:val="20"/>
                <w:szCs w:val="20"/>
                <w:bdr w:val="none" w:sz="0" w:space="0" w:color="auto"/>
                <w:lang w:val="en-NZ" w:eastAsia="en-NZ"/>
              </w:rPr>
              <w:t>)</w:t>
            </w:r>
          </w:p>
        </w:tc>
      </w:tr>
      <w:tr w:rsidR="00BA21D9" w:rsidRPr="0043730F" w:rsidTr="0063534E">
        <w:trPr>
          <w:trHeight w:val="284"/>
          <w:jc w:val="center"/>
        </w:trPr>
        <w:tc>
          <w:tcPr>
            <w:tcW w:w="4317" w:type="dxa"/>
            <w:shd w:val="clear" w:color="auto" w:fill="auto"/>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sidRPr="0099559F">
              <w:rPr>
                <w:color w:val="000000" w:themeColor="text1"/>
                <w:kern w:val="24"/>
                <w:sz w:val="20"/>
                <w:szCs w:val="20"/>
                <w:bdr w:val="none" w:sz="0" w:space="0" w:color="auto"/>
                <w:lang w:eastAsia="en-NZ"/>
              </w:rPr>
              <w:t>Ever placed in CYF care</w:t>
            </w:r>
          </w:p>
        </w:tc>
        <w:tc>
          <w:tcPr>
            <w:tcW w:w="1574"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076</w:t>
            </w:r>
            <w:r>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(0.036</w:t>
            </w:r>
            <w:r w:rsidRPr="001F3FFC">
              <w:rPr>
                <w:rFonts w:eastAsia="Times New Roman"/>
                <w:sz w:val="20"/>
                <w:szCs w:val="20"/>
                <w:bdr w:val="none" w:sz="0" w:space="0" w:color="auto"/>
                <w:lang w:val="en-NZ" w:eastAsia="en-NZ"/>
              </w:rPr>
              <w:t>)</w:t>
            </w:r>
          </w:p>
        </w:tc>
        <w:tc>
          <w:tcPr>
            <w:tcW w:w="1570"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077</w:t>
            </w:r>
            <w:r>
              <w:rPr>
                <w:color w:val="000000" w:themeColor="text1"/>
                <w:kern w:val="24"/>
                <w:sz w:val="20"/>
                <w:szCs w:val="20"/>
                <w:bdr w:val="none" w:sz="0" w:space="0" w:color="auto"/>
                <w:vertAlign w:val="superscript"/>
                <w:lang w:eastAsia="en-NZ"/>
              </w:rPr>
              <w:t>**</w:t>
            </w:r>
          </w:p>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(0.036</w:t>
            </w:r>
            <w:r w:rsidRPr="001F3FFC">
              <w:rPr>
                <w:rFonts w:eastAsia="Times New Roman"/>
                <w:sz w:val="20"/>
                <w:szCs w:val="20"/>
                <w:bdr w:val="none" w:sz="0" w:space="0" w:color="auto"/>
                <w:lang w:val="en-NZ" w:eastAsia="en-NZ"/>
              </w:rPr>
              <w:t>)</w:t>
            </w:r>
          </w:p>
        </w:tc>
        <w:tc>
          <w:tcPr>
            <w:tcW w:w="1588"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093</w:t>
            </w:r>
            <w:r>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(0.040</w:t>
            </w:r>
            <w:r w:rsidRPr="001F3FFC">
              <w:rPr>
                <w:rFonts w:eastAsia="Times New Roman"/>
                <w:sz w:val="20"/>
                <w:szCs w:val="20"/>
                <w:bdr w:val="none" w:sz="0" w:space="0" w:color="auto"/>
                <w:lang w:val="en-NZ" w:eastAsia="en-NZ"/>
              </w:rPr>
              <w:t>)</w:t>
            </w:r>
          </w:p>
        </w:tc>
      </w:tr>
      <w:tr w:rsidR="00BA21D9" w:rsidRPr="0043730F" w:rsidTr="0063534E">
        <w:trPr>
          <w:trHeight w:val="284"/>
          <w:jc w:val="center"/>
        </w:trPr>
        <w:tc>
          <w:tcPr>
            <w:tcW w:w="4317" w:type="dxa"/>
            <w:shd w:val="clear" w:color="auto" w:fill="auto"/>
            <w:tcMar>
              <w:top w:w="28" w:type="dxa"/>
              <w:left w:w="108" w:type="dxa"/>
              <w:bottom w:w="28" w:type="dxa"/>
              <w:right w:w="108" w:type="dxa"/>
            </w:tcMar>
            <w:vAlign w:val="center"/>
          </w:tcPr>
          <w:p w:rsidR="00BA21D9" w:rsidRPr="0099559F" w:rsidRDefault="00BA21D9" w:rsidP="005575E4">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sidRPr="0099559F">
              <w:rPr>
                <w:color w:val="000000" w:themeColor="text1"/>
                <w:kern w:val="24"/>
                <w:sz w:val="20"/>
                <w:szCs w:val="20"/>
                <w:bdr w:val="none" w:sz="0" w:space="0" w:color="auto"/>
                <w:lang w:eastAsia="en-NZ"/>
              </w:rPr>
              <w:t xml:space="preserve">Ever </w:t>
            </w:r>
            <w:r w:rsidR="005575E4">
              <w:rPr>
                <w:color w:val="000000" w:themeColor="text1"/>
                <w:kern w:val="24"/>
                <w:sz w:val="20"/>
                <w:szCs w:val="20"/>
                <w:bdr w:val="none" w:sz="0" w:space="0" w:color="auto"/>
                <w:lang w:eastAsia="en-NZ"/>
              </w:rPr>
              <w:t>CYF Y</w:t>
            </w:r>
            <w:r w:rsidR="005575E4" w:rsidRPr="0099559F">
              <w:rPr>
                <w:color w:val="000000" w:themeColor="text1"/>
                <w:kern w:val="24"/>
                <w:sz w:val="20"/>
                <w:szCs w:val="20"/>
                <w:bdr w:val="none" w:sz="0" w:space="0" w:color="auto"/>
                <w:lang w:eastAsia="en-NZ"/>
              </w:rPr>
              <w:t xml:space="preserve">outh </w:t>
            </w:r>
            <w:r w:rsidR="005575E4">
              <w:rPr>
                <w:color w:val="000000" w:themeColor="text1"/>
                <w:kern w:val="24"/>
                <w:sz w:val="20"/>
                <w:szCs w:val="20"/>
                <w:bdr w:val="none" w:sz="0" w:space="0" w:color="auto"/>
                <w:lang w:eastAsia="en-NZ"/>
              </w:rPr>
              <w:t>J</w:t>
            </w:r>
            <w:r w:rsidR="005575E4" w:rsidRPr="0099559F">
              <w:rPr>
                <w:color w:val="000000" w:themeColor="text1"/>
                <w:kern w:val="24"/>
                <w:sz w:val="20"/>
                <w:szCs w:val="20"/>
                <w:bdr w:val="none" w:sz="0" w:space="0" w:color="auto"/>
                <w:lang w:eastAsia="en-NZ"/>
              </w:rPr>
              <w:t xml:space="preserve">ustice </w:t>
            </w:r>
            <w:r w:rsidRPr="0099559F">
              <w:rPr>
                <w:color w:val="000000" w:themeColor="text1"/>
                <w:kern w:val="24"/>
                <w:sz w:val="20"/>
                <w:szCs w:val="20"/>
                <w:bdr w:val="none" w:sz="0" w:space="0" w:color="auto"/>
                <w:lang w:eastAsia="en-NZ"/>
              </w:rPr>
              <w:t>involvement</w:t>
            </w:r>
          </w:p>
        </w:tc>
        <w:tc>
          <w:tcPr>
            <w:tcW w:w="1574"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137</w:t>
            </w:r>
            <w:r>
              <w:rPr>
                <w:color w:val="000000" w:themeColor="text1"/>
                <w:kern w:val="24"/>
                <w:sz w:val="20"/>
                <w:szCs w:val="20"/>
                <w:bdr w:val="none" w:sz="0" w:space="0" w:color="auto"/>
                <w:vertAlign w:val="superscript"/>
                <w:lang w:eastAsia="en-NZ"/>
              </w:rPr>
              <w:t>**</w:t>
            </w:r>
            <w:r w:rsidRPr="001F3FFC">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(0.036</w:t>
            </w:r>
            <w:r w:rsidRPr="001F3FFC">
              <w:rPr>
                <w:rFonts w:eastAsia="Times New Roman"/>
                <w:sz w:val="20"/>
                <w:szCs w:val="20"/>
                <w:bdr w:val="none" w:sz="0" w:space="0" w:color="auto"/>
                <w:lang w:val="en-NZ" w:eastAsia="en-NZ"/>
              </w:rPr>
              <w:t>)</w:t>
            </w:r>
          </w:p>
        </w:tc>
        <w:tc>
          <w:tcPr>
            <w:tcW w:w="1570"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138</w:t>
            </w:r>
            <w:r w:rsidRPr="001F3FFC">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(0.036</w:t>
            </w:r>
            <w:r w:rsidRPr="001F3FFC">
              <w:rPr>
                <w:rFonts w:eastAsia="Times New Roman"/>
                <w:sz w:val="20"/>
                <w:szCs w:val="20"/>
                <w:bdr w:val="none" w:sz="0" w:space="0" w:color="auto"/>
                <w:lang w:val="en-NZ" w:eastAsia="en-NZ"/>
              </w:rPr>
              <w:t>)</w:t>
            </w:r>
          </w:p>
        </w:tc>
        <w:tc>
          <w:tcPr>
            <w:tcW w:w="1588"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156</w:t>
            </w:r>
            <w:r w:rsidRPr="001F3FFC">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(0.038</w:t>
            </w:r>
            <w:r w:rsidRPr="001F3FFC">
              <w:rPr>
                <w:rFonts w:eastAsia="Times New Roman"/>
                <w:sz w:val="20"/>
                <w:szCs w:val="20"/>
                <w:bdr w:val="none" w:sz="0" w:space="0" w:color="auto"/>
                <w:lang w:val="en-NZ" w:eastAsia="en-NZ"/>
              </w:rPr>
              <w:t>)</w:t>
            </w:r>
          </w:p>
        </w:tc>
      </w:tr>
      <w:tr w:rsidR="00BA21D9" w:rsidRPr="0043730F" w:rsidTr="0063534E">
        <w:trPr>
          <w:trHeight w:val="284"/>
          <w:jc w:val="center"/>
        </w:trPr>
        <w:tc>
          <w:tcPr>
            <w:tcW w:w="4317" w:type="dxa"/>
            <w:shd w:val="clear" w:color="auto" w:fill="auto"/>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sidRPr="0099559F">
              <w:rPr>
                <w:color w:val="000000" w:themeColor="text1"/>
                <w:kern w:val="24"/>
                <w:sz w:val="20"/>
                <w:szCs w:val="20"/>
                <w:bdr w:val="none" w:sz="0" w:space="0" w:color="auto"/>
                <w:lang w:eastAsia="en-NZ"/>
              </w:rPr>
              <w:t>School in bottom three deciles</w:t>
            </w:r>
          </w:p>
        </w:tc>
        <w:tc>
          <w:tcPr>
            <w:tcW w:w="1574"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034</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(0.029</w:t>
            </w:r>
            <w:r w:rsidRPr="001F3FFC">
              <w:rPr>
                <w:rFonts w:eastAsia="Times New Roman"/>
                <w:sz w:val="20"/>
                <w:szCs w:val="20"/>
                <w:bdr w:val="none" w:sz="0" w:space="0" w:color="auto"/>
                <w:lang w:val="en-NZ" w:eastAsia="en-NZ"/>
              </w:rPr>
              <w:t>)</w:t>
            </w:r>
          </w:p>
        </w:tc>
        <w:tc>
          <w:tcPr>
            <w:tcW w:w="1570"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031</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(0.030</w:t>
            </w:r>
            <w:r w:rsidRPr="001F3FFC">
              <w:rPr>
                <w:rFonts w:eastAsia="Times New Roman"/>
                <w:sz w:val="20"/>
                <w:szCs w:val="20"/>
                <w:bdr w:val="none" w:sz="0" w:space="0" w:color="auto"/>
                <w:lang w:val="en-NZ" w:eastAsia="en-NZ"/>
              </w:rPr>
              <w:t>)</w:t>
            </w:r>
          </w:p>
        </w:tc>
        <w:tc>
          <w:tcPr>
            <w:tcW w:w="1588"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030</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(0.033</w:t>
            </w:r>
            <w:r w:rsidRPr="001F3FFC">
              <w:rPr>
                <w:rFonts w:eastAsia="Times New Roman"/>
                <w:sz w:val="20"/>
                <w:szCs w:val="20"/>
                <w:bdr w:val="none" w:sz="0" w:space="0" w:color="auto"/>
                <w:lang w:val="en-NZ" w:eastAsia="en-NZ"/>
              </w:rPr>
              <w:t>)</w:t>
            </w:r>
          </w:p>
        </w:tc>
      </w:tr>
      <w:tr w:rsidR="00BA21D9" w:rsidRPr="0043730F" w:rsidTr="0063534E">
        <w:trPr>
          <w:trHeight w:val="284"/>
          <w:jc w:val="center"/>
        </w:trPr>
        <w:tc>
          <w:tcPr>
            <w:tcW w:w="4317" w:type="dxa"/>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Pr>
                <w:rFonts w:eastAsia="Times New Roman"/>
                <w:color w:val="000000"/>
                <w:sz w:val="20"/>
                <w:szCs w:val="20"/>
                <w:bdr w:val="none" w:sz="0" w:space="0" w:color="auto"/>
                <w:lang w:val="en-NZ" w:eastAsia="en-NZ"/>
              </w:rPr>
              <w:t xml:space="preserve">South </w:t>
            </w:r>
            <w:r w:rsidRPr="0099559F">
              <w:rPr>
                <w:rFonts w:eastAsia="Times New Roman"/>
                <w:color w:val="000000"/>
                <w:sz w:val="20"/>
                <w:szCs w:val="20"/>
                <w:bdr w:val="none" w:sz="0" w:space="0" w:color="auto"/>
                <w:lang w:val="en-NZ" w:eastAsia="en-NZ"/>
              </w:rPr>
              <w:t xml:space="preserve">Auckland </w:t>
            </w:r>
            <w:r w:rsidR="008720EC">
              <w:rPr>
                <w:rFonts w:eastAsia="Times New Roman"/>
                <w:color w:val="000000"/>
                <w:sz w:val="20"/>
                <w:szCs w:val="20"/>
                <w:bdr w:val="none" w:sz="0" w:space="0" w:color="auto"/>
                <w:lang w:val="en-NZ" w:eastAsia="en-NZ"/>
              </w:rPr>
              <w:t>MoE</w:t>
            </w:r>
            <w:r w:rsidR="00DF661F">
              <w:rPr>
                <w:rFonts w:eastAsia="Times New Roman"/>
                <w:color w:val="000000"/>
                <w:sz w:val="20"/>
                <w:szCs w:val="20"/>
                <w:bdr w:val="none" w:sz="0" w:space="0" w:color="auto"/>
                <w:lang w:val="en-NZ" w:eastAsia="en-NZ"/>
              </w:rPr>
              <w:t xml:space="preserve"> </w:t>
            </w:r>
            <w:r w:rsidRPr="0099559F">
              <w:rPr>
                <w:rFonts w:eastAsia="Times New Roman"/>
                <w:color w:val="000000"/>
                <w:sz w:val="20"/>
                <w:szCs w:val="20"/>
                <w:bdr w:val="none" w:sz="0" w:space="0" w:color="auto"/>
                <w:lang w:val="en-NZ" w:eastAsia="en-NZ"/>
              </w:rPr>
              <w:t>office</w:t>
            </w:r>
          </w:p>
        </w:tc>
        <w:tc>
          <w:tcPr>
            <w:tcW w:w="1574"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044</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(0.054</w:t>
            </w:r>
            <w:r w:rsidRPr="001F3FFC">
              <w:rPr>
                <w:rFonts w:eastAsia="Times New Roman"/>
                <w:sz w:val="20"/>
                <w:szCs w:val="20"/>
                <w:bdr w:val="none" w:sz="0" w:space="0" w:color="auto"/>
                <w:lang w:val="en-NZ" w:eastAsia="en-NZ"/>
              </w:rPr>
              <w:t>)</w:t>
            </w:r>
          </w:p>
        </w:tc>
        <w:tc>
          <w:tcPr>
            <w:tcW w:w="1570"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035</w:t>
            </w:r>
          </w:p>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(0.057</w:t>
            </w:r>
            <w:r w:rsidRPr="001F3FFC">
              <w:rPr>
                <w:rFonts w:eastAsia="Times New Roman"/>
                <w:sz w:val="20"/>
                <w:szCs w:val="20"/>
                <w:bdr w:val="none" w:sz="0" w:space="0" w:color="auto"/>
                <w:lang w:val="en-NZ" w:eastAsia="en-NZ"/>
              </w:rPr>
              <w:t>)</w:t>
            </w:r>
          </w:p>
        </w:tc>
        <w:tc>
          <w:tcPr>
            <w:tcW w:w="1588"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036</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(0.062</w:t>
            </w:r>
            <w:r w:rsidRPr="001F3FFC">
              <w:rPr>
                <w:rFonts w:eastAsia="Times New Roman"/>
                <w:sz w:val="20"/>
                <w:szCs w:val="20"/>
                <w:bdr w:val="none" w:sz="0" w:space="0" w:color="auto"/>
                <w:lang w:val="en-NZ" w:eastAsia="en-NZ"/>
              </w:rPr>
              <w:t>)</w:t>
            </w:r>
          </w:p>
        </w:tc>
      </w:tr>
      <w:tr w:rsidR="00BA21D9" w:rsidRPr="0043730F" w:rsidTr="0063534E">
        <w:trPr>
          <w:trHeight w:val="284"/>
          <w:jc w:val="center"/>
        </w:trPr>
        <w:tc>
          <w:tcPr>
            <w:tcW w:w="4317" w:type="dxa"/>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sidRPr="0099559F">
              <w:rPr>
                <w:rFonts w:eastAsia="Times New Roman"/>
                <w:color w:val="000000"/>
                <w:sz w:val="20"/>
                <w:szCs w:val="20"/>
                <w:bdr w:val="none" w:sz="0" w:space="0" w:color="auto"/>
                <w:lang w:val="en-NZ" w:eastAsia="en-NZ"/>
              </w:rPr>
              <w:t xml:space="preserve">Christchurch </w:t>
            </w:r>
            <w:r w:rsidR="008720EC">
              <w:rPr>
                <w:rFonts w:eastAsia="Times New Roman"/>
                <w:color w:val="000000"/>
                <w:sz w:val="20"/>
                <w:szCs w:val="20"/>
                <w:bdr w:val="none" w:sz="0" w:space="0" w:color="auto"/>
                <w:lang w:val="en-NZ" w:eastAsia="en-NZ"/>
              </w:rPr>
              <w:t xml:space="preserve">MoE </w:t>
            </w:r>
            <w:r w:rsidRPr="0099559F">
              <w:rPr>
                <w:rFonts w:eastAsia="Times New Roman"/>
                <w:color w:val="000000"/>
                <w:sz w:val="20"/>
                <w:szCs w:val="20"/>
                <w:bdr w:val="none" w:sz="0" w:space="0" w:color="auto"/>
                <w:lang w:val="en-NZ" w:eastAsia="en-NZ"/>
              </w:rPr>
              <w:t>office</w:t>
            </w:r>
          </w:p>
        </w:tc>
        <w:tc>
          <w:tcPr>
            <w:tcW w:w="1574"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154</w:t>
            </w:r>
            <w:r w:rsidRPr="001F3FFC">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(0.054</w:t>
            </w:r>
            <w:r w:rsidRPr="001F3FFC">
              <w:rPr>
                <w:rFonts w:eastAsia="Times New Roman"/>
                <w:sz w:val="20"/>
                <w:szCs w:val="20"/>
                <w:bdr w:val="none" w:sz="0" w:space="0" w:color="auto"/>
                <w:lang w:val="en-NZ" w:eastAsia="en-NZ"/>
              </w:rPr>
              <w:t>)</w:t>
            </w:r>
          </w:p>
        </w:tc>
        <w:tc>
          <w:tcPr>
            <w:tcW w:w="1570"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164</w:t>
            </w:r>
            <w:r w:rsidRPr="001F3FFC">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(0.057</w:t>
            </w:r>
            <w:r w:rsidRPr="001F3FFC">
              <w:rPr>
                <w:rFonts w:eastAsia="Times New Roman"/>
                <w:sz w:val="20"/>
                <w:szCs w:val="20"/>
                <w:bdr w:val="none" w:sz="0" w:space="0" w:color="auto"/>
                <w:lang w:val="en-NZ" w:eastAsia="en-NZ"/>
              </w:rPr>
              <w:t>)</w:t>
            </w:r>
          </w:p>
        </w:tc>
        <w:tc>
          <w:tcPr>
            <w:tcW w:w="1588"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171</w:t>
            </w:r>
            <w:r w:rsidRPr="001F3FFC">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(0.056</w:t>
            </w:r>
            <w:r w:rsidRPr="001F3FFC">
              <w:rPr>
                <w:rFonts w:eastAsia="Times New Roman"/>
                <w:sz w:val="20"/>
                <w:szCs w:val="20"/>
                <w:bdr w:val="none" w:sz="0" w:space="0" w:color="auto"/>
                <w:lang w:val="en-NZ" w:eastAsia="en-NZ"/>
              </w:rPr>
              <w:t>)</w:t>
            </w:r>
          </w:p>
        </w:tc>
      </w:tr>
      <w:tr w:rsidR="00BA21D9" w:rsidRPr="0043730F" w:rsidTr="0063534E">
        <w:trPr>
          <w:trHeight w:val="284"/>
          <w:jc w:val="center"/>
        </w:trPr>
        <w:tc>
          <w:tcPr>
            <w:tcW w:w="4317" w:type="dxa"/>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sidRPr="0099559F">
              <w:rPr>
                <w:rFonts w:eastAsia="Times New Roman"/>
                <w:color w:val="000000"/>
                <w:sz w:val="20"/>
                <w:szCs w:val="20"/>
                <w:bdr w:val="none" w:sz="0" w:space="0" w:color="auto"/>
                <w:lang w:val="en-NZ" w:eastAsia="en-NZ"/>
              </w:rPr>
              <w:t xml:space="preserve">Dunedin </w:t>
            </w:r>
            <w:r w:rsidR="008720EC">
              <w:rPr>
                <w:rFonts w:eastAsia="Times New Roman"/>
                <w:color w:val="000000"/>
                <w:sz w:val="20"/>
                <w:szCs w:val="20"/>
                <w:bdr w:val="none" w:sz="0" w:space="0" w:color="auto"/>
                <w:lang w:val="en-NZ" w:eastAsia="en-NZ"/>
              </w:rPr>
              <w:t>MoE</w:t>
            </w:r>
            <w:r w:rsidR="00DF661F">
              <w:rPr>
                <w:rFonts w:eastAsia="Times New Roman"/>
                <w:color w:val="000000"/>
                <w:sz w:val="20"/>
                <w:szCs w:val="20"/>
                <w:bdr w:val="none" w:sz="0" w:space="0" w:color="auto"/>
                <w:lang w:val="en-NZ" w:eastAsia="en-NZ"/>
              </w:rPr>
              <w:t xml:space="preserve"> </w:t>
            </w:r>
            <w:r w:rsidRPr="0099559F">
              <w:rPr>
                <w:rFonts w:eastAsia="Times New Roman"/>
                <w:color w:val="000000"/>
                <w:sz w:val="20"/>
                <w:szCs w:val="20"/>
                <w:bdr w:val="none" w:sz="0" w:space="0" w:color="auto"/>
                <w:lang w:val="en-NZ" w:eastAsia="en-NZ"/>
              </w:rPr>
              <w:t>office</w:t>
            </w:r>
          </w:p>
        </w:tc>
        <w:tc>
          <w:tcPr>
            <w:tcW w:w="1574"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003</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(0.104</w:t>
            </w:r>
            <w:r w:rsidRPr="001F3FFC">
              <w:rPr>
                <w:rFonts w:eastAsia="Times New Roman"/>
                <w:sz w:val="20"/>
                <w:szCs w:val="20"/>
                <w:bdr w:val="none" w:sz="0" w:space="0" w:color="auto"/>
                <w:lang w:val="en-NZ" w:eastAsia="en-NZ"/>
              </w:rPr>
              <w:t>)</w:t>
            </w:r>
          </w:p>
        </w:tc>
        <w:tc>
          <w:tcPr>
            <w:tcW w:w="1570"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009</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(0.107</w:t>
            </w:r>
            <w:r w:rsidRPr="001F3FFC">
              <w:rPr>
                <w:rFonts w:eastAsia="Times New Roman"/>
                <w:sz w:val="20"/>
                <w:szCs w:val="20"/>
                <w:bdr w:val="none" w:sz="0" w:space="0" w:color="auto"/>
                <w:lang w:val="en-NZ" w:eastAsia="en-NZ"/>
              </w:rPr>
              <w:t>)</w:t>
            </w:r>
          </w:p>
        </w:tc>
        <w:tc>
          <w:tcPr>
            <w:tcW w:w="1588"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013</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(0.118</w:t>
            </w:r>
            <w:r w:rsidRPr="001F3FFC">
              <w:rPr>
                <w:rFonts w:eastAsia="Times New Roman"/>
                <w:sz w:val="20"/>
                <w:szCs w:val="20"/>
                <w:bdr w:val="none" w:sz="0" w:space="0" w:color="auto"/>
                <w:lang w:val="en-NZ" w:eastAsia="en-NZ"/>
              </w:rPr>
              <w:t>)</w:t>
            </w:r>
          </w:p>
        </w:tc>
      </w:tr>
      <w:tr w:rsidR="00BA21D9" w:rsidRPr="0043730F" w:rsidTr="0063534E">
        <w:trPr>
          <w:trHeight w:val="284"/>
          <w:jc w:val="center"/>
        </w:trPr>
        <w:tc>
          <w:tcPr>
            <w:tcW w:w="4317" w:type="dxa"/>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sidRPr="0099559F">
              <w:rPr>
                <w:rFonts w:eastAsia="Times New Roman"/>
                <w:color w:val="000000"/>
                <w:sz w:val="20"/>
                <w:szCs w:val="20"/>
                <w:bdr w:val="none" w:sz="0" w:space="0" w:color="auto"/>
                <w:lang w:val="en-NZ" w:eastAsia="en-NZ"/>
              </w:rPr>
              <w:t xml:space="preserve">Hamilton </w:t>
            </w:r>
            <w:r w:rsidR="008720EC">
              <w:rPr>
                <w:rFonts w:eastAsia="Times New Roman"/>
                <w:color w:val="000000"/>
                <w:sz w:val="20"/>
                <w:szCs w:val="20"/>
                <w:bdr w:val="none" w:sz="0" w:space="0" w:color="auto"/>
                <w:lang w:val="en-NZ" w:eastAsia="en-NZ"/>
              </w:rPr>
              <w:t xml:space="preserve">MoE </w:t>
            </w:r>
            <w:r w:rsidRPr="0099559F">
              <w:rPr>
                <w:rFonts w:eastAsia="Times New Roman"/>
                <w:color w:val="000000"/>
                <w:sz w:val="20"/>
                <w:szCs w:val="20"/>
                <w:bdr w:val="none" w:sz="0" w:space="0" w:color="auto"/>
                <w:lang w:val="en-NZ" w:eastAsia="en-NZ"/>
              </w:rPr>
              <w:t>office</w:t>
            </w:r>
          </w:p>
        </w:tc>
        <w:tc>
          <w:tcPr>
            <w:tcW w:w="1574"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071</w:t>
            </w:r>
          </w:p>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i/>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(0.049</w:t>
            </w:r>
            <w:r w:rsidRPr="001F3FFC">
              <w:rPr>
                <w:rFonts w:eastAsia="Times New Roman"/>
                <w:sz w:val="20"/>
                <w:szCs w:val="20"/>
                <w:bdr w:val="none" w:sz="0" w:space="0" w:color="auto"/>
                <w:lang w:val="en-NZ" w:eastAsia="en-NZ"/>
              </w:rPr>
              <w:t>)</w:t>
            </w:r>
          </w:p>
        </w:tc>
        <w:tc>
          <w:tcPr>
            <w:tcW w:w="1570"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072</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(0.049</w:t>
            </w:r>
            <w:r w:rsidRPr="001F3FFC">
              <w:rPr>
                <w:rFonts w:eastAsia="Times New Roman"/>
                <w:sz w:val="20"/>
                <w:szCs w:val="20"/>
                <w:bdr w:val="none" w:sz="0" w:space="0" w:color="auto"/>
                <w:lang w:val="en-NZ" w:eastAsia="en-NZ"/>
              </w:rPr>
              <w:t>)</w:t>
            </w:r>
          </w:p>
        </w:tc>
        <w:tc>
          <w:tcPr>
            <w:tcW w:w="1588"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071</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(0.053</w:t>
            </w:r>
            <w:r w:rsidRPr="001F3FFC">
              <w:rPr>
                <w:rFonts w:eastAsia="Times New Roman"/>
                <w:sz w:val="20"/>
                <w:szCs w:val="20"/>
                <w:bdr w:val="none" w:sz="0" w:space="0" w:color="auto"/>
                <w:lang w:val="en-NZ" w:eastAsia="en-NZ"/>
              </w:rPr>
              <w:t>)</w:t>
            </w:r>
          </w:p>
        </w:tc>
      </w:tr>
    </w:tbl>
    <w:p w:rsidR="00BA21D9" w:rsidRDefault="00BA21D9" w:rsidP="00BA21D9">
      <w:pPr>
        <w:rPr>
          <w:color w:val="FF0000"/>
          <w:sz w:val="22"/>
          <w:szCs w:val="22"/>
        </w:rPr>
      </w:pPr>
    </w:p>
    <w:p w:rsidR="00C508A3" w:rsidRDefault="00C508A3" w:rsidP="00BA21D9">
      <w:pPr>
        <w:jc w:val="center"/>
        <w:rPr>
          <w:i/>
          <w:sz w:val="20"/>
          <w:szCs w:val="20"/>
        </w:rPr>
      </w:pPr>
    </w:p>
    <w:p w:rsidR="006C39FE" w:rsidRDefault="006C39FE" w:rsidP="00BA21D9">
      <w:pPr>
        <w:jc w:val="center"/>
        <w:rPr>
          <w:i/>
          <w:sz w:val="20"/>
          <w:szCs w:val="20"/>
        </w:rPr>
      </w:pPr>
    </w:p>
    <w:p w:rsidR="00BA21D9" w:rsidRPr="0099559F" w:rsidRDefault="00EB1E61" w:rsidP="00BA21D9">
      <w:pPr>
        <w:jc w:val="center"/>
        <w:rPr>
          <w:i/>
          <w:sz w:val="20"/>
          <w:szCs w:val="20"/>
        </w:rPr>
      </w:pPr>
      <w:r>
        <w:rPr>
          <w:i/>
          <w:sz w:val="20"/>
          <w:szCs w:val="20"/>
        </w:rPr>
        <w:t xml:space="preserve">Appendix </w:t>
      </w:r>
      <w:r w:rsidR="00BA21D9">
        <w:rPr>
          <w:i/>
          <w:sz w:val="20"/>
          <w:szCs w:val="20"/>
        </w:rPr>
        <w:t xml:space="preserve">Table </w:t>
      </w:r>
      <w:r>
        <w:rPr>
          <w:i/>
          <w:sz w:val="20"/>
          <w:szCs w:val="20"/>
        </w:rPr>
        <w:t>5</w:t>
      </w:r>
      <w:r w:rsidR="006C39FE">
        <w:rPr>
          <w:i/>
          <w:sz w:val="20"/>
          <w:szCs w:val="20"/>
        </w:rPr>
        <w:t>A</w:t>
      </w:r>
      <w:r w:rsidR="00BA21D9" w:rsidRPr="0099559F">
        <w:rPr>
          <w:i/>
          <w:sz w:val="20"/>
          <w:szCs w:val="20"/>
        </w:rPr>
        <w:t xml:space="preserve"> </w:t>
      </w:r>
      <w:r>
        <w:rPr>
          <w:i/>
          <w:sz w:val="20"/>
          <w:szCs w:val="20"/>
        </w:rPr>
        <w:t>c</w:t>
      </w:r>
      <w:r w:rsidR="00BA21D9" w:rsidRPr="0099559F">
        <w:rPr>
          <w:i/>
          <w:sz w:val="20"/>
          <w:szCs w:val="20"/>
        </w:rPr>
        <w:t>ontinued</w:t>
      </w:r>
    </w:p>
    <w:tbl>
      <w:tblPr>
        <w:tblW w:w="9047" w:type="dxa"/>
        <w:jc w:val="center"/>
        <w:tblBorders>
          <w:top w:val="single" w:sz="4" w:space="0" w:color="auto"/>
          <w:bottom w:val="single" w:sz="4" w:space="0" w:color="auto"/>
          <w:insideH w:val="single" w:sz="4" w:space="0" w:color="auto"/>
        </w:tblBorders>
        <w:tblLayout w:type="fixed"/>
        <w:tblCellMar>
          <w:left w:w="0" w:type="dxa"/>
          <w:right w:w="0" w:type="dxa"/>
        </w:tblCellMar>
        <w:tblLook w:val="0600" w:firstRow="0" w:lastRow="0" w:firstColumn="0" w:lastColumn="0" w:noHBand="1" w:noVBand="1"/>
      </w:tblPr>
      <w:tblGrid>
        <w:gridCol w:w="4310"/>
        <w:gridCol w:w="1576"/>
        <w:gridCol w:w="1573"/>
        <w:gridCol w:w="1588"/>
      </w:tblGrid>
      <w:tr w:rsidR="00BA21D9" w:rsidRPr="0043730F" w:rsidTr="0063534E">
        <w:trPr>
          <w:trHeight w:val="284"/>
          <w:jc w:val="center"/>
        </w:trPr>
        <w:tc>
          <w:tcPr>
            <w:tcW w:w="4310" w:type="dxa"/>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br w:type="page"/>
            </w:r>
            <w:r w:rsidRPr="0099559F">
              <w:rPr>
                <w:rFonts w:eastAsia="Times New Roman"/>
                <w:color w:val="000000"/>
                <w:sz w:val="20"/>
                <w:szCs w:val="20"/>
                <w:bdr w:val="none" w:sz="0" w:space="0" w:color="auto"/>
                <w:lang w:val="en-NZ" w:eastAsia="en-NZ"/>
              </w:rPr>
              <w:t xml:space="preserve">Invercargill </w:t>
            </w:r>
            <w:r w:rsidR="008720EC">
              <w:rPr>
                <w:rFonts w:eastAsia="Times New Roman"/>
                <w:color w:val="000000"/>
                <w:sz w:val="20"/>
                <w:szCs w:val="20"/>
                <w:bdr w:val="none" w:sz="0" w:space="0" w:color="auto"/>
                <w:lang w:val="en-NZ" w:eastAsia="en-NZ"/>
              </w:rPr>
              <w:t xml:space="preserve">MoE </w:t>
            </w:r>
            <w:r w:rsidRPr="0099559F">
              <w:rPr>
                <w:rFonts w:eastAsia="Times New Roman"/>
                <w:color w:val="000000"/>
                <w:sz w:val="20"/>
                <w:szCs w:val="20"/>
                <w:bdr w:val="none" w:sz="0" w:space="0" w:color="auto"/>
                <w:lang w:val="en-NZ" w:eastAsia="en-NZ"/>
              </w:rPr>
              <w:t>office</w:t>
            </w:r>
          </w:p>
        </w:tc>
        <w:tc>
          <w:tcPr>
            <w:tcW w:w="1576"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093</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(0.081</w:t>
            </w:r>
            <w:r w:rsidRPr="001F3FFC">
              <w:rPr>
                <w:rFonts w:eastAsia="Times New Roman"/>
                <w:sz w:val="20"/>
                <w:szCs w:val="20"/>
                <w:bdr w:val="none" w:sz="0" w:space="0" w:color="auto"/>
                <w:lang w:val="en-NZ" w:eastAsia="en-NZ"/>
              </w:rPr>
              <w:t>)</w:t>
            </w:r>
          </w:p>
        </w:tc>
        <w:tc>
          <w:tcPr>
            <w:tcW w:w="1573"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104</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(0.083</w:t>
            </w:r>
            <w:r w:rsidRPr="001F3FFC">
              <w:rPr>
                <w:rFonts w:eastAsia="Times New Roman"/>
                <w:sz w:val="20"/>
                <w:szCs w:val="20"/>
                <w:bdr w:val="none" w:sz="0" w:space="0" w:color="auto"/>
                <w:lang w:val="en-NZ" w:eastAsia="en-NZ"/>
              </w:rPr>
              <w:t>)</w:t>
            </w:r>
          </w:p>
        </w:tc>
        <w:tc>
          <w:tcPr>
            <w:tcW w:w="1588"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098</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(0.085</w:t>
            </w:r>
            <w:r w:rsidRPr="001F3FFC">
              <w:rPr>
                <w:rFonts w:eastAsia="Times New Roman"/>
                <w:sz w:val="20"/>
                <w:szCs w:val="20"/>
                <w:bdr w:val="none" w:sz="0" w:space="0" w:color="auto"/>
                <w:lang w:val="en-NZ" w:eastAsia="en-NZ"/>
              </w:rPr>
              <w:t>)</w:t>
            </w:r>
          </w:p>
        </w:tc>
      </w:tr>
      <w:tr w:rsidR="00BA21D9" w:rsidRPr="0043730F" w:rsidTr="0063534E">
        <w:trPr>
          <w:trHeight w:val="284"/>
          <w:jc w:val="center"/>
        </w:trPr>
        <w:tc>
          <w:tcPr>
            <w:tcW w:w="4310" w:type="dxa"/>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sidRPr="0099559F">
              <w:rPr>
                <w:rFonts w:eastAsia="Times New Roman"/>
                <w:color w:val="000000"/>
                <w:sz w:val="20"/>
                <w:szCs w:val="20"/>
                <w:bdr w:val="none" w:sz="0" w:space="0" w:color="auto"/>
                <w:lang w:val="en-NZ" w:eastAsia="en-NZ"/>
              </w:rPr>
              <w:t xml:space="preserve">Napier </w:t>
            </w:r>
            <w:r w:rsidR="008720EC">
              <w:rPr>
                <w:rFonts w:eastAsia="Times New Roman"/>
                <w:color w:val="000000"/>
                <w:sz w:val="20"/>
                <w:szCs w:val="20"/>
                <w:bdr w:val="none" w:sz="0" w:space="0" w:color="auto"/>
                <w:lang w:val="en-NZ" w:eastAsia="en-NZ"/>
              </w:rPr>
              <w:t xml:space="preserve">MoE </w:t>
            </w:r>
            <w:r w:rsidRPr="0099559F">
              <w:rPr>
                <w:rFonts w:eastAsia="Times New Roman"/>
                <w:color w:val="000000"/>
                <w:sz w:val="20"/>
                <w:szCs w:val="20"/>
                <w:bdr w:val="none" w:sz="0" w:space="0" w:color="auto"/>
                <w:lang w:val="en-NZ" w:eastAsia="en-NZ"/>
              </w:rPr>
              <w:t>office</w:t>
            </w:r>
          </w:p>
        </w:tc>
        <w:tc>
          <w:tcPr>
            <w:tcW w:w="1576"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003</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(0.053</w:t>
            </w:r>
            <w:r w:rsidRPr="001F3FFC">
              <w:rPr>
                <w:rFonts w:eastAsia="Times New Roman"/>
                <w:sz w:val="20"/>
                <w:szCs w:val="20"/>
                <w:bdr w:val="none" w:sz="0" w:space="0" w:color="auto"/>
                <w:lang w:val="en-NZ" w:eastAsia="en-NZ"/>
              </w:rPr>
              <w:t>)</w:t>
            </w:r>
          </w:p>
        </w:tc>
        <w:tc>
          <w:tcPr>
            <w:tcW w:w="1573"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012</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(0.060</w:t>
            </w:r>
            <w:r w:rsidRPr="001F3FFC">
              <w:rPr>
                <w:rFonts w:eastAsia="Times New Roman"/>
                <w:sz w:val="20"/>
                <w:szCs w:val="20"/>
                <w:bdr w:val="none" w:sz="0" w:space="0" w:color="auto"/>
                <w:lang w:val="en-NZ" w:eastAsia="en-NZ"/>
              </w:rPr>
              <w:t>)</w:t>
            </w:r>
          </w:p>
        </w:tc>
        <w:tc>
          <w:tcPr>
            <w:tcW w:w="1588"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008</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(0.067</w:t>
            </w:r>
            <w:r w:rsidRPr="001F3FFC">
              <w:rPr>
                <w:rFonts w:eastAsia="Times New Roman"/>
                <w:sz w:val="20"/>
                <w:szCs w:val="20"/>
                <w:bdr w:val="none" w:sz="0" w:space="0" w:color="auto"/>
                <w:lang w:val="en-NZ" w:eastAsia="en-NZ"/>
              </w:rPr>
              <w:t>)</w:t>
            </w:r>
          </w:p>
        </w:tc>
      </w:tr>
      <w:tr w:rsidR="00BA21D9" w:rsidRPr="0043730F" w:rsidTr="0063534E">
        <w:trPr>
          <w:trHeight w:val="284"/>
          <w:jc w:val="center"/>
        </w:trPr>
        <w:tc>
          <w:tcPr>
            <w:tcW w:w="4310" w:type="dxa"/>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sidRPr="0099559F">
              <w:rPr>
                <w:rFonts w:eastAsia="Times New Roman"/>
                <w:color w:val="000000"/>
                <w:sz w:val="20"/>
                <w:szCs w:val="20"/>
                <w:bdr w:val="none" w:sz="0" w:space="0" w:color="auto"/>
                <w:lang w:val="en-NZ" w:eastAsia="en-NZ"/>
              </w:rPr>
              <w:t xml:space="preserve">Nelson </w:t>
            </w:r>
            <w:r w:rsidR="008720EC">
              <w:rPr>
                <w:rFonts w:eastAsia="Times New Roman"/>
                <w:color w:val="000000"/>
                <w:sz w:val="20"/>
                <w:szCs w:val="20"/>
                <w:bdr w:val="none" w:sz="0" w:space="0" w:color="auto"/>
                <w:lang w:val="en-NZ" w:eastAsia="en-NZ"/>
              </w:rPr>
              <w:t xml:space="preserve">MoE </w:t>
            </w:r>
            <w:r w:rsidRPr="0099559F">
              <w:rPr>
                <w:rFonts w:eastAsia="Times New Roman"/>
                <w:color w:val="000000"/>
                <w:sz w:val="20"/>
                <w:szCs w:val="20"/>
                <w:bdr w:val="none" w:sz="0" w:space="0" w:color="auto"/>
                <w:lang w:val="en-NZ" w:eastAsia="en-NZ"/>
              </w:rPr>
              <w:t>office</w:t>
            </w:r>
          </w:p>
        </w:tc>
        <w:tc>
          <w:tcPr>
            <w:tcW w:w="1576"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087</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(0.084</w:t>
            </w:r>
            <w:r w:rsidRPr="001F3FFC">
              <w:rPr>
                <w:rFonts w:eastAsia="Times New Roman"/>
                <w:sz w:val="20"/>
                <w:szCs w:val="20"/>
                <w:bdr w:val="none" w:sz="0" w:space="0" w:color="auto"/>
                <w:lang w:val="en-NZ" w:eastAsia="en-NZ"/>
              </w:rPr>
              <w:t>)</w:t>
            </w:r>
          </w:p>
        </w:tc>
        <w:tc>
          <w:tcPr>
            <w:tcW w:w="1573"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073</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(0.088</w:t>
            </w:r>
            <w:r w:rsidRPr="001F3FFC">
              <w:rPr>
                <w:rFonts w:eastAsia="Times New Roman"/>
                <w:sz w:val="20"/>
                <w:szCs w:val="20"/>
                <w:bdr w:val="none" w:sz="0" w:space="0" w:color="auto"/>
                <w:lang w:val="en-NZ" w:eastAsia="en-NZ"/>
              </w:rPr>
              <w:t>)</w:t>
            </w:r>
          </w:p>
        </w:tc>
        <w:tc>
          <w:tcPr>
            <w:tcW w:w="1588"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083</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(0.094</w:t>
            </w:r>
            <w:r w:rsidRPr="001F3FFC">
              <w:rPr>
                <w:rFonts w:eastAsia="Times New Roman"/>
                <w:sz w:val="20"/>
                <w:szCs w:val="20"/>
                <w:bdr w:val="none" w:sz="0" w:space="0" w:color="auto"/>
                <w:lang w:val="en-NZ" w:eastAsia="en-NZ"/>
              </w:rPr>
              <w:t>)</w:t>
            </w:r>
          </w:p>
        </w:tc>
      </w:tr>
      <w:tr w:rsidR="00BA21D9" w:rsidRPr="0043730F" w:rsidTr="0063534E">
        <w:trPr>
          <w:trHeight w:val="284"/>
          <w:jc w:val="center"/>
        </w:trPr>
        <w:tc>
          <w:tcPr>
            <w:tcW w:w="4310" w:type="dxa"/>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sidRPr="0099559F">
              <w:rPr>
                <w:rFonts w:eastAsia="Times New Roman"/>
                <w:color w:val="000000"/>
                <w:sz w:val="20"/>
                <w:szCs w:val="20"/>
                <w:bdr w:val="none" w:sz="0" w:space="0" w:color="auto"/>
                <w:lang w:val="en-NZ" w:eastAsia="en-NZ"/>
              </w:rPr>
              <w:t xml:space="preserve">Rotorua </w:t>
            </w:r>
            <w:r w:rsidR="008720EC">
              <w:rPr>
                <w:rFonts w:eastAsia="Times New Roman"/>
                <w:color w:val="000000"/>
                <w:sz w:val="20"/>
                <w:szCs w:val="20"/>
                <w:bdr w:val="none" w:sz="0" w:space="0" w:color="auto"/>
                <w:lang w:val="en-NZ" w:eastAsia="en-NZ"/>
              </w:rPr>
              <w:t xml:space="preserve">MoE </w:t>
            </w:r>
            <w:r w:rsidRPr="0099559F">
              <w:rPr>
                <w:rFonts w:eastAsia="Times New Roman"/>
                <w:color w:val="000000"/>
                <w:sz w:val="20"/>
                <w:szCs w:val="20"/>
                <w:bdr w:val="none" w:sz="0" w:space="0" w:color="auto"/>
                <w:lang w:val="en-NZ" w:eastAsia="en-NZ"/>
              </w:rPr>
              <w:t>office</w:t>
            </w:r>
          </w:p>
        </w:tc>
        <w:tc>
          <w:tcPr>
            <w:tcW w:w="1576"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006</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(0.052</w:t>
            </w:r>
            <w:r w:rsidRPr="001F3FFC">
              <w:rPr>
                <w:rFonts w:eastAsia="Times New Roman"/>
                <w:sz w:val="20"/>
                <w:szCs w:val="20"/>
                <w:bdr w:val="none" w:sz="0" w:space="0" w:color="auto"/>
                <w:lang w:val="en-NZ" w:eastAsia="en-NZ"/>
              </w:rPr>
              <w:t>)</w:t>
            </w:r>
          </w:p>
        </w:tc>
        <w:tc>
          <w:tcPr>
            <w:tcW w:w="1573"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014</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(0.053</w:t>
            </w:r>
            <w:r w:rsidRPr="001F3FFC">
              <w:rPr>
                <w:rFonts w:eastAsia="Times New Roman"/>
                <w:sz w:val="20"/>
                <w:szCs w:val="20"/>
                <w:bdr w:val="none" w:sz="0" w:space="0" w:color="auto"/>
                <w:lang w:val="en-NZ" w:eastAsia="en-NZ"/>
              </w:rPr>
              <w:t>)</w:t>
            </w:r>
          </w:p>
        </w:tc>
        <w:tc>
          <w:tcPr>
            <w:tcW w:w="1588"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010</w:t>
            </w:r>
          </w:p>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(0.059</w:t>
            </w:r>
            <w:r w:rsidRPr="001F3FFC">
              <w:rPr>
                <w:rFonts w:eastAsia="Times New Roman"/>
                <w:sz w:val="20"/>
                <w:szCs w:val="20"/>
                <w:bdr w:val="none" w:sz="0" w:space="0" w:color="auto"/>
                <w:lang w:val="en-NZ" w:eastAsia="en-NZ"/>
              </w:rPr>
              <w:t>)</w:t>
            </w:r>
          </w:p>
        </w:tc>
      </w:tr>
      <w:tr w:rsidR="00BA21D9" w:rsidRPr="0043730F" w:rsidTr="0063534E">
        <w:trPr>
          <w:trHeight w:val="284"/>
          <w:jc w:val="center"/>
        </w:trPr>
        <w:tc>
          <w:tcPr>
            <w:tcW w:w="4310" w:type="dxa"/>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sidRPr="0099559F">
              <w:rPr>
                <w:rFonts w:eastAsia="Times New Roman"/>
                <w:color w:val="000000"/>
                <w:sz w:val="20"/>
                <w:szCs w:val="20"/>
                <w:bdr w:val="none" w:sz="0" w:space="0" w:color="auto"/>
                <w:lang w:val="en-NZ" w:eastAsia="en-NZ"/>
              </w:rPr>
              <w:t xml:space="preserve">Wellington </w:t>
            </w:r>
            <w:r w:rsidR="008720EC">
              <w:rPr>
                <w:rFonts w:eastAsia="Times New Roman"/>
                <w:color w:val="000000"/>
                <w:sz w:val="20"/>
                <w:szCs w:val="20"/>
                <w:bdr w:val="none" w:sz="0" w:space="0" w:color="auto"/>
                <w:lang w:val="en-NZ" w:eastAsia="en-NZ"/>
              </w:rPr>
              <w:t xml:space="preserve">MoE </w:t>
            </w:r>
            <w:r w:rsidRPr="0099559F">
              <w:rPr>
                <w:rFonts w:eastAsia="Times New Roman"/>
                <w:color w:val="000000"/>
                <w:sz w:val="20"/>
                <w:szCs w:val="20"/>
                <w:bdr w:val="none" w:sz="0" w:space="0" w:color="auto"/>
                <w:lang w:val="en-NZ" w:eastAsia="en-NZ"/>
              </w:rPr>
              <w:t>office</w:t>
            </w:r>
          </w:p>
        </w:tc>
        <w:tc>
          <w:tcPr>
            <w:tcW w:w="1576"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013</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(0.048</w:t>
            </w:r>
            <w:r w:rsidRPr="001F3FFC">
              <w:rPr>
                <w:rFonts w:eastAsia="Times New Roman"/>
                <w:sz w:val="20"/>
                <w:szCs w:val="20"/>
                <w:bdr w:val="none" w:sz="0" w:space="0" w:color="auto"/>
                <w:lang w:val="en-NZ" w:eastAsia="en-NZ"/>
              </w:rPr>
              <w:t>)</w:t>
            </w:r>
          </w:p>
        </w:tc>
        <w:tc>
          <w:tcPr>
            <w:tcW w:w="1573"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004</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(0.051</w:t>
            </w:r>
            <w:r w:rsidRPr="001F3FFC">
              <w:rPr>
                <w:rFonts w:eastAsia="Times New Roman"/>
                <w:sz w:val="20"/>
                <w:szCs w:val="20"/>
                <w:bdr w:val="none" w:sz="0" w:space="0" w:color="auto"/>
                <w:lang w:val="en-NZ" w:eastAsia="en-NZ"/>
              </w:rPr>
              <w:t>)</w:t>
            </w:r>
          </w:p>
        </w:tc>
        <w:tc>
          <w:tcPr>
            <w:tcW w:w="1588"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008</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(0.057</w:t>
            </w:r>
            <w:r w:rsidRPr="001F3FFC">
              <w:rPr>
                <w:rFonts w:eastAsia="Times New Roman"/>
                <w:sz w:val="20"/>
                <w:szCs w:val="20"/>
                <w:bdr w:val="none" w:sz="0" w:space="0" w:color="auto"/>
                <w:lang w:val="en-NZ" w:eastAsia="en-NZ"/>
              </w:rPr>
              <w:t>)</w:t>
            </w:r>
          </w:p>
        </w:tc>
      </w:tr>
      <w:tr w:rsidR="00BA21D9" w:rsidRPr="0043730F" w:rsidTr="0063534E">
        <w:trPr>
          <w:trHeight w:val="284"/>
          <w:jc w:val="center"/>
        </w:trPr>
        <w:tc>
          <w:tcPr>
            <w:tcW w:w="4310" w:type="dxa"/>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sidRPr="0099559F">
              <w:rPr>
                <w:rFonts w:eastAsia="Times New Roman"/>
                <w:color w:val="000000"/>
                <w:sz w:val="20"/>
                <w:szCs w:val="20"/>
                <w:bdr w:val="none" w:sz="0" w:space="0" w:color="auto"/>
                <w:lang w:val="en-NZ" w:eastAsia="en-NZ"/>
              </w:rPr>
              <w:t xml:space="preserve">Whanganui </w:t>
            </w:r>
            <w:r w:rsidR="008720EC">
              <w:rPr>
                <w:rFonts w:eastAsia="Times New Roman"/>
                <w:color w:val="000000"/>
                <w:sz w:val="20"/>
                <w:szCs w:val="20"/>
                <w:bdr w:val="none" w:sz="0" w:space="0" w:color="auto"/>
                <w:lang w:val="en-NZ" w:eastAsia="en-NZ"/>
              </w:rPr>
              <w:t xml:space="preserve">MoE </w:t>
            </w:r>
            <w:r w:rsidRPr="0099559F">
              <w:rPr>
                <w:rFonts w:eastAsia="Times New Roman"/>
                <w:color w:val="000000"/>
                <w:sz w:val="20"/>
                <w:szCs w:val="20"/>
                <w:bdr w:val="none" w:sz="0" w:space="0" w:color="auto"/>
                <w:lang w:val="en-NZ" w:eastAsia="en-NZ"/>
              </w:rPr>
              <w:t>office</w:t>
            </w:r>
          </w:p>
        </w:tc>
        <w:tc>
          <w:tcPr>
            <w:tcW w:w="1576"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049</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(0.053</w:t>
            </w:r>
            <w:r w:rsidRPr="001F3FFC">
              <w:rPr>
                <w:rFonts w:eastAsia="Times New Roman"/>
                <w:sz w:val="20"/>
                <w:szCs w:val="20"/>
                <w:bdr w:val="none" w:sz="0" w:space="0" w:color="auto"/>
                <w:lang w:val="en-NZ" w:eastAsia="en-NZ"/>
              </w:rPr>
              <w:t>)</w:t>
            </w:r>
          </w:p>
        </w:tc>
        <w:tc>
          <w:tcPr>
            <w:tcW w:w="1573"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050</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(0.054</w:t>
            </w:r>
            <w:r w:rsidRPr="001F3FFC">
              <w:rPr>
                <w:rFonts w:eastAsia="Times New Roman"/>
                <w:sz w:val="20"/>
                <w:szCs w:val="20"/>
                <w:bdr w:val="none" w:sz="0" w:space="0" w:color="auto"/>
                <w:lang w:val="en-NZ" w:eastAsia="en-NZ"/>
              </w:rPr>
              <w:t>)</w:t>
            </w:r>
          </w:p>
        </w:tc>
        <w:tc>
          <w:tcPr>
            <w:tcW w:w="1588"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051</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(0.058</w:t>
            </w:r>
            <w:r w:rsidRPr="001F3FFC">
              <w:rPr>
                <w:rFonts w:eastAsia="Times New Roman"/>
                <w:sz w:val="20"/>
                <w:szCs w:val="20"/>
                <w:bdr w:val="none" w:sz="0" w:space="0" w:color="auto"/>
                <w:lang w:val="en-NZ" w:eastAsia="en-NZ"/>
              </w:rPr>
              <w:t>)</w:t>
            </w:r>
          </w:p>
        </w:tc>
      </w:tr>
      <w:tr w:rsidR="00BA21D9" w:rsidRPr="0043730F" w:rsidTr="0063534E">
        <w:trPr>
          <w:trHeight w:val="284"/>
          <w:jc w:val="center"/>
        </w:trPr>
        <w:tc>
          <w:tcPr>
            <w:tcW w:w="4310" w:type="dxa"/>
            <w:tcBorders>
              <w:bottom w:val="single" w:sz="4" w:space="0" w:color="auto"/>
            </w:tcBorders>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sidRPr="0099559F">
              <w:rPr>
                <w:rFonts w:eastAsia="Times New Roman"/>
                <w:color w:val="000000"/>
                <w:sz w:val="20"/>
                <w:szCs w:val="20"/>
                <w:bdr w:val="none" w:sz="0" w:space="0" w:color="auto"/>
                <w:lang w:val="en-NZ" w:eastAsia="en-NZ"/>
              </w:rPr>
              <w:t xml:space="preserve">Whangarei </w:t>
            </w:r>
            <w:r w:rsidR="008720EC">
              <w:rPr>
                <w:rFonts w:eastAsia="Times New Roman"/>
                <w:color w:val="000000"/>
                <w:sz w:val="20"/>
                <w:szCs w:val="20"/>
                <w:bdr w:val="none" w:sz="0" w:space="0" w:color="auto"/>
                <w:lang w:val="en-NZ" w:eastAsia="en-NZ"/>
              </w:rPr>
              <w:t xml:space="preserve">MoE </w:t>
            </w:r>
            <w:r w:rsidRPr="0099559F">
              <w:rPr>
                <w:rFonts w:eastAsia="Times New Roman"/>
                <w:color w:val="000000"/>
                <w:sz w:val="20"/>
                <w:szCs w:val="20"/>
                <w:bdr w:val="none" w:sz="0" w:space="0" w:color="auto"/>
                <w:lang w:val="en-NZ" w:eastAsia="en-NZ"/>
              </w:rPr>
              <w:t>office</w:t>
            </w:r>
          </w:p>
        </w:tc>
        <w:tc>
          <w:tcPr>
            <w:tcW w:w="1576" w:type="dxa"/>
            <w:tcBorders>
              <w:bottom w:val="single" w:sz="4" w:space="0" w:color="auto"/>
            </w:tcBorders>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021</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(0.067</w:t>
            </w:r>
            <w:r w:rsidRPr="001F3FFC">
              <w:rPr>
                <w:rFonts w:eastAsia="Times New Roman"/>
                <w:sz w:val="20"/>
                <w:szCs w:val="20"/>
                <w:bdr w:val="none" w:sz="0" w:space="0" w:color="auto"/>
                <w:lang w:val="en-NZ" w:eastAsia="en-NZ"/>
              </w:rPr>
              <w:t>)</w:t>
            </w:r>
          </w:p>
        </w:tc>
        <w:tc>
          <w:tcPr>
            <w:tcW w:w="1573" w:type="dxa"/>
            <w:tcBorders>
              <w:bottom w:val="single" w:sz="4" w:space="0" w:color="auto"/>
            </w:tcBorders>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026</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(0.068</w:t>
            </w:r>
            <w:r w:rsidRPr="001F3FFC">
              <w:rPr>
                <w:rFonts w:eastAsia="Times New Roman"/>
                <w:sz w:val="20"/>
                <w:szCs w:val="20"/>
                <w:bdr w:val="none" w:sz="0" w:space="0" w:color="auto"/>
                <w:lang w:val="en-NZ" w:eastAsia="en-NZ"/>
              </w:rPr>
              <w:t>)</w:t>
            </w:r>
          </w:p>
        </w:tc>
        <w:tc>
          <w:tcPr>
            <w:tcW w:w="1588" w:type="dxa"/>
            <w:tcBorders>
              <w:bottom w:val="single" w:sz="4" w:space="0" w:color="auto"/>
            </w:tcBorders>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026</w:t>
            </w:r>
          </w:p>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(0.075</w:t>
            </w:r>
            <w:r w:rsidRPr="001F3FFC">
              <w:rPr>
                <w:rFonts w:eastAsia="Times New Roman"/>
                <w:sz w:val="20"/>
                <w:szCs w:val="20"/>
                <w:bdr w:val="none" w:sz="0" w:space="0" w:color="auto"/>
                <w:lang w:val="en-NZ" w:eastAsia="en-NZ"/>
              </w:rPr>
              <w:t>)</w:t>
            </w:r>
          </w:p>
        </w:tc>
      </w:tr>
      <w:tr w:rsidR="00BA21D9" w:rsidRPr="0043730F" w:rsidTr="0063534E">
        <w:trPr>
          <w:trHeight w:val="284"/>
          <w:jc w:val="center"/>
        </w:trPr>
        <w:tc>
          <w:tcPr>
            <w:tcW w:w="4310" w:type="dxa"/>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lang w:val="en-NZ" w:eastAsia="en-NZ"/>
              </w:rPr>
            </w:pPr>
            <w:r>
              <w:rPr>
                <w:rFonts w:eastAsia="Times New Roman"/>
                <w:color w:val="000000"/>
                <w:sz w:val="20"/>
                <w:szCs w:val="20"/>
                <w:bdr w:val="none" w:sz="0" w:space="0" w:color="auto"/>
                <w:lang w:val="en-NZ" w:eastAsia="en-NZ"/>
              </w:rPr>
              <w:t>Mother at age 14</w:t>
            </w:r>
          </w:p>
        </w:tc>
        <w:tc>
          <w:tcPr>
            <w:tcW w:w="1576" w:type="dxa"/>
            <w:tcBorders>
              <w:bottom w:val="single" w:sz="4" w:space="0" w:color="auto"/>
            </w:tcBorders>
            <w:shd w:val="clear" w:color="auto" w:fill="auto"/>
            <w:tcMar>
              <w:top w:w="28" w:type="dxa"/>
              <w:left w:w="108" w:type="dxa"/>
              <w:bottom w:w="28" w:type="dxa"/>
              <w:right w:w="108" w:type="dxa"/>
            </w:tcMar>
            <w:vAlign w:val="cente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 xml:space="preserve"> 0.279</w:t>
            </w:r>
            <w:r>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(0.163)</w:t>
            </w:r>
          </w:p>
        </w:tc>
        <w:tc>
          <w:tcPr>
            <w:tcW w:w="1573" w:type="dxa"/>
            <w:tcBorders>
              <w:bottom w:val="single" w:sz="4" w:space="0" w:color="auto"/>
            </w:tcBorders>
            <w:shd w:val="clear" w:color="auto" w:fill="auto"/>
            <w:vAlign w:val="cente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 xml:space="preserve"> 0.289</w:t>
            </w:r>
            <w:r>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(0.164)</w:t>
            </w:r>
          </w:p>
        </w:tc>
        <w:tc>
          <w:tcPr>
            <w:tcW w:w="1588" w:type="dxa"/>
            <w:tcBorders>
              <w:bottom w:val="single" w:sz="4" w:space="0" w:color="auto"/>
            </w:tcBorders>
            <w:shd w:val="clear" w:color="auto" w:fill="auto"/>
            <w:vAlign w:val="cente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 xml:space="preserve">  0.321</w:t>
            </w:r>
            <w:r>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(0.145)</w:t>
            </w:r>
          </w:p>
        </w:tc>
      </w:tr>
      <w:tr w:rsidR="00BA21D9" w:rsidRPr="0043730F" w:rsidTr="0063534E">
        <w:trPr>
          <w:trHeight w:val="284"/>
          <w:jc w:val="center"/>
        </w:trPr>
        <w:tc>
          <w:tcPr>
            <w:tcW w:w="4310" w:type="dxa"/>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lang w:val="en-NZ" w:eastAsia="en-NZ"/>
              </w:rPr>
            </w:pPr>
            <w:r>
              <w:rPr>
                <w:rFonts w:eastAsia="Times New Roman"/>
                <w:color w:val="000000"/>
                <w:sz w:val="20"/>
                <w:szCs w:val="20"/>
                <w:bdr w:val="none" w:sz="0" w:space="0" w:color="auto"/>
                <w:lang w:val="en-NZ" w:eastAsia="en-NZ"/>
              </w:rPr>
              <w:t>Mother at age 15</w:t>
            </w:r>
          </w:p>
        </w:tc>
        <w:tc>
          <w:tcPr>
            <w:tcW w:w="1576" w:type="dxa"/>
            <w:tcBorders>
              <w:bottom w:val="single" w:sz="4" w:space="0" w:color="auto"/>
            </w:tcBorders>
            <w:shd w:val="clear" w:color="auto" w:fill="auto"/>
            <w:tcMar>
              <w:top w:w="28" w:type="dxa"/>
              <w:left w:w="108" w:type="dxa"/>
              <w:bottom w:w="28" w:type="dxa"/>
              <w:right w:w="108" w:type="dxa"/>
            </w:tcMar>
            <w:vAlign w:val="cente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0.085</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(0.066)</w:t>
            </w:r>
          </w:p>
        </w:tc>
        <w:tc>
          <w:tcPr>
            <w:tcW w:w="1573" w:type="dxa"/>
            <w:tcBorders>
              <w:bottom w:val="single" w:sz="4" w:space="0" w:color="auto"/>
            </w:tcBorders>
            <w:shd w:val="clear" w:color="auto" w:fill="auto"/>
            <w:vAlign w:val="cente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0.082</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(0.067)</w:t>
            </w:r>
          </w:p>
        </w:tc>
        <w:tc>
          <w:tcPr>
            <w:tcW w:w="1588" w:type="dxa"/>
            <w:tcBorders>
              <w:bottom w:val="single" w:sz="4" w:space="0" w:color="auto"/>
            </w:tcBorders>
            <w:shd w:val="clear" w:color="auto" w:fill="auto"/>
            <w:vAlign w:val="cente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0.099</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(0.077)</w:t>
            </w:r>
          </w:p>
        </w:tc>
      </w:tr>
      <w:tr w:rsidR="00BA21D9" w:rsidRPr="0043730F" w:rsidTr="0063534E">
        <w:trPr>
          <w:trHeight w:val="284"/>
          <w:jc w:val="center"/>
        </w:trPr>
        <w:tc>
          <w:tcPr>
            <w:tcW w:w="4310" w:type="dxa"/>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lang w:val="en-NZ" w:eastAsia="en-NZ"/>
              </w:rPr>
            </w:pPr>
            <w:r>
              <w:rPr>
                <w:rFonts w:eastAsia="Times New Roman"/>
                <w:color w:val="000000"/>
                <w:sz w:val="20"/>
                <w:szCs w:val="20"/>
                <w:bdr w:val="none" w:sz="0" w:space="0" w:color="auto"/>
                <w:lang w:val="en-NZ" w:eastAsia="en-NZ"/>
              </w:rPr>
              <w:t>Mother at age 16</w:t>
            </w:r>
          </w:p>
        </w:tc>
        <w:tc>
          <w:tcPr>
            <w:tcW w:w="1576" w:type="dxa"/>
            <w:tcBorders>
              <w:bottom w:val="single" w:sz="4" w:space="0" w:color="auto"/>
            </w:tcBorders>
            <w:shd w:val="clear" w:color="auto" w:fill="auto"/>
            <w:tcMar>
              <w:top w:w="28" w:type="dxa"/>
              <w:left w:w="108" w:type="dxa"/>
              <w:bottom w:w="28" w:type="dxa"/>
              <w:right w:w="108" w:type="dxa"/>
            </w:tcMar>
            <w:vAlign w:val="cente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0.035</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(0.050)</w:t>
            </w:r>
          </w:p>
        </w:tc>
        <w:tc>
          <w:tcPr>
            <w:tcW w:w="1573" w:type="dxa"/>
            <w:tcBorders>
              <w:bottom w:val="single" w:sz="4" w:space="0" w:color="auto"/>
            </w:tcBorders>
            <w:shd w:val="clear" w:color="auto" w:fill="auto"/>
            <w:vAlign w:val="cente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0.032</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(0.050)</w:t>
            </w:r>
          </w:p>
        </w:tc>
        <w:tc>
          <w:tcPr>
            <w:tcW w:w="1588" w:type="dxa"/>
            <w:tcBorders>
              <w:bottom w:val="single" w:sz="4" w:space="0" w:color="auto"/>
            </w:tcBorders>
            <w:shd w:val="clear" w:color="auto" w:fill="auto"/>
            <w:vAlign w:val="cente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0.040</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(0.058)</w:t>
            </w:r>
          </w:p>
        </w:tc>
      </w:tr>
      <w:tr w:rsidR="00BA21D9" w:rsidRPr="0043730F" w:rsidTr="0063534E">
        <w:trPr>
          <w:trHeight w:val="284"/>
          <w:jc w:val="center"/>
        </w:trPr>
        <w:tc>
          <w:tcPr>
            <w:tcW w:w="4310" w:type="dxa"/>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lang w:val="en-NZ" w:eastAsia="en-NZ"/>
              </w:rPr>
            </w:pPr>
            <w:r>
              <w:rPr>
                <w:rFonts w:eastAsia="Times New Roman"/>
                <w:color w:val="000000"/>
                <w:sz w:val="20"/>
                <w:szCs w:val="20"/>
                <w:bdr w:val="none" w:sz="0" w:space="0" w:color="auto"/>
                <w:lang w:val="en-NZ" w:eastAsia="en-NZ"/>
              </w:rPr>
              <w:t>Mother at age 17</w:t>
            </w:r>
          </w:p>
        </w:tc>
        <w:tc>
          <w:tcPr>
            <w:tcW w:w="1576" w:type="dxa"/>
            <w:tcBorders>
              <w:bottom w:val="single" w:sz="4" w:space="0" w:color="auto"/>
            </w:tcBorders>
            <w:shd w:val="clear" w:color="auto" w:fill="auto"/>
            <w:tcMar>
              <w:top w:w="28" w:type="dxa"/>
              <w:left w:w="108" w:type="dxa"/>
              <w:bottom w:w="28" w:type="dxa"/>
              <w:right w:w="108" w:type="dxa"/>
            </w:tcMar>
            <w:vAlign w:val="cente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 xml:space="preserve">  0.113</w:t>
            </w:r>
            <w:r>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(0.047)</w:t>
            </w:r>
          </w:p>
        </w:tc>
        <w:tc>
          <w:tcPr>
            <w:tcW w:w="1573" w:type="dxa"/>
            <w:tcBorders>
              <w:bottom w:val="single" w:sz="4" w:space="0" w:color="auto"/>
            </w:tcBorders>
            <w:shd w:val="clear" w:color="auto" w:fill="auto"/>
            <w:vAlign w:val="cente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 xml:space="preserve">  0.110</w:t>
            </w:r>
            <w:r>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(0.047)</w:t>
            </w:r>
          </w:p>
        </w:tc>
        <w:tc>
          <w:tcPr>
            <w:tcW w:w="1588" w:type="dxa"/>
            <w:tcBorders>
              <w:bottom w:val="single" w:sz="4" w:space="0" w:color="auto"/>
            </w:tcBorders>
            <w:shd w:val="clear" w:color="auto" w:fill="auto"/>
            <w:vAlign w:val="cente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 xml:space="preserve">  0.127</w:t>
            </w:r>
            <w:r>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(0.055)</w:t>
            </w:r>
          </w:p>
        </w:tc>
      </w:tr>
      <w:tr w:rsidR="00BA21D9" w:rsidRPr="0043730F" w:rsidTr="0063534E">
        <w:trPr>
          <w:trHeight w:val="284"/>
          <w:jc w:val="center"/>
        </w:trPr>
        <w:tc>
          <w:tcPr>
            <w:tcW w:w="4310" w:type="dxa"/>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lang w:val="en-NZ" w:eastAsia="en-NZ"/>
              </w:rPr>
            </w:pPr>
            <w:r>
              <w:rPr>
                <w:rFonts w:eastAsia="Times New Roman"/>
                <w:color w:val="000000"/>
                <w:sz w:val="20"/>
                <w:szCs w:val="20"/>
                <w:bdr w:val="none" w:sz="0" w:space="0" w:color="auto"/>
                <w:lang w:val="en-NZ" w:eastAsia="en-NZ"/>
              </w:rPr>
              <w:t>Mother at age 18</w:t>
            </w:r>
          </w:p>
        </w:tc>
        <w:tc>
          <w:tcPr>
            <w:tcW w:w="1576" w:type="dxa"/>
            <w:tcBorders>
              <w:bottom w:val="single" w:sz="4" w:space="0" w:color="auto"/>
            </w:tcBorders>
            <w:shd w:val="clear" w:color="auto" w:fill="auto"/>
            <w:tcMar>
              <w:top w:w="28" w:type="dxa"/>
              <w:left w:w="108" w:type="dxa"/>
              <w:bottom w:w="28" w:type="dxa"/>
              <w:right w:w="108" w:type="dxa"/>
            </w:tcMar>
            <w:vAlign w:val="cente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 xml:space="preserve">  0.102</w:t>
            </w:r>
            <w:r>
              <w:rPr>
                <w:color w:val="000000" w:themeColor="text1"/>
                <w:kern w:val="24"/>
                <w:sz w:val="20"/>
                <w:szCs w:val="20"/>
                <w:bdr w:val="none" w:sz="0" w:space="0" w:color="auto"/>
                <w:vertAlign w:val="superscript"/>
                <w:lang w:eastAsia="en-NZ"/>
              </w:rPr>
              <w:t>*</w:t>
            </w:r>
            <w:r w:rsidRPr="001F3FFC">
              <w:rPr>
                <w:color w:val="000000" w:themeColor="text1"/>
                <w:kern w:val="24"/>
                <w:sz w:val="20"/>
                <w:szCs w:val="20"/>
                <w:bdr w:val="none" w:sz="0" w:space="0" w:color="auto"/>
                <w:vertAlign w:val="superscript"/>
                <w:lang w:eastAsia="en-NZ"/>
              </w:rPr>
              <w:t>*</w:t>
            </w:r>
            <w:r>
              <w:rPr>
                <w:color w:val="000000" w:themeColor="text1"/>
                <w:kern w:val="24"/>
                <w:sz w:val="20"/>
                <w:szCs w:val="20"/>
                <w:bdr w:val="none" w:sz="0" w:space="0" w:color="auto"/>
                <w:lang w:eastAsia="en-NZ"/>
              </w:rPr>
              <w:br/>
              <w:t>(0.047)</w:t>
            </w:r>
          </w:p>
        </w:tc>
        <w:tc>
          <w:tcPr>
            <w:tcW w:w="1573" w:type="dxa"/>
            <w:tcBorders>
              <w:bottom w:val="single" w:sz="4" w:space="0" w:color="auto"/>
            </w:tcBorders>
            <w:shd w:val="clear" w:color="auto" w:fill="auto"/>
            <w:vAlign w:val="cente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 xml:space="preserve">  0.102</w:t>
            </w:r>
            <w:r>
              <w:rPr>
                <w:color w:val="000000" w:themeColor="text1"/>
                <w:kern w:val="24"/>
                <w:sz w:val="20"/>
                <w:szCs w:val="20"/>
                <w:bdr w:val="none" w:sz="0" w:space="0" w:color="auto"/>
                <w:vertAlign w:val="superscript"/>
                <w:lang w:eastAsia="en-NZ"/>
              </w:rPr>
              <w:t>**</w:t>
            </w:r>
            <w:r>
              <w:rPr>
                <w:color w:val="000000" w:themeColor="text1"/>
                <w:kern w:val="24"/>
                <w:sz w:val="20"/>
                <w:szCs w:val="20"/>
                <w:bdr w:val="none" w:sz="0" w:space="0" w:color="auto"/>
                <w:lang w:eastAsia="en-NZ"/>
              </w:rPr>
              <w:br/>
              <w:t>(0.047)</w:t>
            </w:r>
          </w:p>
        </w:tc>
        <w:tc>
          <w:tcPr>
            <w:tcW w:w="1588" w:type="dxa"/>
            <w:tcBorders>
              <w:bottom w:val="single" w:sz="4" w:space="0" w:color="auto"/>
            </w:tcBorders>
            <w:shd w:val="clear" w:color="auto" w:fill="auto"/>
            <w:vAlign w:val="cente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 xml:space="preserve">  0.121</w:t>
            </w:r>
            <w:r>
              <w:rPr>
                <w:color w:val="000000" w:themeColor="text1"/>
                <w:kern w:val="24"/>
                <w:sz w:val="20"/>
                <w:szCs w:val="20"/>
                <w:bdr w:val="none" w:sz="0" w:space="0" w:color="auto"/>
                <w:vertAlign w:val="superscript"/>
                <w:lang w:eastAsia="en-NZ"/>
              </w:rPr>
              <w:t>**</w:t>
            </w:r>
            <w:r>
              <w:rPr>
                <w:color w:val="000000" w:themeColor="text1"/>
                <w:kern w:val="24"/>
                <w:sz w:val="20"/>
                <w:szCs w:val="20"/>
                <w:bdr w:val="none" w:sz="0" w:space="0" w:color="auto"/>
                <w:lang w:eastAsia="en-NZ"/>
              </w:rPr>
              <w:br/>
              <w:t>(0.055)</w:t>
            </w:r>
          </w:p>
        </w:tc>
      </w:tr>
      <w:tr w:rsidR="00BA21D9" w:rsidRPr="0043730F" w:rsidTr="0063534E">
        <w:trPr>
          <w:trHeight w:val="284"/>
          <w:jc w:val="center"/>
        </w:trPr>
        <w:tc>
          <w:tcPr>
            <w:tcW w:w="4310" w:type="dxa"/>
            <w:tcBorders>
              <w:bottom w:val="single" w:sz="4" w:space="0" w:color="auto"/>
            </w:tcBorders>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lang w:val="en-NZ" w:eastAsia="en-NZ"/>
              </w:rPr>
            </w:pPr>
            <w:r>
              <w:rPr>
                <w:rFonts w:eastAsia="Times New Roman"/>
                <w:color w:val="000000"/>
                <w:sz w:val="20"/>
                <w:szCs w:val="20"/>
                <w:bdr w:val="none" w:sz="0" w:space="0" w:color="auto"/>
                <w:lang w:val="en-NZ" w:eastAsia="en-NZ"/>
              </w:rPr>
              <w:t>Days mother on benefit by age 5</w:t>
            </w:r>
          </w:p>
        </w:tc>
        <w:tc>
          <w:tcPr>
            <w:tcW w:w="1576" w:type="dxa"/>
            <w:tcBorders>
              <w:bottom w:val="single" w:sz="4" w:space="0" w:color="auto"/>
            </w:tcBorders>
            <w:shd w:val="clear" w:color="auto" w:fill="auto"/>
            <w:tcMar>
              <w:top w:w="28" w:type="dxa"/>
              <w:left w:w="108" w:type="dxa"/>
              <w:bottom w:w="28" w:type="dxa"/>
              <w:right w:w="108" w:type="dxa"/>
            </w:tcMar>
            <w:vAlign w:val="cente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-0.000</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(0.000)</w:t>
            </w:r>
          </w:p>
        </w:tc>
        <w:tc>
          <w:tcPr>
            <w:tcW w:w="1573" w:type="dxa"/>
            <w:tcBorders>
              <w:bottom w:val="single" w:sz="4" w:space="0" w:color="auto"/>
            </w:tcBorders>
            <w:shd w:val="clear" w:color="auto" w:fill="auto"/>
            <w:vAlign w:val="cente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-0.000</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(0.000)</w:t>
            </w:r>
          </w:p>
        </w:tc>
        <w:tc>
          <w:tcPr>
            <w:tcW w:w="1588" w:type="dxa"/>
            <w:tcBorders>
              <w:bottom w:val="single" w:sz="4" w:space="0" w:color="auto"/>
            </w:tcBorders>
            <w:shd w:val="clear" w:color="auto" w:fill="auto"/>
            <w:vAlign w:val="cente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-0.000</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(0.000)</w:t>
            </w:r>
          </w:p>
        </w:tc>
      </w:tr>
      <w:tr w:rsidR="00BA21D9" w:rsidRPr="0043730F" w:rsidTr="0063534E">
        <w:trPr>
          <w:trHeight w:val="284"/>
          <w:jc w:val="center"/>
        </w:trPr>
        <w:tc>
          <w:tcPr>
            <w:tcW w:w="4310" w:type="dxa"/>
            <w:tcBorders>
              <w:bottom w:val="single" w:sz="4" w:space="0" w:color="auto"/>
            </w:tcBorders>
            <w:tcMar>
              <w:top w:w="28" w:type="dxa"/>
              <w:left w:w="108" w:type="dxa"/>
              <w:bottom w:w="28" w:type="dxa"/>
              <w:right w:w="108" w:type="dxa"/>
            </w:tcMar>
            <w:vAlign w:val="center"/>
          </w:tcPr>
          <w:p w:rsidR="00BA21D9" w:rsidRPr="002D1DB0"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lang w:eastAsia="en-NZ"/>
              </w:rPr>
            </w:pPr>
            <w:r>
              <w:rPr>
                <w:rFonts w:eastAsia="Times New Roman"/>
                <w:color w:val="000000"/>
                <w:sz w:val="20"/>
                <w:szCs w:val="20"/>
                <w:bdr w:val="none" w:sz="0" w:space="0" w:color="auto"/>
                <w:lang w:eastAsia="en-NZ"/>
              </w:rPr>
              <w:t>School size</w:t>
            </w:r>
          </w:p>
        </w:tc>
        <w:tc>
          <w:tcPr>
            <w:tcW w:w="1576" w:type="dxa"/>
            <w:tcBorders>
              <w:bottom w:val="single" w:sz="4" w:space="0" w:color="auto"/>
            </w:tcBorders>
            <w:shd w:val="clear" w:color="auto" w:fill="auto"/>
            <w:tcMar>
              <w:top w:w="28" w:type="dxa"/>
              <w:left w:w="108" w:type="dxa"/>
              <w:bottom w:w="28" w:type="dxa"/>
              <w:right w:w="108" w:type="dxa"/>
            </w:tcMar>
            <w:vAlign w:val="cente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 xml:space="preserve"> -0.010</w:t>
            </w:r>
            <w:r>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(0.006)</w:t>
            </w:r>
          </w:p>
        </w:tc>
        <w:tc>
          <w:tcPr>
            <w:tcW w:w="1573" w:type="dxa"/>
            <w:tcBorders>
              <w:bottom w:val="single" w:sz="4" w:space="0" w:color="auto"/>
            </w:tcBorders>
            <w:shd w:val="clear" w:color="auto" w:fill="auto"/>
            <w:vAlign w:val="cente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 xml:space="preserve"> -0.011</w:t>
            </w:r>
            <w:r>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(0.006)</w:t>
            </w:r>
          </w:p>
        </w:tc>
        <w:tc>
          <w:tcPr>
            <w:tcW w:w="1588" w:type="dxa"/>
            <w:tcBorders>
              <w:bottom w:val="single" w:sz="4" w:space="0" w:color="auto"/>
            </w:tcBorders>
            <w:shd w:val="clear" w:color="auto" w:fill="auto"/>
            <w:vAlign w:val="cente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 xml:space="preserve"> -0.012</w:t>
            </w:r>
            <w:r>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(0.007)</w:t>
            </w:r>
          </w:p>
        </w:tc>
      </w:tr>
      <w:tr w:rsidR="00BA21D9" w:rsidRPr="0043730F" w:rsidTr="0063534E">
        <w:trPr>
          <w:trHeight w:val="284"/>
          <w:jc w:val="center"/>
        </w:trPr>
        <w:tc>
          <w:tcPr>
            <w:tcW w:w="4310" w:type="dxa"/>
            <w:tcBorders>
              <w:top w:val="single" w:sz="4" w:space="0" w:color="auto"/>
              <w:bottom w:val="single" w:sz="8" w:space="0" w:color="auto"/>
            </w:tcBorders>
            <w:tcMar>
              <w:top w:w="28" w:type="dxa"/>
              <w:left w:w="108" w:type="dxa"/>
              <w:bottom w:w="28" w:type="dxa"/>
              <w:right w:w="108" w:type="dxa"/>
            </w:tcMar>
            <w:vAlign w:val="cente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lang w:eastAsia="en-NZ"/>
              </w:rPr>
            </w:pPr>
            <w:r>
              <w:rPr>
                <w:rFonts w:eastAsia="Times New Roman"/>
                <w:color w:val="000000"/>
                <w:sz w:val="20"/>
                <w:szCs w:val="20"/>
                <w:bdr w:val="none" w:sz="0" w:space="0" w:color="auto"/>
                <w:lang w:eastAsia="en-NZ"/>
              </w:rPr>
              <w:t>Constant</w:t>
            </w:r>
          </w:p>
        </w:tc>
        <w:tc>
          <w:tcPr>
            <w:tcW w:w="1576" w:type="dxa"/>
            <w:tcBorders>
              <w:top w:val="single" w:sz="4" w:space="0" w:color="auto"/>
              <w:bottom w:val="single" w:sz="8" w:space="0" w:color="auto"/>
            </w:tcBorders>
            <w:shd w:val="clear" w:color="auto" w:fill="auto"/>
            <w:tcMar>
              <w:top w:w="28" w:type="dxa"/>
              <w:left w:w="108" w:type="dxa"/>
              <w:bottom w:w="28" w:type="dxa"/>
              <w:right w:w="108" w:type="dxa"/>
            </w:tcMar>
            <w:vAlign w:val="cente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 xml:space="preserve">   0.255</w:t>
            </w:r>
            <w:r w:rsidRPr="001F3FFC">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(0.079)</w:t>
            </w:r>
          </w:p>
        </w:tc>
        <w:tc>
          <w:tcPr>
            <w:tcW w:w="1573" w:type="dxa"/>
            <w:tcBorders>
              <w:top w:val="single" w:sz="4" w:space="0" w:color="auto"/>
              <w:bottom w:val="single" w:sz="8" w:space="0" w:color="auto"/>
            </w:tcBorders>
            <w:shd w:val="clear" w:color="auto" w:fill="auto"/>
            <w:vAlign w:val="cente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 xml:space="preserve">   0.231</w:t>
            </w:r>
            <w:r w:rsidRPr="001F3FFC">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(0.090)</w:t>
            </w:r>
          </w:p>
        </w:tc>
        <w:tc>
          <w:tcPr>
            <w:tcW w:w="1588" w:type="dxa"/>
            <w:tcBorders>
              <w:top w:val="single" w:sz="4" w:space="0" w:color="auto"/>
              <w:bottom w:val="single" w:sz="8" w:space="0" w:color="auto"/>
            </w:tcBorders>
            <w:shd w:val="clear" w:color="auto" w:fill="auto"/>
            <w:vAlign w:val="cente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 xml:space="preserve">   ---</w:t>
            </w:r>
          </w:p>
        </w:tc>
      </w:tr>
      <w:tr w:rsidR="00BA21D9" w:rsidRPr="0043730F" w:rsidTr="0063534E">
        <w:trPr>
          <w:trHeight w:val="227"/>
          <w:jc w:val="center"/>
        </w:trPr>
        <w:tc>
          <w:tcPr>
            <w:tcW w:w="4310" w:type="dxa"/>
            <w:tcBorders>
              <w:top w:val="single" w:sz="8" w:space="0" w:color="auto"/>
              <w:bottom w:val="nil"/>
            </w:tcBorders>
            <w:shd w:val="clear" w:color="auto" w:fill="auto"/>
            <w:tcMar>
              <w:top w:w="28" w:type="dxa"/>
              <w:left w:w="108" w:type="dxa"/>
              <w:bottom w:w="28" w:type="dxa"/>
              <w:right w:w="108" w:type="dxa"/>
            </w:tcMar>
            <w:hideMark/>
          </w:tcPr>
          <w:p w:rsidR="00BA21D9" w:rsidRPr="004B26AA"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i/>
                <w:sz w:val="20"/>
                <w:szCs w:val="20"/>
                <w:bdr w:val="none" w:sz="0" w:space="0" w:color="auto"/>
                <w:lang w:val="en-NZ" w:eastAsia="en-NZ"/>
              </w:rPr>
            </w:pPr>
            <w:r w:rsidRPr="004B26AA">
              <w:rPr>
                <w:i/>
                <w:color w:val="000000" w:themeColor="text1"/>
                <w:kern w:val="24"/>
                <w:sz w:val="20"/>
                <w:szCs w:val="20"/>
                <w:bdr w:val="none" w:sz="0" w:space="0" w:color="auto"/>
                <w:lang w:val="en-NZ" w:eastAsia="en-NZ"/>
              </w:rPr>
              <w:t>n</w:t>
            </w:r>
          </w:p>
        </w:tc>
        <w:tc>
          <w:tcPr>
            <w:tcW w:w="1576" w:type="dxa"/>
            <w:tcBorders>
              <w:top w:val="single" w:sz="8" w:space="0" w:color="auto"/>
              <w:bottom w:val="nil"/>
            </w:tcBorders>
            <w:shd w:val="clear" w:color="auto" w:fill="auto"/>
            <w:tcMar>
              <w:top w:w="28" w:type="dxa"/>
              <w:left w:w="108" w:type="dxa"/>
              <w:bottom w:w="28" w:type="dxa"/>
              <w:right w:w="108" w:type="dxa"/>
            </w:tcMar>
            <w:hideMark/>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rFonts w:eastAsiaTheme="minorEastAsia"/>
                <w:color w:val="000000" w:themeColor="text1"/>
                <w:kern w:val="24"/>
                <w:sz w:val="20"/>
                <w:szCs w:val="20"/>
                <w:bdr w:val="none" w:sz="0" w:space="0" w:color="auto"/>
                <w:lang w:val="en-NZ" w:eastAsia="en-NZ"/>
              </w:rPr>
              <w:t>1,521</w:t>
            </w:r>
          </w:p>
        </w:tc>
        <w:tc>
          <w:tcPr>
            <w:tcW w:w="1573" w:type="dxa"/>
            <w:tcBorders>
              <w:top w:val="single" w:sz="8" w:space="0" w:color="auto"/>
              <w:bottom w:val="nil"/>
            </w:tcBorders>
            <w:shd w:val="clear" w:color="auto" w:fill="auto"/>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EastAsia"/>
                <w:color w:val="000000" w:themeColor="text1"/>
                <w:kern w:val="24"/>
                <w:sz w:val="20"/>
                <w:szCs w:val="20"/>
                <w:bdr w:val="none" w:sz="0" w:space="0" w:color="auto"/>
                <w:lang w:val="en-NZ" w:eastAsia="en-NZ"/>
              </w:rPr>
            </w:pPr>
            <w:r>
              <w:rPr>
                <w:rFonts w:eastAsiaTheme="minorEastAsia"/>
                <w:color w:val="000000" w:themeColor="text1"/>
                <w:kern w:val="24"/>
                <w:sz w:val="20"/>
                <w:szCs w:val="20"/>
                <w:bdr w:val="none" w:sz="0" w:space="0" w:color="auto"/>
                <w:lang w:val="en-NZ" w:eastAsia="en-NZ"/>
              </w:rPr>
              <w:t>1,521</w:t>
            </w:r>
          </w:p>
        </w:tc>
        <w:tc>
          <w:tcPr>
            <w:tcW w:w="1588" w:type="dxa"/>
            <w:tcBorders>
              <w:top w:val="single" w:sz="8" w:space="0" w:color="auto"/>
              <w:bottom w:val="nil"/>
            </w:tcBorders>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EastAsia"/>
                <w:color w:val="000000" w:themeColor="text1"/>
                <w:kern w:val="24"/>
                <w:sz w:val="20"/>
                <w:szCs w:val="20"/>
                <w:bdr w:val="none" w:sz="0" w:space="0" w:color="auto"/>
                <w:lang w:val="en-NZ" w:eastAsia="en-NZ"/>
              </w:rPr>
            </w:pPr>
            <w:r>
              <w:rPr>
                <w:rFonts w:eastAsiaTheme="minorEastAsia"/>
                <w:color w:val="000000" w:themeColor="text1"/>
                <w:kern w:val="24"/>
                <w:sz w:val="20"/>
                <w:szCs w:val="20"/>
                <w:bdr w:val="none" w:sz="0" w:space="0" w:color="auto"/>
                <w:lang w:val="en-NZ" w:eastAsia="en-NZ"/>
              </w:rPr>
              <w:t>1,521</w:t>
            </w:r>
          </w:p>
        </w:tc>
      </w:tr>
      <w:tr w:rsidR="00BA21D9" w:rsidRPr="0043730F" w:rsidTr="0063534E">
        <w:trPr>
          <w:trHeight w:val="227"/>
          <w:jc w:val="center"/>
        </w:trPr>
        <w:tc>
          <w:tcPr>
            <w:tcW w:w="4310" w:type="dxa"/>
            <w:tcBorders>
              <w:top w:val="nil"/>
              <w:bottom w:val="nil"/>
            </w:tcBorders>
            <w:shd w:val="clear" w:color="auto" w:fill="auto"/>
            <w:tcMar>
              <w:top w:w="28" w:type="dxa"/>
              <w:left w:w="108" w:type="dxa"/>
              <w:bottom w:w="28" w:type="dxa"/>
              <w:right w:w="108" w:type="dxa"/>
            </w:tcMa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val="en-NZ" w:eastAsia="en-NZ"/>
              </w:rPr>
            </w:pPr>
            <w:r>
              <w:rPr>
                <w:color w:val="000000" w:themeColor="text1"/>
                <w:kern w:val="24"/>
                <w:sz w:val="20"/>
                <w:szCs w:val="20"/>
                <w:bdr w:val="none" w:sz="0" w:space="0" w:color="auto"/>
                <w:lang w:val="en-NZ" w:eastAsia="en-NZ"/>
              </w:rPr>
              <w:t>R</w:t>
            </w:r>
            <w:r w:rsidRPr="001F3FFC">
              <w:rPr>
                <w:color w:val="000000" w:themeColor="text1"/>
                <w:kern w:val="24"/>
                <w:sz w:val="20"/>
                <w:szCs w:val="20"/>
                <w:bdr w:val="none" w:sz="0" w:space="0" w:color="auto"/>
                <w:vertAlign w:val="superscript"/>
                <w:lang w:val="en-NZ" w:eastAsia="en-NZ"/>
              </w:rPr>
              <w:t>2</w:t>
            </w:r>
            <w:r>
              <w:rPr>
                <w:color w:val="000000" w:themeColor="text1"/>
                <w:kern w:val="24"/>
                <w:sz w:val="20"/>
                <w:szCs w:val="20"/>
                <w:bdr w:val="none" w:sz="0" w:space="0" w:color="auto"/>
                <w:lang w:val="en-NZ" w:eastAsia="en-NZ"/>
              </w:rPr>
              <w:t xml:space="preserve"> Statistic</w:t>
            </w:r>
          </w:p>
        </w:tc>
        <w:tc>
          <w:tcPr>
            <w:tcW w:w="1576" w:type="dxa"/>
            <w:tcBorders>
              <w:top w:val="nil"/>
              <w:bottom w:val="nil"/>
            </w:tcBorders>
            <w:shd w:val="clear" w:color="auto" w:fill="auto"/>
            <w:tcMar>
              <w:top w:w="28" w:type="dxa"/>
              <w:left w:w="108" w:type="dxa"/>
              <w:bottom w:w="28" w:type="dxa"/>
              <w:right w:w="108" w:type="dxa"/>
            </w:tcMa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EastAsia"/>
                <w:color w:val="000000" w:themeColor="text1"/>
                <w:kern w:val="24"/>
                <w:sz w:val="20"/>
                <w:szCs w:val="20"/>
                <w:bdr w:val="none" w:sz="0" w:space="0" w:color="auto"/>
                <w:lang w:val="en-NZ" w:eastAsia="en-NZ"/>
              </w:rPr>
            </w:pPr>
            <w:r>
              <w:rPr>
                <w:rFonts w:eastAsiaTheme="minorEastAsia"/>
                <w:color w:val="000000" w:themeColor="text1"/>
                <w:kern w:val="24"/>
                <w:sz w:val="20"/>
                <w:szCs w:val="20"/>
                <w:bdr w:val="none" w:sz="0" w:space="0" w:color="auto"/>
                <w:lang w:val="en-NZ" w:eastAsia="en-NZ"/>
              </w:rPr>
              <w:t>0.1456</w:t>
            </w:r>
          </w:p>
        </w:tc>
        <w:tc>
          <w:tcPr>
            <w:tcW w:w="1573" w:type="dxa"/>
            <w:tcBorders>
              <w:top w:val="nil"/>
              <w:bottom w:val="nil"/>
            </w:tcBorders>
            <w:shd w:val="clear" w:color="auto" w:fill="auto"/>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EastAsia"/>
                <w:color w:val="000000" w:themeColor="text1"/>
                <w:kern w:val="24"/>
                <w:sz w:val="20"/>
                <w:szCs w:val="20"/>
                <w:bdr w:val="none" w:sz="0" w:space="0" w:color="auto"/>
                <w:lang w:val="en-NZ" w:eastAsia="en-NZ"/>
              </w:rPr>
            </w:pPr>
            <w:r>
              <w:rPr>
                <w:rFonts w:eastAsiaTheme="minorEastAsia"/>
                <w:color w:val="000000" w:themeColor="text1"/>
                <w:kern w:val="24"/>
                <w:sz w:val="20"/>
                <w:szCs w:val="20"/>
                <w:bdr w:val="none" w:sz="0" w:space="0" w:color="auto"/>
                <w:lang w:val="en-NZ" w:eastAsia="en-NZ"/>
              </w:rPr>
              <w:t>0.1431</w:t>
            </w:r>
          </w:p>
        </w:tc>
        <w:tc>
          <w:tcPr>
            <w:tcW w:w="1588" w:type="dxa"/>
            <w:tcBorders>
              <w:top w:val="nil"/>
              <w:bottom w:val="nil"/>
            </w:tcBorders>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EastAsia"/>
                <w:color w:val="000000" w:themeColor="text1"/>
                <w:kern w:val="24"/>
                <w:sz w:val="20"/>
                <w:szCs w:val="20"/>
                <w:bdr w:val="none" w:sz="0" w:space="0" w:color="auto"/>
                <w:lang w:val="en-NZ" w:eastAsia="en-NZ"/>
              </w:rPr>
            </w:pPr>
            <w:r>
              <w:rPr>
                <w:rFonts w:eastAsiaTheme="minorEastAsia"/>
                <w:color w:val="000000" w:themeColor="text1"/>
                <w:kern w:val="24"/>
                <w:sz w:val="20"/>
                <w:szCs w:val="20"/>
                <w:bdr w:val="none" w:sz="0" w:space="0" w:color="auto"/>
                <w:lang w:val="en-NZ" w:eastAsia="en-NZ"/>
              </w:rPr>
              <w:t>---</w:t>
            </w:r>
          </w:p>
        </w:tc>
      </w:tr>
      <w:tr w:rsidR="00BA21D9" w:rsidRPr="0043730F" w:rsidTr="0063534E">
        <w:trPr>
          <w:trHeight w:val="227"/>
          <w:jc w:val="center"/>
        </w:trPr>
        <w:tc>
          <w:tcPr>
            <w:tcW w:w="4310" w:type="dxa"/>
            <w:tcBorders>
              <w:top w:val="nil"/>
              <w:bottom w:val="nil"/>
            </w:tcBorders>
            <w:shd w:val="clear" w:color="auto" w:fill="auto"/>
            <w:tcMar>
              <w:top w:w="28" w:type="dxa"/>
              <w:left w:w="108" w:type="dxa"/>
              <w:bottom w:w="28" w:type="dxa"/>
              <w:right w:w="108" w:type="dxa"/>
            </w:tcMa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val="en-NZ" w:eastAsia="en-NZ"/>
              </w:rPr>
            </w:pPr>
            <w:r>
              <w:rPr>
                <w:color w:val="000000" w:themeColor="text1"/>
                <w:kern w:val="24"/>
                <w:sz w:val="20"/>
                <w:szCs w:val="20"/>
                <w:bdr w:val="none" w:sz="0" w:space="0" w:color="auto"/>
                <w:lang w:val="en-NZ" w:eastAsia="en-NZ"/>
              </w:rPr>
              <w:t>F Statistic</w:t>
            </w:r>
          </w:p>
        </w:tc>
        <w:tc>
          <w:tcPr>
            <w:tcW w:w="1576" w:type="dxa"/>
            <w:tcBorders>
              <w:top w:val="nil"/>
              <w:bottom w:val="nil"/>
            </w:tcBorders>
            <w:shd w:val="clear" w:color="auto" w:fill="auto"/>
            <w:tcMar>
              <w:top w:w="28" w:type="dxa"/>
              <w:left w:w="108" w:type="dxa"/>
              <w:bottom w:w="28" w:type="dxa"/>
              <w:right w:w="108" w:type="dxa"/>
            </w:tcMa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EastAsia"/>
                <w:color w:val="000000" w:themeColor="text1"/>
                <w:kern w:val="24"/>
                <w:sz w:val="20"/>
                <w:szCs w:val="20"/>
                <w:bdr w:val="none" w:sz="0" w:space="0" w:color="auto"/>
                <w:lang w:val="en-NZ" w:eastAsia="en-NZ"/>
              </w:rPr>
            </w:pPr>
            <w:r>
              <w:rPr>
                <w:rFonts w:eastAsiaTheme="minorEastAsia"/>
                <w:color w:val="000000" w:themeColor="text1"/>
                <w:kern w:val="24"/>
                <w:sz w:val="20"/>
                <w:szCs w:val="20"/>
                <w:bdr w:val="none" w:sz="0" w:space="0" w:color="auto"/>
                <w:lang w:val="en-NZ" w:eastAsia="en-NZ"/>
              </w:rPr>
              <w:t>7.22</w:t>
            </w:r>
          </w:p>
        </w:tc>
        <w:tc>
          <w:tcPr>
            <w:tcW w:w="1573" w:type="dxa"/>
            <w:tcBorders>
              <w:top w:val="nil"/>
              <w:bottom w:val="nil"/>
            </w:tcBorders>
            <w:shd w:val="clear" w:color="auto" w:fill="auto"/>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EastAsia"/>
                <w:color w:val="000000" w:themeColor="text1"/>
                <w:kern w:val="24"/>
                <w:sz w:val="20"/>
                <w:szCs w:val="20"/>
                <w:bdr w:val="none" w:sz="0" w:space="0" w:color="auto"/>
                <w:lang w:val="en-NZ" w:eastAsia="en-NZ"/>
              </w:rPr>
            </w:pPr>
            <w:r>
              <w:rPr>
                <w:rFonts w:eastAsiaTheme="minorEastAsia"/>
                <w:color w:val="000000" w:themeColor="text1"/>
                <w:kern w:val="24"/>
                <w:sz w:val="20"/>
                <w:szCs w:val="20"/>
                <w:bdr w:val="none" w:sz="0" w:space="0" w:color="auto"/>
                <w:lang w:val="en-NZ" w:eastAsia="en-NZ"/>
              </w:rPr>
              <w:t>6.11</w:t>
            </w:r>
          </w:p>
        </w:tc>
        <w:tc>
          <w:tcPr>
            <w:tcW w:w="1588" w:type="dxa"/>
            <w:tcBorders>
              <w:top w:val="nil"/>
              <w:bottom w:val="nil"/>
            </w:tcBorders>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EastAsia"/>
                <w:color w:val="000000" w:themeColor="text1"/>
                <w:kern w:val="24"/>
                <w:sz w:val="20"/>
                <w:szCs w:val="20"/>
                <w:bdr w:val="none" w:sz="0" w:space="0" w:color="auto"/>
                <w:lang w:val="en-NZ" w:eastAsia="en-NZ"/>
              </w:rPr>
            </w:pPr>
            <w:r>
              <w:rPr>
                <w:rFonts w:eastAsiaTheme="minorEastAsia"/>
                <w:color w:val="000000" w:themeColor="text1"/>
                <w:kern w:val="24"/>
                <w:sz w:val="20"/>
                <w:szCs w:val="20"/>
                <w:bdr w:val="none" w:sz="0" w:space="0" w:color="auto"/>
                <w:lang w:val="en-NZ" w:eastAsia="en-NZ"/>
              </w:rPr>
              <w:t>---</w:t>
            </w:r>
          </w:p>
        </w:tc>
      </w:tr>
      <w:tr w:rsidR="00BA21D9" w:rsidRPr="0043730F" w:rsidTr="0063534E">
        <w:trPr>
          <w:trHeight w:val="227"/>
          <w:jc w:val="center"/>
        </w:trPr>
        <w:tc>
          <w:tcPr>
            <w:tcW w:w="4310" w:type="dxa"/>
            <w:tcBorders>
              <w:top w:val="nil"/>
              <w:bottom w:val="nil"/>
            </w:tcBorders>
            <w:shd w:val="clear" w:color="auto" w:fill="auto"/>
            <w:tcMar>
              <w:top w:w="28" w:type="dxa"/>
              <w:left w:w="108" w:type="dxa"/>
              <w:bottom w:w="28" w:type="dxa"/>
              <w:right w:w="108" w:type="dxa"/>
            </w:tcMa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val="en-NZ" w:eastAsia="en-NZ"/>
              </w:rPr>
            </w:pPr>
            <w:r>
              <w:rPr>
                <w:color w:val="000000" w:themeColor="text1"/>
                <w:kern w:val="24"/>
                <w:sz w:val="20"/>
                <w:szCs w:val="20"/>
                <w:bdr w:val="none" w:sz="0" w:space="0" w:color="auto"/>
                <w:lang w:val="en-NZ" w:eastAsia="en-NZ"/>
              </w:rPr>
              <w:t>Log-Likelihood Function</w:t>
            </w:r>
          </w:p>
        </w:tc>
        <w:tc>
          <w:tcPr>
            <w:tcW w:w="1576" w:type="dxa"/>
            <w:tcBorders>
              <w:top w:val="nil"/>
              <w:bottom w:val="nil"/>
            </w:tcBorders>
            <w:shd w:val="clear" w:color="auto" w:fill="auto"/>
            <w:tcMar>
              <w:top w:w="28" w:type="dxa"/>
              <w:left w:w="108" w:type="dxa"/>
              <w:bottom w:w="28" w:type="dxa"/>
              <w:right w:w="108" w:type="dxa"/>
            </w:tcMa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EastAsia"/>
                <w:color w:val="000000" w:themeColor="text1"/>
                <w:kern w:val="24"/>
                <w:sz w:val="20"/>
                <w:szCs w:val="20"/>
                <w:bdr w:val="none" w:sz="0" w:space="0" w:color="auto"/>
                <w:lang w:val="en-NZ" w:eastAsia="en-NZ"/>
              </w:rPr>
            </w:pPr>
            <w:r>
              <w:rPr>
                <w:rFonts w:eastAsiaTheme="minorEastAsia"/>
                <w:color w:val="000000" w:themeColor="text1"/>
                <w:kern w:val="24"/>
                <w:sz w:val="20"/>
                <w:szCs w:val="20"/>
                <w:bdr w:val="none" w:sz="0" w:space="0" w:color="auto"/>
                <w:lang w:val="en-NZ" w:eastAsia="en-NZ"/>
              </w:rPr>
              <w:t>---</w:t>
            </w:r>
          </w:p>
        </w:tc>
        <w:tc>
          <w:tcPr>
            <w:tcW w:w="1573" w:type="dxa"/>
            <w:tcBorders>
              <w:top w:val="nil"/>
              <w:bottom w:val="nil"/>
            </w:tcBorders>
            <w:shd w:val="clear" w:color="auto" w:fill="auto"/>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EastAsia"/>
                <w:color w:val="000000" w:themeColor="text1"/>
                <w:kern w:val="24"/>
                <w:sz w:val="20"/>
                <w:szCs w:val="20"/>
                <w:bdr w:val="none" w:sz="0" w:space="0" w:color="auto"/>
                <w:lang w:val="en-NZ" w:eastAsia="en-NZ"/>
              </w:rPr>
            </w:pPr>
            <w:r>
              <w:rPr>
                <w:rFonts w:eastAsiaTheme="minorEastAsia"/>
                <w:color w:val="000000" w:themeColor="text1"/>
                <w:kern w:val="24"/>
                <w:sz w:val="20"/>
                <w:szCs w:val="20"/>
                <w:bdr w:val="none" w:sz="0" w:space="0" w:color="auto"/>
                <w:lang w:val="en-NZ" w:eastAsia="en-NZ"/>
              </w:rPr>
              <w:t>---</w:t>
            </w:r>
          </w:p>
        </w:tc>
        <w:tc>
          <w:tcPr>
            <w:tcW w:w="1588" w:type="dxa"/>
            <w:tcBorders>
              <w:top w:val="nil"/>
              <w:bottom w:val="nil"/>
            </w:tcBorders>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EastAsia"/>
                <w:color w:val="000000" w:themeColor="text1"/>
                <w:kern w:val="24"/>
                <w:sz w:val="20"/>
                <w:szCs w:val="20"/>
                <w:bdr w:val="none" w:sz="0" w:space="0" w:color="auto"/>
                <w:lang w:val="en-NZ" w:eastAsia="en-NZ"/>
              </w:rPr>
            </w:pPr>
            <w:r>
              <w:rPr>
                <w:rFonts w:eastAsiaTheme="minorEastAsia"/>
                <w:color w:val="000000" w:themeColor="text1"/>
                <w:kern w:val="24"/>
                <w:sz w:val="20"/>
                <w:szCs w:val="20"/>
                <w:bdr w:val="none" w:sz="0" w:space="0" w:color="auto"/>
                <w:lang w:val="en-NZ" w:eastAsia="en-NZ"/>
              </w:rPr>
              <w:t>-1,861.80</w:t>
            </w:r>
          </w:p>
        </w:tc>
      </w:tr>
      <w:tr w:rsidR="00BA21D9" w:rsidRPr="0043730F" w:rsidTr="0063534E">
        <w:trPr>
          <w:trHeight w:val="227"/>
          <w:jc w:val="center"/>
        </w:trPr>
        <w:tc>
          <w:tcPr>
            <w:tcW w:w="4310" w:type="dxa"/>
            <w:tcBorders>
              <w:top w:val="nil"/>
              <w:bottom w:val="single" w:sz="8" w:space="0" w:color="auto"/>
            </w:tcBorders>
            <w:shd w:val="clear" w:color="auto" w:fill="auto"/>
            <w:tcMar>
              <w:top w:w="28" w:type="dxa"/>
              <w:left w:w="108" w:type="dxa"/>
              <w:bottom w:w="28" w:type="dxa"/>
              <w:right w:w="108" w:type="dxa"/>
            </w:tcMa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val="en-NZ" w:eastAsia="en-NZ"/>
              </w:rPr>
            </w:pPr>
            <w:r>
              <w:rPr>
                <w:color w:val="000000" w:themeColor="text1"/>
                <w:kern w:val="24"/>
                <w:sz w:val="20"/>
                <w:szCs w:val="20"/>
                <w:bdr w:val="none" w:sz="0" w:space="0" w:color="auto"/>
                <w:lang w:val="en-NZ" w:eastAsia="en-NZ"/>
              </w:rPr>
              <w:t>Pseudo R</w:t>
            </w:r>
            <w:r w:rsidRPr="001F3FFC">
              <w:rPr>
                <w:color w:val="000000" w:themeColor="text1"/>
                <w:kern w:val="24"/>
                <w:sz w:val="20"/>
                <w:szCs w:val="20"/>
                <w:bdr w:val="none" w:sz="0" w:space="0" w:color="auto"/>
                <w:vertAlign w:val="superscript"/>
                <w:lang w:val="en-NZ" w:eastAsia="en-NZ"/>
              </w:rPr>
              <w:t>2</w:t>
            </w:r>
            <w:r>
              <w:rPr>
                <w:color w:val="000000" w:themeColor="text1"/>
                <w:kern w:val="24"/>
                <w:sz w:val="20"/>
                <w:szCs w:val="20"/>
                <w:bdr w:val="none" w:sz="0" w:space="0" w:color="auto"/>
                <w:lang w:val="en-NZ" w:eastAsia="en-NZ"/>
              </w:rPr>
              <w:t xml:space="preserve"> Statistic</w:t>
            </w:r>
          </w:p>
        </w:tc>
        <w:tc>
          <w:tcPr>
            <w:tcW w:w="1576" w:type="dxa"/>
            <w:tcBorders>
              <w:top w:val="nil"/>
              <w:bottom w:val="single" w:sz="8" w:space="0" w:color="auto"/>
            </w:tcBorders>
            <w:shd w:val="clear" w:color="auto" w:fill="auto"/>
            <w:tcMar>
              <w:top w:w="28" w:type="dxa"/>
              <w:left w:w="108" w:type="dxa"/>
              <w:bottom w:w="28" w:type="dxa"/>
              <w:right w:w="108" w:type="dxa"/>
            </w:tcMa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EastAsia"/>
                <w:color w:val="000000" w:themeColor="text1"/>
                <w:kern w:val="24"/>
                <w:sz w:val="20"/>
                <w:szCs w:val="20"/>
                <w:bdr w:val="none" w:sz="0" w:space="0" w:color="auto"/>
                <w:lang w:val="en-NZ" w:eastAsia="en-NZ"/>
              </w:rPr>
            </w:pPr>
            <w:r>
              <w:rPr>
                <w:rFonts w:eastAsiaTheme="minorEastAsia"/>
                <w:color w:val="000000" w:themeColor="text1"/>
                <w:kern w:val="24"/>
                <w:sz w:val="20"/>
                <w:szCs w:val="20"/>
                <w:bdr w:val="none" w:sz="0" w:space="0" w:color="auto"/>
                <w:lang w:val="en-NZ" w:eastAsia="en-NZ"/>
              </w:rPr>
              <w:t>---</w:t>
            </w:r>
          </w:p>
        </w:tc>
        <w:tc>
          <w:tcPr>
            <w:tcW w:w="1573" w:type="dxa"/>
            <w:tcBorders>
              <w:top w:val="nil"/>
              <w:bottom w:val="single" w:sz="8" w:space="0" w:color="auto"/>
            </w:tcBorders>
            <w:shd w:val="clear" w:color="auto" w:fill="auto"/>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EastAsia"/>
                <w:color w:val="000000" w:themeColor="text1"/>
                <w:kern w:val="24"/>
                <w:sz w:val="20"/>
                <w:szCs w:val="20"/>
                <w:bdr w:val="none" w:sz="0" w:space="0" w:color="auto"/>
                <w:lang w:val="en-NZ" w:eastAsia="en-NZ"/>
              </w:rPr>
            </w:pPr>
            <w:r>
              <w:rPr>
                <w:rFonts w:eastAsiaTheme="minorEastAsia"/>
                <w:color w:val="000000" w:themeColor="text1"/>
                <w:kern w:val="24"/>
                <w:sz w:val="20"/>
                <w:szCs w:val="20"/>
                <w:bdr w:val="none" w:sz="0" w:space="0" w:color="auto"/>
                <w:lang w:val="en-NZ" w:eastAsia="en-NZ"/>
              </w:rPr>
              <w:t>---</w:t>
            </w:r>
          </w:p>
        </w:tc>
        <w:tc>
          <w:tcPr>
            <w:tcW w:w="1588" w:type="dxa"/>
            <w:tcBorders>
              <w:top w:val="nil"/>
              <w:bottom w:val="single" w:sz="8" w:space="0" w:color="auto"/>
            </w:tcBorders>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EastAsia"/>
                <w:color w:val="000000" w:themeColor="text1"/>
                <w:kern w:val="24"/>
                <w:sz w:val="20"/>
                <w:szCs w:val="20"/>
                <w:bdr w:val="none" w:sz="0" w:space="0" w:color="auto"/>
                <w:lang w:val="en-NZ" w:eastAsia="en-NZ"/>
              </w:rPr>
            </w:pPr>
            <w:r>
              <w:rPr>
                <w:rFonts w:eastAsiaTheme="minorEastAsia"/>
                <w:color w:val="000000" w:themeColor="text1"/>
                <w:kern w:val="24"/>
                <w:sz w:val="20"/>
                <w:szCs w:val="20"/>
                <w:bdr w:val="none" w:sz="0" w:space="0" w:color="auto"/>
                <w:lang w:val="en-NZ" w:eastAsia="en-NZ"/>
              </w:rPr>
              <w:t>---</w:t>
            </w:r>
          </w:p>
        </w:tc>
      </w:tr>
    </w:tbl>
    <w:p w:rsidR="00BA21D9" w:rsidRDefault="00BA21D9" w:rsidP="00BA21D9">
      <w:pPr>
        <w:widowControl w:val="0"/>
        <w:autoSpaceDE w:val="0"/>
        <w:autoSpaceDN w:val="0"/>
        <w:adjustRightInd w:val="0"/>
        <w:spacing w:before="80" w:after="80"/>
        <w:jc w:val="both"/>
        <w:rPr>
          <w:sz w:val="20"/>
          <w:szCs w:val="20"/>
        </w:rPr>
      </w:pPr>
      <w:r w:rsidRPr="000C6A33">
        <w:rPr>
          <w:sz w:val="20"/>
          <w:szCs w:val="20"/>
        </w:rPr>
        <w:t>Notes</w:t>
      </w:r>
      <w:r>
        <w:rPr>
          <w:sz w:val="20"/>
          <w:szCs w:val="20"/>
        </w:rPr>
        <w:t>:</w:t>
      </w:r>
    </w:p>
    <w:p w:rsidR="00917C54" w:rsidRDefault="00BA21D9" w:rsidP="00917C54">
      <w:pPr>
        <w:widowControl w:val="0"/>
        <w:autoSpaceDE w:val="0"/>
        <w:autoSpaceDN w:val="0"/>
        <w:adjustRightInd w:val="0"/>
        <w:jc w:val="both"/>
        <w:rPr>
          <w:sz w:val="20"/>
          <w:szCs w:val="20"/>
        </w:rPr>
      </w:pPr>
      <w:r>
        <w:rPr>
          <w:sz w:val="20"/>
          <w:szCs w:val="20"/>
        </w:rPr>
        <w:t xml:space="preserve">Full sets of regression results.  See the notes at the bottom of Table 10 in the main body of this report for more information on these estimation procedures.  The last two sets of regression results are from the second stage of these Instrumental Variable procedures. The first-stage results are available from the authors upon request. </w:t>
      </w:r>
      <w:r w:rsidR="00917C54">
        <w:rPr>
          <w:sz w:val="20"/>
          <w:szCs w:val="20"/>
        </w:rPr>
        <w:t xml:space="preserve">Excluded categories are birth cohort =1991, urban area = Main Urban Area and </w:t>
      </w:r>
      <w:r w:rsidR="008720EC">
        <w:rPr>
          <w:sz w:val="20"/>
          <w:szCs w:val="20"/>
        </w:rPr>
        <w:t xml:space="preserve">MoE </w:t>
      </w:r>
      <w:r w:rsidR="00917C54">
        <w:rPr>
          <w:sz w:val="20"/>
          <w:szCs w:val="20"/>
        </w:rPr>
        <w:t>Office = Auckland North</w:t>
      </w:r>
      <w:r w:rsidR="00475F5C">
        <w:rPr>
          <w:sz w:val="20"/>
          <w:szCs w:val="20"/>
        </w:rPr>
        <w:t xml:space="preserve">, Mother age = 13. </w:t>
      </w:r>
    </w:p>
    <w:p w:rsidR="00BA21D9" w:rsidRDefault="00BA21D9" w:rsidP="00BA21D9">
      <w:pPr>
        <w:widowControl w:val="0"/>
        <w:autoSpaceDE w:val="0"/>
        <w:autoSpaceDN w:val="0"/>
        <w:adjustRightInd w:val="0"/>
        <w:jc w:val="both"/>
        <w:rPr>
          <w:sz w:val="20"/>
          <w:szCs w:val="20"/>
        </w:rPr>
      </w:pPr>
    </w:p>
    <w:p w:rsidR="00BA21D9" w:rsidRDefault="00BA21D9" w:rsidP="00BA21D9">
      <w:pPr>
        <w:widowControl w:val="0"/>
        <w:autoSpaceDE w:val="0"/>
        <w:autoSpaceDN w:val="0"/>
        <w:adjustRightInd w:val="0"/>
        <w:jc w:val="both"/>
        <w:rPr>
          <w:sz w:val="20"/>
          <w:szCs w:val="20"/>
        </w:rPr>
      </w:pPr>
    </w:p>
    <w:p w:rsidR="00BA21D9" w:rsidRDefault="00BA21D9" w:rsidP="00BA21D9">
      <w:pPr>
        <w:widowControl w:val="0"/>
        <w:autoSpaceDE w:val="0"/>
        <w:autoSpaceDN w:val="0"/>
        <w:adjustRightInd w:val="0"/>
        <w:jc w:val="both"/>
        <w:rPr>
          <w:sz w:val="20"/>
          <w:szCs w:val="20"/>
        </w:rPr>
      </w:pPr>
      <w:r w:rsidRPr="000C6A33">
        <w:rPr>
          <w:sz w:val="20"/>
          <w:szCs w:val="20"/>
          <w:vertAlign w:val="superscript"/>
        </w:rPr>
        <w:t>***</w:t>
      </w:r>
      <w:r>
        <w:rPr>
          <w:sz w:val="20"/>
          <w:szCs w:val="20"/>
        </w:rPr>
        <w:t xml:space="preserve"> Estimated effect significantly different from zero</w:t>
      </w:r>
      <w:r w:rsidRPr="004B26AA">
        <w:rPr>
          <w:sz w:val="20"/>
          <w:szCs w:val="20"/>
        </w:rPr>
        <w:t xml:space="preserve"> </w:t>
      </w:r>
      <w:r>
        <w:rPr>
          <w:sz w:val="20"/>
          <w:szCs w:val="20"/>
        </w:rPr>
        <w:t xml:space="preserve">at a 1% level using a </w:t>
      </w:r>
      <w:r w:rsidRPr="000C6A33">
        <w:rPr>
          <w:i/>
          <w:sz w:val="20"/>
          <w:szCs w:val="20"/>
        </w:rPr>
        <w:t xml:space="preserve">t </w:t>
      </w:r>
      <w:r>
        <w:rPr>
          <w:sz w:val="20"/>
          <w:szCs w:val="20"/>
        </w:rPr>
        <w:t>test</w:t>
      </w:r>
    </w:p>
    <w:p w:rsidR="00BA21D9" w:rsidRDefault="00BA21D9" w:rsidP="00BA21D9">
      <w:pPr>
        <w:widowControl w:val="0"/>
        <w:autoSpaceDE w:val="0"/>
        <w:autoSpaceDN w:val="0"/>
        <w:adjustRightInd w:val="0"/>
        <w:jc w:val="both"/>
        <w:rPr>
          <w:sz w:val="20"/>
          <w:szCs w:val="20"/>
        </w:rPr>
      </w:pPr>
      <w:r w:rsidRPr="000C6A33">
        <w:rPr>
          <w:sz w:val="20"/>
          <w:szCs w:val="20"/>
          <w:vertAlign w:val="superscript"/>
        </w:rPr>
        <w:t>**</w:t>
      </w:r>
      <w:r>
        <w:rPr>
          <w:sz w:val="20"/>
          <w:szCs w:val="20"/>
          <w:vertAlign w:val="superscript"/>
        </w:rPr>
        <w:t xml:space="preserve">  </w:t>
      </w:r>
      <w:r>
        <w:rPr>
          <w:sz w:val="20"/>
          <w:szCs w:val="20"/>
        </w:rPr>
        <w:t xml:space="preserve"> Estimated effect significantly different from zero</w:t>
      </w:r>
      <w:r w:rsidRPr="004B26AA">
        <w:rPr>
          <w:sz w:val="20"/>
          <w:szCs w:val="20"/>
        </w:rPr>
        <w:t xml:space="preserve"> </w:t>
      </w:r>
      <w:r>
        <w:rPr>
          <w:sz w:val="20"/>
          <w:szCs w:val="20"/>
        </w:rPr>
        <w:t xml:space="preserve">at a 5% level using a </w:t>
      </w:r>
      <w:r w:rsidRPr="000C6A33">
        <w:rPr>
          <w:i/>
          <w:sz w:val="20"/>
          <w:szCs w:val="20"/>
        </w:rPr>
        <w:t xml:space="preserve">t </w:t>
      </w:r>
      <w:r>
        <w:rPr>
          <w:sz w:val="20"/>
          <w:szCs w:val="20"/>
        </w:rPr>
        <w:t>test</w:t>
      </w:r>
    </w:p>
    <w:p w:rsidR="00BA21D9" w:rsidRDefault="00BA21D9" w:rsidP="00BA21D9">
      <w:pPr>
        <w:widowControl w:val="0"/>
        <w:autoSpaceDE w:val="0"/>
        <w:autoSpaceDN w:val="0"/>
        <w:adjustRightInd w:val="0"/>
        <w:jc w:val="both"/>
        <w:rPr>
          <w:sz w:val="20"/>
          <w:szCs w:val="20"/>
          <w:lang w:val="en-NZ"/>
        </w:rPr>
      </w:pPr>
      <w:r>
        <w:rPr>
          <w:sz w:val="20"/>
          <w:szCs w:val="20"/>
          <w:vertAlign w:val="superscript"/>
        </w:rPr>
        <w:t>*</w:t>
      </w:r>
      <w:r>
        <w:rPr>
          <w:sz w:val="20"/>
          <w:szCs w:val="20"/>
        </w:rPr>
        <w:t xml:space="preserve">    Estimated effect significantly different from zero</w:t>
      </w:r>
      <w:r w:rsidRPr="004B26AA">
        <w:rPr>
          <w:sz w:val="20"/>
          <w:szCs w:val="20"/>
        </w:rPr>
        <w:t xml:space="preserve"> </w:t>
      </w:r>
      <w:r>
        <w:rPr>
          <w:sz w:val="20"/>
          <w:szCs w:val="20"/>
        </w:rPr>
        <w:t xml:space="preserve">at a 10% level using a </w:t>
      </w:r>
      <w:r w:rsidRPr="000C6A33">
        <w:rPr>
          <w:i/>
          <w:sz w:val="20"/>
          <w:szCs w:val="20"/>
        </w:rPr>
        <w:t xml:space="preserve">t </w:t>
      </w:r>
      <w:r>
        <w:rPr>
          <w:sz w:val="20"/>
          <w:szCs w:val="20"/>
        </w:rPr>
        <w:t>test</w:t>
      </w:r>
    </w:p>
    <w:p w:rsidR="00BA21D9" w:rsidRDefault="00BA21D9" w:rsidP="00BA21D9">
      <w:pPr>
        <w:rPr>
          <w:sz w:val="20"/>
          <w:szCs w:val="20"/>
          <w:lang w:val="en-NZ"/>
        </w:rPr>
      </w:pPr>
      <w:r>
        <w:rPr>
          <w:sz w:val="20"/>
          <w:szCs w:val="20"/>
          <w:lang w:val="en-NZ"/>
        </w:rPr>
        <w:br w:type="page"/>
      </w:r>
    </w:p>
    <w:p w:rsidR="00BA21D9" w:rsidRPr="006C39FE" w:rsidRDefault="00EB1E61" w:rsidP="006C39FE">
      <w:pPr>
        <w:pStyle w:val="Caption"/>
        <w:jc w:val="center"/>
        <w:rPr>
          <w:i/>
          <w:sz w:val="22"/>
          <w:szCs w:val="22"/>
        </w:rPr>
      </w:pPr>
      <w:bookmarkStart w:id="68" w:name="_Toc475430729"/>
      <w:r>
        <w:rPr>
          <w:sz w:val="22"/>
          <w:szCs w:val="22"/>
        </w:rPr>
        <w:t xml:space="preserve">Appendix </w:t>
      </w:r>
      <w:r w:rsidR="006C39FE" w:rsidRPr="006C39FE">
        <w:rPr>
          <w:sz w:val="22"/>
          <w:szCs w:val="22"/>
        </w:rPr>
        <w:t xml:space="preserve">Table </w:t>
      </w:r>
      <w:r w:rsidR="006C39FE" w:rsidRPr="006C39FE">
        <w:rPr>
          <w:sz w:val="22"/>
          <w:szCs w:val="22"/>
        </w:rPr>
        <w:fldChar w:fldCharType="begin"/>
      </w:r>
      <w:r w:rsidR="006C39FE" w:rsidRPr="006C39FE">
        <w:rPr>
          <w:sz w:val="22"/>
          <w:szCs w:val="22"/>
        </w:rPr>
        <w:instrText xml:space="preserve"> SEQ Table \* ARABIC </w:instrText>
      </w:r>
      <w:r w:rsidR="006C39FE" w:rsidRPr="006C39FE">
        <w:rPr>
          <w:sz w:val="22"/>
          <w:szCs w:val="22"/>
        </w:rPr>
        <w:fldChar w:fldCharType="separate"/>
      </w:r>
      <w:r>
        <w:rPr>
          <w:noProof/>
          <w:sz w:val="22"/>
          <w:szCs w:val="22"/>
        </w:rPr>
        <w:t>5</w:t>
      </w:r>
      <w:r w:rsidR="006C39FE" w:rsidRPr="006C39FE">
        <w:rPr>
          <w:sz w:val="22"/>
          <w:szCs w:val="22"/>
        </w:rPr>
        <w:fldChar w:fldCharType="end"/>
      </w:r>
      <w:r>
        <w:rPr>
          <w:sz w:val="22"/>
          <w:szCs w:val="22"/>
        </w:rPr>
        <w:t>B</w:t>
      </w:r>
      <w:r w:rsidR="006C39FE" w:rsidRPr="006C39FE">
        <w:rPr>
          <w:sz w:val="22"/>
          <w:szCs w:val="22"/>
        </w:rPr>
        <w:t>: Linear Probability Model and Maximum Likelihood Probit results, estimated effects on probability of completing NCEA Level 2 qualification, young teen mothers who enrolled post-</w:t>
      </w:r>
      <w:r w:rsidR="006C39FE" w:rsidRPr="0042073E">
        <w:rPr>
          <w:sz w:val="22"/>
          <w:szCs w:val="22"/>
        </w:rPr>
        <w:t>birth</w:t>
      </w:r>
      <w:r w:rsidR="00B6446F" w:rsidRPr="0042073E">
        <w:rPr>
          <w:sz w:val="22"/>
          <w:szCs w:val="22"/>
        </w:rPr>
        <w:t xml:space="preserve">, </w:t>
      </w:r>
      <w:r w:rsidR="00B6446F" w:rsidRPr="0042073E">
        <w:t xml:space="preserve"> </w:t>
      </w:r>
      <w:r w:rsidR="00B6446F" w:rsidRPr="0042073E">
        <w:rPr>
          <w:szCs w:val="24"/>
        </w:rPr>
        <w:t>sub-samples without the qualification before the end of the year of their first birth</w:t>
      </w:r>
      <w:bookmarkEnd w:id="68"/>
    </w:p>
    <w:tbl>
      <w:tblPr>
        <w:tblW w:w="9049" w:type="dxa"/>
        <w:jc w:val="center"/>
        <w:tblBorders>
          <w:top w:val="single" w:sz="4" w:space="0" w:color="000000"/>
          <w:bottom w:val="single" w:sz="4" w:space="0" w:color="000000"/>
          <w:insideH w:val="single" w:sz="4" w:space="0" w:color="000000"/>
        </w:tblBorders>
        <w:tblLayout w:type="fixed"/>
        <w:tblCellMar>
          <w:left w:w="0" w:type="dxa"/>
          <w:right w:w="0" w:type="dxa"/>
        </w:tblCellMar>
        <w:tblLook w:val="0600" w:firstRow="0" w:lastRow="0" w:firstColumn="0" w:lastColumn="0" w:noHBand="1" w:noVBand="1"/>
      </w:tblPr>
      <w:tblGrid>
        <w:gridCol w:w="4317"/>
        <w:gridCol w:w="1574"/>
        <w:gridCol w:w="1570"/>
        <w:gridCol w:w="1588"/>
      </w:tblGrid>
      <w:tr w:rsidR="00BA21D9" w:rsidRPr="0043730F" w:rsidTr="0063534E">
        <w:trPr>
          <w:trHeight w:val="510"/>
          <w:jc w:val="center"/>
        </w:trPr>
        <w:tc>
          <w:tcPr>
            <w:tcW w:w="4317" w:type="dxa"/>
            <w:vMerge w:val="restart"/>
            <w:tcBorders>
              <w:top w:val="single" w:sz="8" w:space="0" w:color="000000"/>
            </w:tcBorders>
            <w:shd w:val="clear" w:color="auto" w:fill="auto"/>
            <w:tcMar>
              <w:top w:w="15" w:type="dxa"/>
              <w:left w:w="108" w:type="dxa"/>
              <w:bottom w:w="0" w:type="dxa"/>
              <w:right w:w="108" w:type="dxa"/>
            </w:tcMar>
            <w:vAlign w:val="bottom"/>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sidRPr="004F4C26">
              <w:rPr>
                <w:color w:val="000000" w:themeColor="text1"/>
                <w:kern w:val="24"/>
                <w:sz w:val="20"/>
                <w:szCs w:val="20"/>
                <w:bdr w:val="none" w:sz="0" w:space="0" w:color="auto"/>
                <w:lang w:eastAsia="en-NZ"/>
              </w:rPr>
              <w:t> </w:t>
            </w:r>
          </w:p>
        </w:tc>
        <w:tc>
          <w:tcPr>
            <w:tcW w:w="4732" w:type="dxa"/>
            <w:gridSpan w:val="3"/>
            <w:tcBorders>
              <w:top w:val="single" w:sz="8" w:space="0" w:color="000000"/>
              <w:bottom w:val="single" w:sz="8" w:space="0" w:color="000000"/>
            </w:tcBorders>
            <w:shd w:val="clear" w:color="auto" w:fill="auto"/>
            <w:tcMar>
              <w:top w:w="15" w:type="dxa"/>
              <w:left w:w="108" w:type="dxa"/>
              <w:bottom w:w="0" w:type="dxa"/>
              <w:right w:w="108" w:type="dxa"/>
            </w:tcMar>
            <w:vAlign w:val="bottom"/>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 xml:space="preserve">Estimated Coefficients or Marginal </w:t>
            </w:r>
            <w:r w:rsidRPr="004F4C26">
              <w:rPr>
                <w:color w:val="000000" w:themeColor="text1"/>
                <w:kern w:val="24"/>
                <w:sz w:val="20"/>
                <w:szCs w:val="20"/>
                <w:bdr w:val="none" w:sz="0" w:space="0" w:color="auto"/>
                <w:lang w:eastAsia="en-NZ"/>
              </w:rPr>
              <w:t>Effect</w:t>
            </w:r>
            <w:r>
              <w:rPr>
                <w:color w:val="000000" w:themeColor="text1"/>
                <w:kern w:val="24"/>
                <w:sz w:val="20"/>
                <w:szCs w:val="20"/>
                <w:bdr w:val="none" w:sz="0" w:space="0" w:color="auto"/>
                <w:lang w:eastAsia="en-NZ"/>
              </w:rPr>
              <w:t>s</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Standard Errors in Parentheses</w:t>
            </w:r>
          </w:p>
        </w:tc>
      </w:tr>
      <w:tr w:rsidR="00BA21D9" w:rsidRPr="0043730F" w:rsidTr="0063534E">
        <w:trPr>
          <w:trHeight w:val="510"/>
          <w:jc w:val="center"/>
        </w:trPr>
        <w:tc>
          <w:tcPr>
            <w:tcW w:w="4317" w:type="dxa"/>
            <w:vMerge/>
            <w:tcBorders>
              <w:bottom w:val="single" w:sz="8" w:space="0" w:color="000000"/>
            </w:tcBorders>
            <w:shd w:val="clear" w:color="auto" w:fill="auto"/>
            <w:tcMar>
              <w:top w:w="15" w:type="dxa"/>
              <w:left w:w="108" w:type="dxa"/>
              <w:bottom w:w="0" w:type="dxa"/>
              <w:right w:w="108" w:type="dxa"/>
            </w:tcMar>
            <w:vAlign w:val="bottom"/>
            <w:hideMark/>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NZ" w:eastAsia="en-NZ"/>
              </w:rPr>
            </w:pPr>
          </w:p>
        </w:tc>
        <w:tc>
          <w:tcPr>
            <w:tcW w:w="1574" w:type="dxa"/>
            <w:tcBorders>
              <w:top w:val="single" w:sz="8" w:space="0" w:color="000000"/>
              <w:bottom w:val="single" w:sz="8" w:space="0" w:color="000000"/>
            </w:tcBorders>
            <w:shd w:val="clear" w:color="auto" w:fill="auto"/>
            <w:tcMar>
              <w:top w:w="15" w:type="dxa"/>
              <w:left w:w="108" w:type="dxa"/>
              <w:bottom w:w="0" w:type="dxa"/>
              <w:right w:w="108" w:type="dxa"/>
            </w:tcMar>
            <w:vAlign w:val="bottom"/>
            <w:hideMark/>
          </w:tcPr>
          <w:p w:rsidR="00BA21D9" w:rsidRPr="009D5E6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rPr>
            </w:pPr>
            <w:r w:rsidRPr="009D5E69">
              <w:rPr>
                <w:sz w:val="20"/>
                <w:szCs w:val="20"/>
              </w:rPr>
              <w:t>Naïve</w:t>
            </w:r>
          </w:p>
          <w:p w:rsidR="00BA21D9" w:rsidRPr="009D5E6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sidRPr="009D5E69">
              <w:rPr>
                <w:sz w:val="20"/>
                <w:szCs w:val="20"/>
              </w:rPr>
              <w:t>LPM</w:t>
            </w:r>
          </w:p>
        </w:tc>
        <w:tc>
          <w:tcPr>
            <w:tcW w:w="1570" w:type="dxa"/>
            <w:tcBorders>
              <w:top w:val="single" w:sz="8" w:space="0" w:color="000000"/>
              <w:bottom w:val="single" w:sz="8" w:space="0" w:color="000000"/>
            </w:tcBorders>
            <w:vAlign w:val="bottom"/>
          </w:tcPr>
          <w:p w:rsidR="00BA21D9" w:rsidRPr="009D5E6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sidRPr="009D5E69">
              <w:rPr>
                <w:color w:val="000000" w:themeColor="text1"/>
                <w:kern w:val="24"/>
                <w:sz w:val="20"/>
                <w:szCs w:val="20"/>
                <w:bdr w:val="none" w:sz="0" w:space="0" w:color="auto"/>
                <w:lang w:eastAsia="en-NZ"/>
              </w:rPr>
              <w:t>IV</w:t>
            </w:r>
          </w:p>
          <w:p w:rsidR="00BA21D9" w:rsidRPr="009D5E6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sidRPr="009D5E69">
              <w:rPr>
                <w:color w:val="000000" w:themeColor="text1"/>
                <w:kern w:val="24"/>
                <w:sz w:val="20"/>
                <w:szCs w:val="20"/>
                <w:bdr w:val="none" w:sz="0" w:space="0" w:color="auto"/>
                <w:lang w:eastAsia="en-NZ"/>
              </w:rPr>
              <w:t>LPM</w:t>
            </w:r>
          </w:p>
        </w:tc>
        <w:tc>
          <w:tcPr>
            <w:tcW w:w="1588" w:type="dxa"/>
            <w:tcBorders>
              <w:top w:val="single" w:sz="8" w:space="0" w:color="000000"/>
              <w:bottom w:val="single" w:sz="8" w:space="0" w:color="000000"/>
            </w:tcBorders>
            <w:vAlign w:val="bottom"/>
          </w:tcPr>
          <w:p w:rsidR="00BA21D9" w:rsidRPr="009D5E6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sidRPr="009D5E69">
              <w:rPr>
                <w:color w:val="000000" w:themeColor="text1"/>
                <w:kern w:val="24"/>
                <w:sz w:val="20"/>
                <w:szCs w:val="20"/>
                <w:bdr w:val="none" w:sz="0" w:space="0" w:color="auto"/>
                <w:lang w:eastAsia="en-NZ"/>
              </w:rPr>
              <w:t>IV</w:t>
            </w:r>
          </w:p>
          <w:p w:rsidR="00BA21D9" w:rsidRPr="009D5E6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sidRPr="009D5E69">
              <w:rPr>
                <w:color w:val="000000" w:themeColor="text1"/>
                <w:kern w:val="24"/>
                <w:sz w:val="20"/>
                <w:szCs w:val="20"/>
                <w:bdr w:val="none" w:sz="0" w:space="0" w:color="auto"/>
                <w:lang w:eastAsia="en-NZ"/>
              </w:rPr>
              <w:t>Probit</w:t>
            </w:r>
          </w:p>
        </w:tc>
      </w:tr>
      <w:tr w:rsidR="00BA21D9" w:rsidRPr="0043730F" w:rsidTr="0063534E">
        <w:trPr>
          <w:trHeight w:val="284"/>
          <w:jc w:val="center"/>
        </w:trPr>
        <w:tc>
          <w:tcPr>
            <w:tcW w:w="4317" w:type="dxa"/>
            <w:tcBorders>
              <w:top w:val="single" w:sz="8" w:space="0" w:color="000000"/>
            </w:tcBorders>
            <w:shd w:val="clear" w:color="auto" w:fill="auto"/>
            <w:tcMar>
              <w:top w:w="28" w:type="dxa"/>
              <w:left w:w="108" w:type="dxa"/>
              <w:bottom w:w="28" w:type="dxa"/>
              <w:right w:w="108" w:type="dxa"/>
            </w:tcMar>
            <w:vAlign w:val="center"/>
            <w:hideMark/>
          </w:tcPr>
          <w:p w:rsidR="00BA21D9" w:rsidRPr="00804AE3"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sz w:val="20"/>
                <w:szCs w:val="20"/>
                <w:bdr w:val="none" w:sz="0" w:space="0" w:color="auto"/>
                <w:lang w:val="en-NZ" w:eastAsia="en-NZ"/>
              </w:rPr>
            </w:pPr>
            <w:r w:rsidRPr="00804AE3">
              <w:rPr>
                <w:b/>
                <w:sz w:val="20"/>
                <w:szCs w:val="20"/>
                <w:lang w:val="en-NZ"/>
              </w:rPr>
              <w:t>Enrolled post-birth in TPU</w:t>
            </w:r>
          </w:p>
        </w:tc>
        <w:tc>
          <w:tcPr>
            <w:tcW w:w="1574" w:type="dxa"/>
            <w:tcBorders>
              <w:top w:val="single" w:sz="8" w:space="0" w:color="000000"/>
            </w:tcBorders>
            <w:shd w:val="clear" w:color="auto" w:fill="auto"/>
            <w:tcMar>
              <w:top w:w="28" w:type="dxa"/>
              <w:left w:w="108" w:type="dxa"/>
              <w:bottom w:w="28" w:type="dxa"/>
              <w:right w:w="108" w:type="dxa"/>
            </w:tcMar>
            <w:vAlign w:val="center"/>
            <w:hideMark/>
          </w:tcPr>
          <w:p w:rsidR="00BA21D9" w:rsidRPr="002A02F2"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sz w:val="20"/>
                <w:szCs w:val="20"/>
                <w:bdr w:val="none" w:sz="0" w:space="0" w:color="auto"/>
                <w:lang w:val="en-NZ" w:eastAsia="en-NZ"/>
              </w:rPr>
            </w:pPr>
            <w:r>
              <w:rPr>
                <w:b/>
                <w:color w:val="000000" w:themeColor="text1"/>
                <w:kern w:val="24"/>
                <w:sz w:val="20"/>
                <w:szCs w:val="20"/>
                <w:bdr w:val="none" w:sz="0" w:space="0" w:color="auto"/>
                <w:lang w:eastAsia="en-NZ"/>
              </w:rPr>
              <w:t xml:space="preserve">   0.145</w:t>
            </w:r>
            <w:r w:rsidRPr="00BB5B9D">
              <w:rPr>
                <w:color w:val="000000" w:themeColor="text1"/>
                <w:kern w:val="24"/>
                <w:sz w:val="20"/>
                <w:szCs w:val="20"/>
                <w:bdr w:val="none" w:sz="0" w:space="0" w:color="auto"/>
                <w:vertAlign w:val="superscript"/>
                <w:lang w:eastAsia="en-NZ"/>
              </w:rPr>
              <w:t>***</w:t>
            </w:r>
          </w:p>
          <w:p w:rsidR="00BA21D9" w:rsidRPr="002A02F2"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sz w:val="20"/>
                <w:szCs w:val="20"/>
                <w:bdr w:val="none" w:sz="0" w:space="0" w:color="auto"/>
                <w:lang w:val="en-NZ" w:eastAsia="en-NZ"/>
              </w:rPr>
            </w:pPr>
            <w:r>
              <w:rPr>
                <w:b/>
                <w:color w:val="000000" w:themeColor="text1"/>
                <w:kern w:val="24"/>
                <w:sz w:val="20"/>
                <w:szCs w:val="20"/>
                <w:bdr w:val="none" w:sz="0" w:space="0" w:color="auto"/>
                <w:lang w:eastAsia="en-NZ"/>
              </w:rPr>
              <w:t>(0.022</w:t>
            </w:r>
            <w:r w:rsidRPr="002A02F2">
              <w:rPr>
                <w:b/>
                <w:color w:val="000000" w:themeColor="text1"/>
                <w:kern w:val="24"/>
                <w:sz w:val="20"/>
                <w:szCs w:val="20"/>
                <w:bdr w:val="none" w:sz="0" w:space="0" w:color="auto"/>
                <w:lang w:eastAsia="en-NZ"/>
              </w:rPr>
              <w:t>)</w:t>
            </w:r>
          </w:p>
        </w:tc>
        <w:tc>
          <w:tcPr>
            <w:tcW w:w="1570" w:type="dxa"/>
            <w:tcBorders>
              <w:top w:val="single" w:sz="8" w:space="0" w:color="000000"/>
            </w:tcBorders>
            <w:shd w:val="clear" w:color="auto" w:fill="auto"/>
            <w:vAlign w:val="center"/>
          </w:tcPr>
          <w:p w:rsidR="00BA21D9" w:rsidRPr="002A02F2"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sz w:val="20"/>
                <w:szCs w:val="20"/>
                <w:bdr w:val="none" w:sz="0" w:space="0" w:color="auto"/>
                <w:lang w:val="en-NZ" w:eastAsia="en-NZ"/>
              </w:rPr>
            </w:pPr>
            <w:r>
              <w:rPr>
                <w:b/>
                <w:color w:val="000000" w:themeColor="text1"/>
                <w:kern w:val="24"/>
                <w:sz w:val="20"/>
                <w:szCs w:val="20"/>
                <w:bdr w:val="none" w:sz="0" w:space="0" w:color="auto"/>
                <w:lang w:eastAsia="en-NZ"/>
              </w:rPr>
              <w:t xml:space="preserve"> 0.134</w:t>
            </w:r>
            <w:r>
              <w:rPr>
                <w:color w:val="000000" w:themeColor="text1"/>
                <w:kern w:val="24"/>
                <w:sz w:val="20"/>
                <w:szCs w:val="20"/>
                <w:bdr w:val="none" w:sz="0" w:space="0" w:color="auto"/>
                <w:vertAlign w:val="superscript"/>
                <w:lang w:eastAsia="en-NZ"/>
              </w:rPr>
              <w:t>*</w:t>
            </w:r>
          </w:p>
          <w:p w:rsidR="00BA21D9" w:rsidRPr="002A02F2"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b/>
                <w:color w:val="000000" w:themeColor="text1"/>
                <w:kern w:val="24"/>
                <w:sz w:val="20"/>
                <w:szCs w:val="20"/>
                <w:bdr w:val="none" w:sz="0" w:space="0" w:color="auto"/>
                <w:lang w:eastAsia="en-NZ"/>
              </w:rPr>
            </w:pPr>
            <w:r>
              <w:rPr>
                <w:b/>
                <w:color w:val="000000" w:themeColor="text1"/>
                <w:kern w:val="24"/>
                <w:sz w:val="20"/>
                <w:szCs w:val="20"/>
                <w:bdr w:val="none" w:sz="0" w:space="0" w:color="auto"/>
                <w:lang w:eastAsia="en-NZ"/>
              </w:rPr>
              <w:t>(0.081</w:t>
            </w:r>
            <w:r w:rsidRPr="002A02F2">
              <w:rPr>
                <w:b/>
                <w:color w:val="000000" w:themeColor="text1"/>
                <w:kern w:val="24"/>
                <w:sz w:val="20"/>
                <w:szCs w:val="20"/>
                <w:bdr w:val="none" w:sz="0" w:space="0" w:color="auto"/>
                <w:lang w:eastAsia="en-NZ"/>
              </w:rPr>
              <w:t>)</w:t>
            </w:r>
          </w:p>
        </w:tc>
        <w:tc>
          <w:tcPr>
            <w:tcW w:w="1588" w:type="dxa"/>
            <w:tcBorders>
              <w:top w:val="single" w:sz="8" w:space="0" w:color="000000"/>
            </w:tcBorders>
            <w:shd w:val="clear" w:color="auto" w:fill="auto"/>
            <w:vAlign w:val="center"/>
          </w:tcPr>
          <w:p w:rsidR="00BA21D9" w:rsidRPr="002A02F2"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sz w:val="20"/>
                <w:szCs w:val="20"/>
                <w:bdr w:val="none" w:sz="0" w:space="0" w:color="auto"/>
                <w:lang w:val="en-NZ" w:eastAsia="en-NZ"/>
              </w:rPr>
            </w:pPr>
            <w:r>
              <w:rPr>
                <w:b/>
                <w:color w:val="000000" w:themeColor="text1"/>
                <w:kern w:val="24"/>
                <w:sz w:val="20"/>
                <w:szCs w:val="20"/>
                <w:bdr w:val="none" w:sz="0" w:space="0" w:color="auto"/>
                <w:lang w:eastAsia="en-NZ"/>
              </w:rPr>
              <w:t>0.129</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b/>
                <w:color w:val="000000" w:themeColor="text1"/>
                <w:kern w:val="24"/>
                <w:sz w:val="20"/>
                <w:szCs w:val="20"/>
                <w:bdr w:val="none" w:sz="0" w:space="0" w:color="auto"/>
                <w:lang w:eastAsia="en-NZ"/>
              </w:rPr>
            </w:pPr>
            <w:r>
              <w:rPr>
                <w:b/>
                <w:color w:val="000000" w:themeColor="text1"/>
                <w:kern w:val="24"/>
                <w:sz w:val="20"/>
                <w:szCs w:val="20"/>
                <w:bdr w:val="none" w:sz="0" w:space="0" w:color="auto"/>
                <w:lang w:eastAsia="en-NZ"/>
              </w:rPr>
              <w:t>(0.083</w:t>
            </w:r>
            <w:r w:rsidRPr="002A02F2">
              <w:rPr>
                <w:b/>
                <w:color w:val="000000" w:themeColor="text1"/>
                <w:kern w:val="24"/>
                <w:sz w:val="20"/>
                <w:szCs w:val="20"/>
                <w:bdr w:val="none" w:sz="0" w:space="0" w:color="auto"/>
                <w:lang w:eastAsia="en-NZ"/>
              </w:rPr>
              <w:t>)</w:t>
            </w:r>
          </w:p>
        </w:tc>
      </w:tr>
      <w:tr w:rsidR="00BA21D9" w:rsidRPr="0043730F" w:rsidTr="0063534E">
        <w:trPr>
          <w:trHeight w:val="284"/>
          <w:jc w:val="center"/>
        </w:trPr>
        <w:tc>
          <w:tcPr>
            <w:tcW w:w="4317" w:type="dxa"/>
            <w:shd w:val="clear" w:color="auto" w:fill="auto"/>
            <w:tcMar>
              <w:top w:w="28" w:type="dxa"/>
              <w:left w:w="108" w:type="dxa"/>
              <w:bottom w:w="28" w:type="dxa"/>
              <w:right w:w="108" w:type="dxa"/>
            </w:tcMar>
            <w:vAlign w:val="center"/>
            <w:hideMark/>
          </w:tcPr>
          <w:p w:rsidR="00BA21D9" w:rsidRPr="002A02F2"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sz w:val="20"/>
                <w:szCs w:val="20"/>
                <w:bdr w:val="none" w:sz="0" w:space="0" w:color="auto"/>
                <w:lang w:val="en-NZ" w:eastAsia="en-NZ"/>
              </w:rPr>
            </w:pPr>
            <w:r w:rsidRPr="004F4C26">
              <w:rPr>
                <w:color w:val="000000" w:themeColor="text1"/>
                <w:kern w:val="24"/>
                <w:sz w:val="20"/>
                <w:szCs w:val="20"/>
                <w:bdr w:val="none" w:sz="0" w:space="0" w:color="auto"/>
                <w:lang w:eastAsia="en-NZ"/>
              </w:rPr>
              <w:t>School enrolled at conception</w:t>
            </w:r>
          </w:p>
        </w:tc>
        <w:tc>
          <w:tcPr>
            <w:tcW w:w="1574" w:type="dxa"/>
            <w:shd w:val="clear" w:color="auto" w:fill="auto"/>
            <w:tcMar>
              <w:top w:w="28" w:type="dxa"/>
              <w:left w:w="108" w:type="dxa"/>
              <w:bottom w:w="28" w:type="dxa"/>
              <w:right w:w="108" w:type="dxa"/>
            </w:tcMar>
            <w:vAlign w:val="center"/>
            <w:hideMark/>
          </w:tcPr>
          <w:p w:rsidR="00BA21D9" w:rsidRPr="00804AE3"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lang w:val="en-NZ" w:eastAsia="en-NZ"/>
              </w:rPr>
            </w:pPr>
            <w:r>
              <w:rPr>
                <w:color w:val="000000" w:themeColor="text1"/>
                <w:kern w:val="24"/>
                <w:sz w:val="20"/>
                <w:szCs w:val="20"/>
                <w:bdr w:val="none" w:sz="0" w:space="0" w:color="auto"/>
                <w:lang w:eastAsia="en-NZ"/>
              </w:rPr>
              <w:t xml:space="preserve">   0.204</w:t>
            </w:r>
            <w:r w:rsidRPr="00804AE3">
              <w:rPr>
                <w:color w:val="000000" w:themeColor="text1"/>
                <w:kern w:val="24"/>
                <w:sz w:val="20"/>
                <w:szCs w:val="20"/>
                <w:bdr w:val="none" w:sz="0" w:space="0" w:color="auto"/>
                <w:vertAlign w:val="superscript"/>
                <w:lang w:eastAsia="en-NZ"/>
              </w:rPr>
              <w:t>***</w:t>
            </w:r>
          </w:p>
          <w:p w:rsidR="00BA21D9" w:rsidRPr="00804AE3"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rFonts w:eastAsia="Times New Roman"/>
                <w:sz w:val="20"/>
                <w:szCs w:val="20"/>
                <w:bdr w:val="none" w:sz="0" w:space="0" w:color="auto"/>
                <w:lang w:val="en-NZ" w:eastAsia="en-NZ"/>
              </w:rPr>
              <w:t>(0.023</w:t>
            </w:r>
            <w:r w:rsidRPr="00804AE3">
              <w:rPr>
                <w:rFonts w:eastAsia="Times New Roman"/>
                <w:sz w:val="20"/>
                <w:szCs w:val="20"/>
                <w:bdr w:val="none" w:sz="0" w:space="0" w:color="auto"/>
                <w:lang w:val="en-NZ" w:eastAsia="en-NZ"/>
              </w:rPr>
              <w:t>)</w:t>
            </w:r>
          </w:p>
        </w:tc>
        <w:tc>
          <w:tcPr>
            <w:tcW w:w="1570" w:type="dxa"/>
            <w:shd w:val="clear" w:color="auto" w:fill="auto"/>
            <w:vAlign w:val="center"/>
          </w:tcPr>
          <w:p w:rsidR="00BA21D9" w:rsidRPr="00804AE3"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lang w:val="en-NZ" w:eastAsia="en-NZ"/>
              </w:rPr>
            </w:pPr>
            <w:r>
              <w:rPr>
                <w:color w:val="000000" w:themeColor="text1"/>
                <w:kern w:val="24"/>
                <w:sz w:val="20"/>
                <w:szCs w:val="20"/>
                <w:bdr w:val="none" w:sz="0" w:space="0" w:color="auto"/>
                <w:lang w:eastAsia="en-NZ"/>
              </w:rPr>
              <w:t xml:space="preserve">   0.203</w:t>
            </w:r>
            <w:r w:rsidRPr="00804AE3">
              <w:rPr>
                <w:color w:val="000000" w:themeColor="text1"/>
                <w:kern w:val="24"/>
                <w:sz w:val="20"/>
                <w:szCs w:val="20"/>
                <w:bdr w:val="none" w:sz="0" w:space="0" w:color="auto"/>
                <w:vertAlign w:val="superscript"/>
                <w:lang w:eastAsia="en-NZ"/>
              </w:rPr>
              <w:t>*</w:t>
            </w:r>
            <w:r>
              <w:rPr>
                <w:color w:val="000000" w:themeColor="text1"/>
                <w:kern w:val="24"/>
                <w:sz w:val="20"/>
                <w:szCs w:val="20"/>
                <w:bdr w:val="none" w:sz="0" w:space="0" w:color="auto"/>
                <w:vertAlign w:val="superscript"/>
                <w:lang w:eastAsia="en-NZ"/>
              </w:rPr>
              <w:t>*</w:t>
            </w:r>
            <w:r w:rsidRPr="00804AE3">
              <w:rPr>
                <w:color w:val="000000" w:themeColor="text1"/>
                <w:kern w:val="24"/>
                <w:sz w:val="20"/>
                <w:szCs w:val="20"/>
                <w:bdr w:val="none" w:sz="0" w:space="0" w:color="auto"/>
                <w:vertAlign w:val="superscript"/>
                <w:lang w:eastAsia="en-NZ"/>
              </w:rPr>
              <w:t>*</w:t>
            </w:r>
          </w:p>
          <w:p w:rsidR="00BA21D9" w:rsidRPr="00804AE3"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(0.023</w:t>
            </w:r>
            <w:r w:rsidRPr="00804AE3">
              <w:rPr>
                <w:rFonts w:eastAsia="Times New Roman"/>
                <w:sz w:val="20"/>
                <w:szCs w:val="20"/>
                <w:bdr w:val="none" w:sz="0" w:space="0" w:color="auto"/>
                <w:lang w:val="en-NZ" w:eastAsia="en-NZ"/>
              </w:rPr>
              <w:t>)</w:t>
            </w:r>
          </w:p>
        </w:tc>
        <w:tc>
          <w:tcPr>
            <w:tcW w:w="1588" w:type="dxa"/>
            <w:shd w:val="clear" w:color="auto" w:fill="auto"/>
            <w:vAlign w:val="center"/>
          </w:tcPr>
          <w:p w:rsidR="00BA21D9" w:rsidRPr="00804AE3"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lang w:val="en-NZ" w:eastAsia="en-NZ"/>
              </w:rPr>
            </w:pPr>
            <w:r>
              <w:rPr>
                <w:color w:val="000000" w:themeColor="text1"/>
                <w:kern w:val="24"/>
                <w:sz w:val="20"/>
                <w:szCs w:val="20"/>
                <w:bdr w:val="none" w:sz="0" w:space="0" w:color="auto"/>
                <w:lang w:eastAsia="en-NZ"/>
              </w:rPr>
              <w:t xml:space="preserve">   0.210</w:t>
            </w:r>
            <w:r w:rsidRPr="00804AE3">
              <w:rPr>
                <w:color w:val="000000" w:themeColor="text1"/>
                <w:kern w:val="24"/>
                <w:sz w:val="20"/>
                <w:szCs w:val="20"/>
                <w:bdr w:val="none" w:sz="0" w:space="0" w:color="auto"/>
                <w:vertAlign w:val="superscript"/>
                <w:lang w:eastAsia="en-NZ"/>
              </w:rPr>
              <w:t>*</w:t>
            </w:r>
            <w:r>
              <w:rPr>
                <w:color w:val="000000" w:themeColor="text1"/>
                <w:kern w:val="24"/>
                <w:sz w:val="20"/>
                <w:szCs w:val="20"/>
                <w:bdr w:val="none" w:sz="0" w:space="0" w:color="auto"/>
                <w:vertAlign w:val="superscript"/>
                <w:lang w:eastAsia="en-NZ"/>
              </w:rPr>
              <w:t>*</w:t>
            </w:r>
            <w:r w:rsidRPr="00804AE3">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b/>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(0.023</w:t>
            </w:r>
            <w:r w:rsidRPr="00804AE3">
              <w:rPr>
                <w:rFonts w:eastAsia="Times New Roman"/>
                <w:sz w:val="20"/>
                <w:szCs w:val="20"/>
                <w:bdr w:val="none" w:sz="0" w:space="0" w:color="auto"/>
                <w:lang w:val="en-NZ" w:eastAsia="en-NZ"/>
              </w:rPr>
              <w:t>)</w:t>
            </w:r>
          </w:p>
        </w:tc>
      </w:tr>
      <w:tr w:rsidR="00BA21D9" w:rsidRPr="0043730F" w:rsidTr="0063534E">
        <w:trPr>
          <w:trHeight w:val="284"/>
          <w:jc w:val="center"/>
        </w:trPr>
        <w:tc>
          <w:tcPr>
            <w:tcW w:w="4317"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European</w:t>
            </w:r>
          </w:p>
        </w:tc>
        <w:tc>
          <w:tcPr>
            <w:tcW w:w="1574"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060</w:t>
            </w:r>
            <w:r w:rsidRPr="001F3FFC">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(0.033</w:t>
            </w:r>
            <w:r w:rsidRPr="001F3FFC">
              <w:rPr>
                <w:rFonts w:eastAsia="Times New Roman"/>
                <w:sz w:val="20"/>
                <w:szCs w:val="20"/>
                <w:bdr w:val="none" w:sz="0" w:space="0" w:color="auto"/>
                <w:lang w:val="en-NZ" w:eastAsia="en-NZ"/>
              </w:rPr>
              <w:t>)</w:t>
            </w:r>
          </w:p>
        </w:tc>
        <w:tc>
          <w:tcPr>
            <w:tcW w:w="1570"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060</w:t>
            </w:r>
            <w:r>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(0.033</w:t>
            </w:r>
            <w:r w:rsidRPr="001F3FFC">
              <w:rPr>
                <w:rFonts w:eastAsia="Times New Roman"/>
                <w:sz w:val="20"/>
                <w:szCs w:val="20"/>
                <w:bdr w:val="none" w:sz="0" w:space="0" w:color="auto"/>
                <w:lang w:val="en-NZ" w:eastAsia="en-NZ"/>
              </w:rPr>
              <w:t>)</w:t>
            </w:r>
          </w:p>
        </w:tc>
        <w:tc>
          <w:tcPr>
            <w:tcW w:w="1588"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062</w:t>
            </w:r>
            <w:r>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(0.035</w:t>
            </w:r>
            <w:r w:rsidRPr="001F3FFC">
              <w:rPr>
                <w:rFonts w:eastAsia="Times New Roman"/>
                <w:sz w:val="20"/>
                <w:szCs w:val="20"/>
                <w:bdr w:val="none" w:sz="0" w:space="0" w:color="auto"/>
                <w:lang w:val="en-NZ" w:eastAsia="en-NZ"/>
              </w:rPr>
              <w:t>)</w:t>
            </w:r>
          </w:p>
        </w:tc>
      </w:tr>
      <w:tr w:rsidR="00BA21D9" w:rsidRPr="0043730F" w:rsidTr="0063534E">
        <w:trPr>
          <w:trHeight w:val="284"/>
          <w:jc w:val="center"/>
        </w:trPr>
        <w:tc>
          <w:tcPr>
            <w:tcW w:w="4317"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Maori</w:t>
            </w:r>
          </w:p>
        </w:tc>
        <w:tc>
          <w:tcPr>
            <w:tcW w:w="1574"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013</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(0.032</w:t>
            </w:r>
            <w:r w:rsidRPr="001F3FFC">
              <w:rPr>
                <w:rFonts w:eastAsia="Times New Roman"/>
                <w:sz w:val="20"/>
                <w:szCs w:val="20"/>
                <w:bdr w:val="none" w:sz="0" w:space="0" w:color="auto"/>
                <w:lang w:val="en-NZ" w:eastAsia="en-NZ"/>
              </w:rPr>
              <w:t>)</w:t>
            </w:r>
          </w:p>
        </w:tc>
        <w:tc>
          <w:tcPr>
            <w:tcW w:w="1570"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014</w:t>
            </w:r>
          </w:p>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(0.032</w:t>
            </w:r>
            <w:r w:rsidRPr="001F3FFC">
              <w:rPr>
                <w:rFonts w:eastAsia="Times New Roman"/>
                <w:sz w:val="20"/>
                <w:szCs w:val="20"/>
                <w:bdr w:val="none" w:sz="0" w:space="0" w:color="auto"/>
                <w:lang w:val="en-NZ" w:eastAsia="en-NZ"/>
              </w:rPr>
              <w:t>)</w:t>
            </w:r>
          </w:p>
        </w:tc>
        <w:tc>
          <w:tcPr>
            <w:tcW w:w="1588"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014</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(0.034</w:t>
            </w:r>
            <w:r w:rsidRPr="001F3FFC">
              <w:rPr>
                <w:rFonts w:eastAsia="Times New Roman"/>
                <w:sz w:val="20"/>
                <w:szCs w:val="20"/>
                <w:bdr w:val="none" w:sz="0" w:space="0" w:color="auto"/>
                <w:lang w:val="en-NZ" w:eastAsia="en-NZ"/>
              </w:rPr>
              <w:t>)</w:t>
            </w:r>
          </w:p>
        </w:tc>
      </w:tr>
      <w:tr w:rsidR="00BA21D9" w:rsidRPr="0043730F" w:rsidTr="0063534E">
        <w:trPr>
          <w:trHeight w:val="284"/>
          <w:jc w:val="center"/>
        </w:trPr>
        <w:tc>
          <w:tcPr>
            <w:tcW w:w="4317" w:type="dxa"/>
            <w:shd w:val="clear" w:color="auto" w:fill="auto"/>
            <w:tcMar>
              <w:top w:w="28" w:type="dxa"/>
              <w:left w:w="108" w:type="dxa"/>
              <w:bottom w:w="28" w:type="dxa"/>
              <w:right w:w="108" w:type="dxa"/>
            </w:tcMar>
            <w:vAlign w:val="cente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Pacific</w:t>
            </w:r>
          </w:p>
        </w:tc>
        <w:tc>
          <w:tcPr>
            <w:tcW w:w="1574"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0</w:t>
            </w:r>
            <w:r w:rsidRPr="004F4C26">
              <w:rPr>
                <w:color w:val="000000" w:themeColor="text1"/>
                <w:kern w:val="24"/>
                <w:sz w:val="20"/>
                <w:szCs w:val="20"/>
                <w:bdr w:val="none" w:sz="0" w:space="0" w:color="auto"/>
                <w:lang w:eastAsia="en-NZ"/>
              </w:rPr>
              <w:t>.</w:t>
            </w:r>
            <w:r>
              <w:rPr>
                <w:color w:val="000000" w:themeColor="text1"/>
                <w:kern w:val="24"/>
                <w:sz w:val="20"/>
                <w:szCs w:val="20"/>
                <w:bdr w:val="none" w:sz="0" w:space="0" w:color="auto"/>
                <w:lang w:eastAsia="en-NZ"/>
              </w:rPr>
              <w:t>031</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(0.041</w:t>
            </w:r>
            <w:r w:rsidRPr="001F3FFC">
              <w:rPr>
                <w:rFonts w:eastAsia="Times New Roman"/>
                <w:sz w:val="20"/>
                <w:szCs w:val="20"/>
                <w:bdr w:val="none" w:sz="0" w:space="0" w:color="auto"/>
                <w:lang w:val="en-NZ" w:eastAsia="en-NZ"/>
              </w:rPr>
              <w:t>)</w:t>
            </w:r>
          </w:p>
        </w:tc>
        <w:tc>
          <w:tcPr>
            <w:tcW w:w="1570"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0</w:t>
            </w:r>
            <w:r w:rsidRPr="004F4C26">
              <w:rPr>
                <w:color w:val="000000" w:themeColor="text1"/>
                <w:kern w:val="24"/>
                <w:sz w:val="20"/>
                <w:szCs w:val="20"/>
                <w:bdr w:val="none" w:sz="0" w:space="0" w:color="auto"/>
                <w:lang w:eastAsia="en-NZ"/>
              </w:rPr>
              <w:t>.</w:t>
            </w:r>
            <w:r>
              <w:rPr>
                <w:color w:val="000000" w:themeColor="text1"/>
                <w:kern w:val="24"/>
                <w:sz w:val="20"/>
                <w:szCs w:val="20"/>
                <w:bdr w:val="none" w:sz="0" w:space="0" w:color="auto"/>
                <w:lang w:eastAsia="en-NZ"/>
              </w:rPr>
              <w:t>033</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(0.043</w:t>
            </w:r>
            <w:r w:rsidRPr="001F3FFC">
              <w:rPr>
                <w:rFonts w:eastAsia="Times New Roman"/>
                <w:sz w:val="20"/>
                <w:szCs w:val="20"/>
                <w:bdr w:val="none" w:sz="0" w:space="0" w:color="auto"/>
                <w:lang w:val="en-NZ" w:eastAsia="en-NZ"/>
              </w:rPr>
              <w:t>)</w:t>
            </w:r>
          </w:p>
        </w:tc>
        <w:tc>
          <w:tcPr>
            <w:tcW w:w="1588"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0</w:t>
            </w:r>
            <w:r w:rsidRPr="004F4C26">
              <w:rPr>
                <w:color w:val="000000" w:themeColor="text1"/>
                <w:kern w:val="24"/>
                <w:sz w:val="20"/>
                <w:szCs w:val="20"/>
                <w:bdr w:val="none" w:sz="0" w:space="0" w:color="auto"/>
                <w:lang w:eastAsia="en-NZ"/>
              </w:rPr>
              <w:t>.</w:t>
            </w:r>
            <w:r>
              <w:rPr>
                <w:color w:val="000000" w:themeColor="text1"/>
                <w:kern w:val="24"/>
                <w:sz w:val="20"/>
                <w:szCs w:val="20"/>
                <w:bdr w:val="none" w:sz="0" w:space="0" w:color="auto"/>
                <w:lang w:eastAsia="en-NZ"/>
              </w:rPr>
              <w:t>036</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(0.046</w:t>
            </w:r>
            <w:r w:rsidRPr="001F3FFC">
              <w:rPr>
                <w:rFonts w:eastAsia="Times New Roman"/>
                <w:sz w:val="20"/>
                <w:szCs w:val="20"/>
                <w:bdr w:val="none" w:sz="0" w:space="0" w:color="auto"/>
                <w:lang w:val="en-NZ" w:eastAsia="en-NZ"/>
              </w:rPr>
              <w:t>)</w:t>
            </w:r>
          </w:p>
        </w:tc>
      </w:tr>
      <w:tr w:rsidR="00BA21D9" w:rsidRPr="0043730F" w:rsidTr="0063534E">
        <w:trPr>
          <w:trHeight w:val="284"/>
          <w:jc w:val="center"/>
        </w:trPr>
        <w:tc>
          <w:tcPr>
            <w:tcW w:w="4317" w:type="dxa"/>
            <w:shd w:val="clear" w:color="auto" w:fill="auto"/>
            <w:tcMar>
              <w:top w:w="28" w:type="dxa"/>
              <w:left w:w="108" w:type="dxa"/>
              <w:bottom w:w="28" w:type="dxa"/>
              <w:right w:w="108" w:type="dxa"/>
            </w:tcMar>
            <w:vAlign w:val="cente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Asian</w:t>
            </w:r>
          </w:p>
        </w:tc>
        <w:tc>
          <w:tcPr>
            <w:tcW w:w="1574"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094</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(0.083</w:t>
            </w:r>
            <w:r w:rsidRPr="001F3FFC">
              <w:rPr>
                <w:rFonts w:eastAsia="Times New Roman"/>
                <w:sz w:val="20"/>
                <w:szCs w:val="20"/>
                <w:bdr w:val="none" w:sz="0" w:space="0" w:color="auto"/>
                <w:lang w:val="en-NZ" w:eastAsia="en-NZ"/>
              </w:rPr>
              <w:t>)</w:t>
            </w:r>
          </w:p>
        </w:tc>
        <w:tc>
          <w:tcPr>
            <w:tcW w:w="1570"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094</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(0.083</w:t>
            </w:r>
            <w:r w:rsidRPr="001F3FFC">
              <w:rPr>
                <w:rFonts w:eastAsia="Times New Roman"/>
                <w:sz w:val="20"/>
                <w:szCs w:val="20"/>
                <w:bdr w:val="none" w:sz="0" w:space="0" w:color="auto"/>
                <w:lang w:val="en-NZ" w:eastAsia="en-NZ"/>
              </w:rPr>
              <w:t>)</w:t>
            </w:r>
          </w:p>
        </w:tc>
        <w:tc>
          <w:tcPr>
            <w:tcW w:w="1588"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099</w:t>
            </w:r>
          </w:p>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(0.096</w:t>
            </w:r>
            <w:r w:rsidRPr="001F3FFC">
              <w:rPr>
                <w:rFonts w:eastAsia="Times New Roman"/>
                <w:sz w:val="20"/>
                <w:szCs w:val="20"/>
                <w:bdr w:val="none" w:sz="0" w:space="0" w:color="auto"/>
                <w:lang w:val="en-NZ" w:eastAsia="en-NZ"/>
              </w:rPr>
              <w:t>)</w:t>
            </w:r>
          </w:p>
        </w:tc>
      </w:tr>
      <w:tr w:rsidR="00BA21D9" w:rsidRPr="0043730F" w:rsidTr="0063534E">
        <w:trPr>
          <w:trHeight w:val="284"/>
          <w:jc w:val="center"/>
        </w:trPr>
        <w:tc>
          <w:tcPr>
            <w:tcW w:w="4317" w:type="dxa"/>
            <w:shd w:val="clear" w:color="auto" w:fill="auto"/>
            <w:tcMar>
              <w:top w:w="28" w:type="dxa"/>
              <w:left w:w="108" w:type="dxa"/>
              <w:bottom w:w="28" w:type="dxa"/>
              <w:right w:w="108" w:type="dxa"/>
            </w:tcMar>
            <w:vAlign w:val="cente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Other ethnicity</w:t>
            </w:r>
          </w:p>
        </w:tc>
        <w:tc>
          <w:tcPr>
            <w:tcW w:w="1574"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385</w:t>
            </w:r>
            <w:r w:rsidRPr="001F3FFC">
              <w:rPr>
                <w:color w:val="000000" w:themeColor="text1"/>
                <w:kern w:val="24"/>
                <w:sz w:val="20"/>
                <w:szCs w:val="20"/>
                <w:bdr w:val="none" w:sz="0" w:space="0" w:color="auto"/>
                <w:vertAlign w:val="superscript"/>
                <w:lang w:eastAsia="en-NZ"/>
              </w:rPr>
              <w:t>*</w:t>
            </w:r>
            <w:r>
              <w:rPr>
                <w:color w:val="000000" w:themeColor="text1"/>
                <w:kern w:val="24"/>
                <w:sz w:val="20"/>
                <w:szCs w:val="20"/>
                <w:bdr w:val="none" w:sz="0" w:space="0" w:color="auto"/>
                <w:vertAlign w:val="superscript"/>
                <w:lang w:eastAsia="en-NZ"/>
              </w:rPr>
              <w:t>*</w:t>
            </w:r>
            <w:r w:rsidRPr="001F3FFC">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(0.105</w:t>
            </w:r>
            <w:r w:rsidRPr="001F3FFC">
              <w:rPr>
                <w:rFonts w:eastAsia="Times New Roman"/>
                <w:sz w:val="20"/>
                <w:szCs w:val="20"/>
                <w:bdr w:val="none" w:sz="0" w:space="0" w:color="auto"/>
                <w:lang w:val="en-NZ" w:eastAsia="en-NZ"/>
              </w:rPr>
              <w:t>)</w:t>
            </w:r>
          </w:p>
        </w:tc>
        <w:tc>
          <w:tcPr>
            <w:tcW w:w="1570"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385</w:t>
            </w:r>
            <w:r w:rsidRPr="001F3FFC">
              <w:rPr>
                <w:color w:val="000000" w:themeColor="text1"/>
                <w:kern w:val="24"/>
                <w:sz w:val="20"/>
                <w:szCs w:val="20"/>
                <w:bdr w:val="none" w:sz="0" w:space="0" w:color="auto"/>
                <w:vertAlign w:val="superscript"/>
                <w:lang w:eastAsia="en-NZ"/>
              </w:rPr>
              <w:t>*</w:t>
            </w:r>
            <w:r>
              <w:rPr>
                <w:color w:val="000000" w:themeColor="text1"/>
                <w:kern w:val="24"/>
                <w:sz w:val="20"/>
                <w:szCs w:val="20"/>
                <w:bdr w:val="none" w:sz="0" w:space="0" w:color="auto"/>
                <w:vertAlign w:val="superscript"/>
                <w:lang w:eastAsia="en-NZ"/>
              </w:rPr>
              <w:t>*</w:t>
            </w:r>
            <w:r w:rsidRPr="001F3FFC">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(0.105</w:t>
            </w:r>
            <w:r w:rsidRPr="001F3FFC">
              <w:rPr>
                <w:rFonts w:eastAsia="Times New Roman"/>
                <w:sz w:val="20"/>
                <w:szCs w:val="20"/>
                <w:bdr w:val="none" w:sz="0" w:space="0" w:color="auto"/>
                <w:lang w:val="en-NZ" w:eastAsia="en-NZ"/>
              </w:rPr>
              <w:t>)</w:t>
            </w:r>
          </w:p>
        </w:tc>
        <w:tc>
          <w:tcPr>
            <w:tcW w:w="1588"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407</w:t>
            </w:r>
            <w:r w:rsidRPr="001F3FFC">
              <w:rPr>
                <w:color w:val="000000" w:themeColor="text1"/>
                <w:kern w:val="24"/>
                <w:sz w:val="20"/>
                <w:szCs w:val="20"/>
                <w:bdr w:val="none" w:sz="0" w:space="0" w:color="auto"/>
                <w:vertAlign w:val="superscript"/>
                <w:lang w:eastAsia="en-NZ"/>
              </w:rPr>
              <w:t>*</w:t>
            </w:r>
            <w:r>
              <w:rPr>
                <w:color w:val="000000" w:themeColor="text1"/>
                <w:kern w:val="24"/>
                <w:sz w:val="20"/>
                <w:szCs w:val="20"/>
                <w:bdr w:val="none" w:sz="0" w:space="0" w:color="auto"/>
                <w:vertAlign w:val="superscript"/>
                <w:lang w:eastAsia="en-NZ"/>
              </w:rPr>
              <w:t>*</w:t>
            </w:r>
            <w:r w:rsidRPr="001F3FFC">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(0.109</w:t>
            </w:r>
            <w:r w:rsidRPr="001F3FFC">
              <w:rPr>
                <w:rFonts w:eastAsia="Times New Roman"/>
                <w:sz w:val="20"/>
                <w:szCs w:val="20"/>
                <w:bdr w:val="none" w:sz="0" w:space="0" w:color="auto"/>
                <w:lang w:val="en-NZ" w:eastAsia="en-NZ"/>
              </w:rPr>
              <w:t>)</w:t>
            </w:r>
          </w:p>
        </w:tc>
      </w:tr>
      <w:tr w:rsidR="00BA21D9" w:rsidRPr="0043730F" w:rsidTr="0063534E">
        <w:trPr>
          <w:trHeight w:val="284"/>
          <w:jc w:val="center"/>
        </w:trPr>
        <w:tc>
          <w:tcPr>
            <w:tcW w:w="4317" w:type="dxa"/>
            <w:shd w:val="clear" w:color="auto" w:fill="auto"/>
            <w:tcMar>
              <w:top w:w="28" w:type="dxa"/>
              <w:left w:w="108" w:type="dxa"/>
              <w:bottom w:w="28" w:type="dxa"/>
              <w:right w:w="108" w:type="dxa"/>
            </w:tcMar>
            <w:vAlign w:val="cente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1992 birth cohort</w:t>
            </w:r>
          </w:p>
        </w:tc>
        <w:tc>
          <w:tcPr>
            <w:tcW w:w="1574"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073</w:t>
            </w:r>
            <w:r w:rsidRPr="001F3FFC">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(0.029</w:t>
            </w:r>
            <w:r w:rsidRPr="001F3FFC">
              <w:rPr>
                <w:rFonts w:eastAsia="Times New Roman"/>
                <w:sz w:val="20"/>
                <w:szCs w:val="20"/>
                <w:bdr w:val="none" w:sz="0" w:space="0" w:color="auto"/>
                <w:lang w:val="en-NZ" w:eastAsia="en-NZ"/>
              </w:rPr>
              <w:t>)</w:t>
            </w:r>
          </w:p>
        </w:tc>
        <w:tc>
          <w:tcPr>
            <w:tcW w:w="1570"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074</w:t>
            </w:r>
            <w:r w:rsidRPr="001F3FFC">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(0.029</w:t>
            </w:r>
            <w:r w:rsidRPr="001F3FFC">
              <w:rPr>
                <w:rFonts w:eastAsia="Times New Roman"/>
                <w:sz w:val="20"/>
                <w:szCs w:val="20"/>
                <w:bdr w:val="none" w:sz="0" w:space="0" w:color="auto"/>
                <w:lang w:val="en-NZ" w:eastAsia="en-NZ"/>
              </w:rPr>
              <w:t>)</w:t>
            </w:r>
          </w:p>
        </w:tc>
        <w:tc>
          <w:tcPr>
            <w:tcW w:w="1588"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078</w:t>
            </w:r>
            <w:r w:rsidRPr="001F3FFC">
              <w:rPr>
                <w:color w:val="000000" w:themeColor="text1"/>
                <w:kern w:val="24"/>
                <w:sz w:val="20"/>
                <w:szCs w:val="20"/>
                <w:bdr w:val="none" w:sz="0" w:space="0" w:color="auto"/>
                <w:vertAlign w:val="superscript"/>
                <w:lang w:eastAsia="en-NZ"/>
              </w:rPr>
              <w:t>*</w:t>
            </w:r>
            <w:r>
              <w:rPr>
                <w:color w:val="000000" w:themeColor="text1"/>
                <w:kern w:val="24"/>
                <w:sz w:val="20"/>
                <w:szCs w:val="20"/>
                <w:bdr w:val="none" w:sz="0" w:space="0" w:color="auto"/>
                <w:vertAlign w:val="superscript"/>
                <w:lang w:eastAsia="en-NZ"/>
              </w:rPr>
              <w:t>*</w:t>
            </w:r>
            <w:r w:rsidRPr="001F3FFC">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(0.029</w:t>
            </w:r>
            <w:r w:rsidRPr="001F3FFC">
              <w:rPr>
                <w:rFonts w:eastAsia="Times New Roman"/>
                <w:sz w:val="20"/>
                <w:szCs w:val="20"/>
                <w:bdr w:val="none" w:sz="0" w:space="0" w:color="auto"/>
                <w:lang w:val="en-NZ" w:eastAsia="en-NZ"/>
              </w:rPr>
              <w:t>)</w:t>
            </w:r>
          </w:p>
        </w:tc>
      </w:tr>
      <w:tr w:rsidR="00BA21D9" w:rsidRPr="0043730F" w:rsidTr="0063534E">
        <w:trPr>
          <w:trHeight w:val="284"/>
          <w:jc w:val="center"/>
        </w:trPr>
        <w:tc>
          <w:tcPr>
            <w:tcW w:w="4317" w:type="dxa"/>
            <w:shd w:val="clear" w:color="auto" w:fill="auto"/>
            <w:tcMar>
              <w:top w:w="28" w:type="dxa"/>
              <w:left w:w="108" w:type="dxa"/>
              <w:bottom w:w="28" w:type="dxa"/>
              <w:right w:w="108" w:type="dxa"/>
            </w:tcMar>
            <w:vAlign w:val="cente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1993 birth cohort</w:t>
            </w:r>
          </w:p>
        </w:tc>
        <w:tc>
          <w:tcPr>
            <w:tcW w:w="1574"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056</w:t>
            </w:r>
            <w:r w:rsidRPr="001F3FFC">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(0.029</w:t>
            </w:r>
            <w:r w:rsidRPr="001F3FFC">
              <w:rPr>
                <w:rFonts w:eastAsia="Times New Roman"/>
                <w:sz w:val="20"/>
                <w:szCs w:val="20"/>
                <w:bdr w:val="none" w:sz="0" w:space="0" w:color="auto"/>
                <w:lang w:val="en-NZ" w:eastAsia="en-NZ"/>
              </w:rPr>
              <w:t>)</w:t>
            </w:r>
          </w:p>
        </w:tc>
        <w:tc>
          <w:tcPr>
            <w:tcW w:w="1570"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056</w:t>
            </w:r>
            <w:r w:rsidRPr="001F3FFC">
              <w:rPr>
                <w:color w:val="000000" w:themeColor="text1"/>
                <w:kern w:val="24"/>
                <w:sz w:val="20"/>
                <w:szCs w:val="20"/>
                <w:bdr w:val="none" w:sz="0" w:space="0" w:color="auto"/>
                <w:vertAlign w:val="superscript"/>
                <w:lang w:eastAsia="en-NZ"/>
              </w:rPr>
              <w:t>*</w:t>
            </w:r>
          </w:p>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(0.029</w:t>
            </w:r>
            <w:r w:rsidRPr="001F3FFC">
              <w:rPr>
                <w:rFonts w:eastAsia="Times New Roman"/>
                <w:sz w:val="20"/>
                <w:szCs w:val="20"/>
                <w:bdr w:val="none" w:sz="0" w:space="0" w:color="auto"/>
                <w:lang w:val="en-NZ" w:eastAsia="en-NZ"/>
              </w:rPr>
              <w:t>)</w:t>
            </w:r>
          </w:p>
        </w:tc>
        <w:tc>
          <w:tcPr>
            <w:tcW w:w="1588"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060</w:t>
            </w:r>
            <w:r w:rsidRPr="001F3FFC">
              <w:rPr>
                <w:color w:val="000000" w:themeColor="text1"/>
                <w:kern w:val="24"/>
                <w:sz w:val="20"/>
                <w:szCs w:val="20"/>
                <w:bdr w:val="none" w:sz="0" w:space="0" w:color="auto"/>
                <w:vertAlign w:val="superscript"/>
                <w:lang w:eastAsia="en-NZ"/>
              </w:rPr>
              <w:t>*</w:t>
            </w:r>
            <w:r>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(0.029</w:t>
            </w:r>
            <w:r w:rsidRPr="001F3FFC">
              <w:rPr>
                <w:rFonts w:eastAsia="Times New Roman"/>
                <w:sz w:val="20"/>
                <w:szCs w:val="20"/>
                <w:bdr w:val="none" w:sz="0" w:space="0" w:color="auto"/>
                <w:lang w:val="en-NZ" w:eastAsia="en-NZ"/>
              </w:rPr>
              <w:t>)</w:t>
            </w:r>
          </w:p>
        </w:tc>
      </w:tr>
      <w:tr w:rsidR="00BA21D9" w:rsidRPr="0043730F" w:rsidTr="0063534E">
        <w:trPr>
          <w:trHeight w:val="284"/>
          <w:jc w:val="center"/>
        </w:trPr>
        <w:tc>
          <w:tcPr>
            <w:tcW w:w="4317" w:type="dxa"/>
            <w:shd w:val="clear" w:color="auto" w:fill="auto"/>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sidRPr="0099559F">
              <w:rPr>
                <w:color w:val="000000" w:themeColor="text1"/>
                <w:kern w:val="24"/>
                <w:sz w:val="20"/>
                <w:szCs w:val="20"/>
                <w:bdr w:val="none" w:sz="0" w:space="0" w:color="auto"/>
                <w:lang w:eastAsia="en-NZ"/>
              </w:rPr>
              <w:t>1994 birth cohort</w:t>
            </w:r>
          </w:p>
        </w:tc>
        <w:tc>
          <w:tcPr>
            <w:tcW w:w="1574"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077</w:t>
            </w:r>
            <w:r w:rsidRPr="001F3FFC">
              <w:rPr>
                <w:color w:val="000000" w:themeColor="text1"/>
                <w:kern w:val="24"/>
                <w:sz w:val="20"/>
                <w:szCs w:val="20"/>
                <w:bdr w:val="none" w:sz="0" w:space="0" w:color="auto"/>
                <w:vertAlign w:val="superscript"/>
                <w:lang w:eastAsia="en-NZ"/>
              </w:rPr>
              <w:t>*</w:t>
            </w:r>
            <w:r>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(0.032</w:t>
            </w:r>
            <w:r w:rsidRPr="001F3FFC">
              <w:rPr>
                <w:rFonts w:eastAsia="Times New Roman"/>
                <w:sz w:val="20"/>
                <w:szCs w:val="20"/>
                <w:bdr w:val="none" w:sz="0" w:space="0" w:color="auto"/>
                <w:lang w:val="en-NZ" w:eastAsia="en-NZ"/>
              </w:rPr>
              <w:t>)</w:t>
            </w:r>
          </w:p>
        </w:tc>
        <w:tc>
          <w:tcPr>
            <w:tcW w:w="1570"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077</w:t>
            </w:r>
            <w:r w:rsidRPr="001F3FFC">
              <w:rPr>
                <w:color w:val="000000" w:themeColor="text1"/>
                <w:kern w:val="24"/>
                <w:sz w:val="20"/>
                <w:szCs w:val="20"/>
                <w:bdr w:val="none" w:sz="0" w:space="0" w:color="auto"/>
                <w:vertAlign w:val="superscript"/>
                <w:lang w:eastAsia="en-NZ"/>
              </w:rPr>
              <w:t>*</w:t>
            </w:r>
            <w:r>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(0.032</w:t>
            </w:r>
            <w:r w:rsidRPr="001F3FFC">
              <w:rPr>
                <w:rFonts w:eastAsia="Times New Roman"/>
                <w:sz w:val="20"/>
                <w:szCs w:val="20"/>
                <w:bdr w:val="none" w:sz="0" w:space="0" w:color="auto"/>
                <w:lang w:val="en-NZ" w:eastAsia="en-NZ"/>
              </w:rPr>
              <w:t>)</w:t>
            </w:r>
          </w:p>
        </w:tc>
        <w:tc>
          <w:tcPr>
            <w:tcW w:w="1588"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075</w:t>
            </w:r>
            <w:r w:rsidRPr="001F3FFC">
              <w:rPr>
                <w:color w:val="000000" w:themeColor="text1"/>
                <w:kern w:val="24"/>
                <w:sz w:val="20"/>
                <w:szCs w:val="20"/>
                <w:bdr w:val="none" w:sz="0" w:space="0" w:color="auto"/>
                <w:vertAlign w:val="superscript"/>
                <w:lang w:eastAsia="en-NZ"/>
              </w:rPr>
              <w:t>*</w:t>
            </w:r>
            <w:r>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(0.032</w:t>
            </w:r>
            <w:r w:rsidRPr="001F3FFC">
              <w:rPr>
                <w:rFonts w:eastAsia="Times New Roman"/>
                <w:sz w:val="20"/>
                <w:szCs w:val="20"/>
                <w:bdr w:val="none" w:sz="0" w:space="0" w:color="auto"/>
                <w:lang w:val="en-NZ" w:eastAsia="en-NZ"/>
              </w:rPr>
              <w:t>)</w:t>
            </w:r>
          </w:p>
        </w:tc>
      </w:tr>
      <w:tr w:rsidR="00BA21D9" w:rsidRPr="0043730F" w:rsidTr="0063534E">
        <w:trPr>
          <w:trHeight w:val="284"/>
          <w:jc w:val="center"/>
        </w:trPr>
        <w:tc>
          <w:tcPr>
            <w:tcW w:w="4317" w:type="dxa"/>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sidRPr="0099559F">
              <w:rPr>
                <w:rFonts w:eastAsia="Times New Roman"/>
                <w:color w:val="000000"/>
                <w:sz w:val="20"/>
                <w:szCs w:val="20"/>
                <w:bdr w:val="none" w:sz="0" w:space="0" w:color="auto"/>
                <w:lang w:val="en-NZ" w:eastAsia="en-NZ"/>
              </w:rPr>
              <w:t xml:space="preserve">Minor urban area </w:t>
            </w:r>
          </w:p>
        </w:tc>
        <w:tc>
          <w:tcPr>
            <w:tcW w:w="1574"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025</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(0.032</w:t>
            </w:r>
            <w:r w:rsidRPr="001F3FFC">
              <w:rPr>
                <w:rFonts w:eastAsia="Times New Roman"/>
                <w:sz w:val="20"/>
                <w:szCs w:val="20"/>
                <w:bdr w:val="none" w:sz="0" w:space="0" w:color="auto"/>
                <w:lang w:val="en-NZ" w:eastAsia="en-NZ"/>
              </w:rPr>
              <w:t>)</w:t>
            </w:r>
          </w:p>
        </w:tc>
        <w:tc>
          <w:tcPr>
            <w:tcW w:w="1570"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028</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(0.038</w:t>
            </w:r>
            <w:r w:rsidRPr="001F3FFC">
              <w:rPr>
                <w:rFonts w:eastAsia="Times New Roman"/>
                <w:sz w:val="20"/>
                <w:szCs w:val="20"/>
                <w:bdr w:val="none" w:sz="0" w:space="0" w:color="auto"/>
                <w:lang w:val="en-NZ" w:eastAsia="en-NZ"/>
              </w:rPr>
              <w:t>)</w:t>
            </w:r>
          </w:p>
        </w:tc>
        <w:tc>
          <w:tcPr>
            <w:tcW w:w="1588"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028</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(0.040</w:t>
            </w:r>
            <w:r w:rsidRPr="001F3FFC">
              <w:rPr>
                <w:rFonts w:eastAsia="Times New Roman"/>
                <w:sz w:val="20"/>
                <w:szCs w:val="20"/>
                <w:bdr w:val="none" w:sz="0" w:space="0" w:color="auto"/>
                <w:lang w:val="en-NZ" w:eastAsia="en-NZ"/>
              </w:rPr>
              <w:t>)</w:t>
            </w:r>
          </w:p>
        </w:tc>
      </w:tr>
      <w:tr w:rsidR="00BA21D9" w:rsidRPr="0043730F" w:rsidTr="0063534E">
        <w:trPr>
          <w:trHeight w:val="284"/>
          <w:jc w:val="center"/>
        </w:trPr>
        <w:tc>
          <w:tcPr>
            <w:tcW w:w="4317" w:type="dxa"/>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sidRPr="0099559F">
              <w:rPr>
                <w:rFonts w:eastAsia="Times New Roman"/>
                <w:color w:val="000000"/>
                <w:sz w:val="20"/>
                <w:szCs w:val="20"/>
                <w:bdr w:val="none" w:sz="0" w:space="0" w:color="auto"/>
                <w:lang w:val="en-NZ" w:eastAsia="en-NZ"/>
              </w:rPr>
              <w:t>Secondary urban area</w:t>
            </w:r>
          </w:p>
        </w:tc>
        <w:tc>
          <w:tcPr>
            <w:tcW w:w="1574"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050</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(0.037</w:t>
            </w:r>
            <w:r w:rsidRPr="001F3FFC">
              <w:rPr>
                <w:rFonts w:eastAsia="Times New Roman"/>
                <w:sz w:val="20"/>
                <w:szCs w:val="20"/>
                <w:bdr w:val="none" w:sz="0" w:space="0" w:color="auto"/>
                <w:lang w:val="en-NZ" w:eastAsia="en-NZ"/>
              </w:rPr>
              <w:t>)</w:t>
            </w:r>
          </w:p>
        </w:tc>
        <w:tc>
          <w:tcPr>
            <w:tcW w:w="1570"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048</w:t>
            </w:r>
          </w:p>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(0.039</w:t>
            </w:r>
            <w:r w:rsidRPr="001F3FFC">
              <w:rPr>
                <w:rFonts w:eastAsia="Times New Roman"/>
                <w:sz w:val="20"/>
                <w:szCs w:val="20"/>
                <w:bdr w:val="none" w:sz="0" w:space="0" w:color="auto"/>
                <w:lang w:val="en-NZ" w:eastAsia="en-NZ"/>
              </w:rPr>
              <w:t>)</w:t>
            </w:r>
          </w:p>
        </w:tc>
        <w:tc>
          <w:tcPr>
            <w:tcW w:w="1588"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047</w:t>
            </w:r>
          </w:p>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(0.043</w:t>
            </w:r>
            <w:r w:rsidRPr="001F3FFC">
              <w:rPr>
                <w:rFonts w:eastAsia="Times New Roman"/>
                <w:sz w:val="20"/>
                <w:szCs w:val="20"/>
                <w:bdr w:val="none" w:sz="0" w:space="0" w:color="auto"/>
                <w:lang w:val="en-NZ" w:eastAsia="en-NZ"/>
              </w:rPr>
              <w:t>)</w:t>
            </w:r>
          </w:p>
        </w:tc>
      </w:tr>
      <w:tr w:rsidR="00BA21D9" w:rsidRPr="0043730F" w:rsidTr="0063534E">
        <w:trPr>
          <w:trHeight w:val="284"/>
          <w:jc w:val="center"/>
        </w:trPr>
        <w:tc>
          <w:tcPr>
            <w:tcW w:w="4317" w:type="dxa"/>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sidRPr="0099559F">
              <w:rPr>
                <w:rFonts w:eastAsia="Times New Roman"/>
                <w:color w:val="000000"/>
                <w:sz w:val="20"/>
                <w:szCs w:val="20"/>
                <w:bdr w:val="none" w:sz="0" w:space="0" w:color="auto"/>
                <w:lang w:val="en-NZ" w:eastAsia="en-NZ"/>
              </w:rPr>
              <w:t xml:space="preserve">Rural area </w:t>
            </w:r>
          </w:p>
        </w:tc>
        <w:tc>
          <w:tcPr>
            <w:tcW w:w="1574"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082</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(0.066</w:t>
            </w:r>
            <w:r w:rsidRPr="001F3FFC">
              <w:rPr>
                <w:rFonts w:eastAsia="Times New Roman"/>
                <w:sz w:val="20"/>
                <w:szCs w:val="20"/>
                <w:bdr w:val="none" w:sz="0" w:space="0" w:color="auto"/>
                <w:lang w:val="en-NZ" w:eastAsia="en-NZ"/>
              </w:rPr>
              <w:t>)</w:t>
            </w:r>
          </w:p>
        </w:tc>
        <w:tc>
          <w:tcPr>
            <w:tcW w:w="1570"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080</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(0.067</w:t>
            </w:r>
            <w:r w:rsidRPr="001F3FFC">
              <w:rPr>
                <w:rFonts w:eastAsia="Times New Roman"/>
                <w:sz w:val="20"/>
                <w:szCs w:val="20"/>
                <w:bdr w:val="none" w:sz="0" w:space="0" w:color="auto"/>
                <w:lang w:val="en-NZ" w:eastAsia="en-NZ"/>
              </w:rPr>
              <w:t>)</w:t>
            </w:r>
          </w:p>
        </w:tc>
        <w:tc>
          <w:tcPr>
            <w:tcW w:w="1588"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076</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(0.076</w:t>
            </w:r>
            <w:r w:rsidRPr="001F3FFC">
              <w:rPr>
                <w:rFonts w:eastAsia="Times New Roman"/>
                <w:sz w:val="20"/>
                <w:szCs w:val="20"/>
                <w:bdr w:val="none" w:sz="0" w:space="0" w:color="auto"/>
                <w:lang w:val="en-NZ" w:eastAsia="en-NZ"/>
              </w:rPr>
              <w:t>)</w:t>
            </w:r>
          </w:p>
        </w:tc>
      </w:tr>
      <w:tr w:rsidR="00BA21D9" w:rsidRPr="0043730F" w:rsidTr="0063534E">
        <w:trPr>
          <w:trHeight w:val="284"/>
          <w:jc w:val="center"/>
        </w:trPr>
        <w:tc>
          <w:tcPr>
            <w:tcW w:w="4317" w:type="dxa"/>
            <w:shd w:val="clear" w:color="auto" w:fill="auto"/>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sidRPr="0099559F">
              <w:rPr>
                <w:rFonts w:eastAsia="Times New Roman"/>
                <w:color w:val="000000"/>
                <w:sz w:val="20"/>
                <w:szCs w:val="20"/>
                <w:bdr w:val="none" w:sz="0" w:space="0" w:color="auto"/>
                <w:lang w:val="en-NZ" w:eastAsia="en-NZ"/>
              </w:rPr>
              <w:t>Rural/urban not applicable/missing</w:t>
            </w:r>
          </w:p>
        </w:tc>
        <w:tc>
          <w:tcPr>
            <w:tcW w:w="1574"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074</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(0.081</w:t>
            </w:r>
            <w:r w:rsidRPr="001F3FFC">
              <w:rPr>
                <w:rFonts w:eastAsia="Times New Roman"/>
                <w:sz w:val="20"/>
                <w:szCs w:val="20"/>
                <w:bdr w:val="none" w:sz="0" w:space="0" w:color="auto"/>
                <w:lang w:val="en-NZ" w:eastAsia="en-NZ"/>
              </w:rPr>
              <w:t>)</w:t>
            </w:r>
          </w:p>
        </w:tc>
        <w:tc>
          <w:tcPr>
            <w:tcW w:w="1570"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080</w:t>
            </w:r>
          </w:p>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(0.089</w:t>
            </w:r>
            <w:r w:rsidRPr="001F3FFC">
              <w:rPr>
                <w:rFonts w:eastAsia="Times New Roman"/>
                <w:sz w:val="20"/>
                <w:szCs w:val="20"/>
                <w:bdr w:val="none" w:sz="0" w:space="0" w:color="auto"/>
                <w:lang w:val="en-NZ" w:eastAsia="en-NZ"/>
              </w:rPr>
              <w:t>)</w:t>
            </w:r>
          </w:p>
        </w:tc>
        <w:tc>
          <w:tcPr>
            <w:tcW w:w="1588"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168</w:t>
            </w:r>
            <w:r w:rsidRPr="001F3FFC">
              <w:rPr>
                <w:color w:val="000000" w:themeColor="text1"/>
                <w:kern w:val="24"/>
                <w:sz w:val="20"/>
                <w:szCs w:val="20"/>
                <w:bdr w:val="none" w:sz="0" w:space="0" w:color="auto"/>
                <w:vertAlign w:val="superscript"/>
                <w:lang w:eastAsia="en-NZ"/>
              </w:rPr>
              <w:t>*</w:t>
            </w:r>
            <w:r>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(0.080</w:t>
            </w:r>
            <w:r w:rsidRPr="001F3FFC">
              <w:rPr>
                <w:rFonts w:eastAsia="Times New Roman"/>
                <w:sz w:val="20"/>
                <w:szCs w:val="20"/>
                <w:bdr w:val="none" w:sz="0" w:space="0" w:color="auto"/>
                <w:lang w:val="en-NZ" w:eastAsia="en-NZ"/>
              </w:rPr>
              <w:t>)</w:t>
            </w:r>
          </w:p>
        </w:tc>
      </w:tr>
      <w:tr w:rsidR="00BA21D9" w:rsidRPr="0043730F" w:rsidTr="0063534E">
        <w:trPr>
          <w:trHeight w:val="284"/>
          <w:jc w:val="center"/>
        </w:trPr>
        <w:tc>
          <w:tcPr>
            <w:tcW w:w="4317" w:type="dxa"/>
            <w:shd w:val="clear" w:color="auto" w:fill="auto"/>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sidRPr="0099559F">
              <w:rPr>
                <w:color w:val="000000" w:themeColor="text1"/>
                <w:kern w:val="24"/>
                <w:sz w:val="20"/>
                <w:szCs w:val="20"/>
                <w:bdr w:val="none" w:sz="0" w:space="0" w:color="auto"/>
                <w:lang w:eastAsia="en-NZ"/>
              </w:rPr>
              <w:t>Ever placed in CYF care</w:t>
            </w:r>
          </w:p>
        </w:tc>
        <w:tc>
          <w:tcPr>
            <w:tcW w:w="1574"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031</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(0.032</w:t>
            </w:r>
            <w:r w:rsidRPr="001F3FFC">
              <w:rPr>
                <w:rFonts w:eastAsia="Times New Roman"/>
                <w:sz w:val="20"/>
                <w:szCs w:val="20"/>
                <w:bdr w:val="none" w:sz="0" w:space="0" w:color="auto"/>
                <w:lang w:val="en-NZ" w:eastAsia="en-NZ"/>
              </w:rPr>
              <w:t>)</w:t>
            </w:r>
          </w:p>
        </w:tc>
        <w:tc>
          <w:tcPr>
            <w:tcW w:w="1570"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030</w:t>
            </w:r>
          </w:p>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(0.032</w:t>
            </w:r>
            <w:r w:rsidRPr="001F3FFC">
              <w:rPr>
                <w:rFonts w:eastAsia="Times New Roman"/>
                <w:sz w:val="20"/>
                <w:szCs w:val="20"/>
                <w:bdr w:val="none" w:sz="0" w:space="0" w:color="auto"/>
                <w:lang w:val="en-NZ" w:eastAsia="en-NZ"/>
              </w:rPr>
              <w:t>)</w:t>
            </w:r>
          </w:p>
        </w:tc>
        <w:tc>
          <w:tcPr>
            <w:tcW w:w="1588"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040</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(0.035</w:t>
            </w:r>
            <w:r w:rsidRPr="001F3FFC">
              <w:rPr>
                <w:rFonts w:eastAsia="Times New Roman"/>
                <w:sz w:val="20"/>
                <w:szCs w:val="20"/>
                <w:bdr w:val="none" w:sz="0" w:space="0" w:color="auto"/>
                <w:lang w:val="en-NZ" w:eastAsia="en-NZ"/>
              </w:rPr>
              <w:t>)</w:t>
            </w:r>
          </w:p>
        </w:tc>
      </w:tr>
      <w:tr w:rsidR="00BA21D9" w:rsidRPr="0043730F" w:rsidTr="0063534E">
        <w:trPr>
          <w:trHeight w:val="284"/>
          <w:jc w:val="center"/>
        </w:trPr>
        <w:tc>
          <w:tcPr>
            <w:tcW w:w="4317" w:type="dxa"/>
            <w:shd w:val="clear" w:color="auto" w:fill="auto"/>
            <w:tcMar>
              <w:top w:w="28" w:type="dxa"/>
              <w:left w:w="108" w:type="dxa"/>
              <w:bottom w:w="28" w:type="dxa"/>
              <w:right w:w="108" w:type="dxa"/>
            </w:tcMar>
            <w:vAlign w:val="center"/>
          </w:tcPr>
          <w:p w:rsidR="00BA21D9" w:rsidRPr="0099559F" w:rsidRDefault="00BA21D9" w:rsidP="005575E4">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sidRPr="0099559F">
              <w:rPr>
                <w:color w:val="000000" w:themeColor="text1"/>
                <w:kern w:val="24"/>
                <w:sz w:val="20"/>
                <w:szCs w:val="20"/>
                <w:bdr w:val="none" w:sz="0" w:space="0" w:color="auto"/>
                <w:lang w:eastAsia="en-NZ"/>
              </w:rPr>
              <w:t xml:space="preserve">Ever </w:t>
            </w:r>
            <w:r w:rsidR="005575E4">
              <w:rPr>
                <w:color w:val="000000" w:themeColor="text1"/>
                <w:kern w:val="24"/>
                <w:sz w:val="20"/>
                <w:szCs w:val="20"/>
                <w:bdr w:val="none" w:sz="0" w:space="0" w:color="auto"/>
                <w:lang w:eastAsia="en-NZ"/>
              </w:rPr>
              <w:t>CYF Y</w:t>
            </w:r>
            <w:r w:rsidR="005575E4" w:rsidRPr="0099559F">
              <w:rPr>
                <w:color w:val="000000" w:themeColor="text1"/>
                <w:kern w:val="24"/>
                <w:sz w:val="20"/>
                <w:szCs w:val="20"/>
                <w:bdr w:val="none" w:sz="0" w:space="0" w:color="auto"/>
                <w:lang w:eastAsia="en-NZ"/>
              </w:rPr>
              <w:t xml:space="preserve">outh </w:t>
            </w:r>
            <w:r w:rsidR="005575E4">
              <w:rPr>
                <w:color w:val="000000" w:themeColor="text1"/>
                <w:kern w:val="24"/>
                <w:sz w:val="20"/>
                <w:szCs w:val="20"/>
                <w:bdr w:val="none" w:sz="0" w:space="0" w:color="auto"/>
                <w:lang w:eastAsia="en-NZ"/>
              </w:rPr>
              <w:t>J</w:t>
            </w:r>
            <w:r w:rsidR="005575E4" w:rsidRPr="0099559F">
              <w:rPr>
                <w:color w:val="000000" w:themeColor="text1"/>
                <w:kern w:val="24"/>
                <w:sz w:val="20"/>
                <w:szCs w:val="20"/>
                <w:bdr w:val="none" w:sz="0" w:space="0" w:color="auto"/>
                <w:lang w:eastAsia="en-NZ"/>
              </w:rPr>
              <w:t xml:space="preserve">ustice </w:t>
            </w:r>
            <w:r w:rsidRPr="0099559F">
              <w:rPr>
                <w:color w:val="000000" w:themeColor="text1"/>
                <w:kern w:val="24"/>
                <w:sz w:val="20"/>
                <w:szCs w:val="20"/>
                <w:bdr w:val="none" w:sz="0" w:space="0" w:color="auto"/>
                <w:lang w:eastAsia="en-NZ"/>
              </w:rPr>
              <w:t>involvement</w:t>
            </w:r>
          </w:p>
        </w:tc>
        <w:tc>
          <w:tcPr>
            <w:tcW w:w="1574"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172</w:t>
            </w:r>
            <w:r>
              <w:rPr>
                <w:color w:val="000000" w:themeColor="text1"/>
                <w:kern w:val="24"/>
                <w:sz w:val="20"/>
                <w:szCs w:val="20"/>
                <w:bdr w:val="none" w:sz="0" w:space="0" w:color="auto"/>
                <w:vertAlign w:val="superscript"/>
                <w:lang w:eastAsia="en-NZ"/>
              </w:rPr>
              <w:t>**</w:t>
            </w:r>
            <w:r w:rsidRPr="001F3FFC">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(0.033</w:t>
            </w:r>
            <w:r w:rsidRPr="001F3FFC">
              <w:rPr>
                <w:rFonts w:eastAsia="Times New Roman"/>
                <w:sz w:val="20"/>
                <w:szCs w:val="20"/>
                <w:bdr w:val="none" w:sz="0" w:space="0" w:color="auto"/>
                <w:lang w:val="en-NZ" w:eastAsia="en-NZ"/>
              </w:rPr>
              <w:t>)</w:t>
            </w:r>
          </w:p>
        </w:tc>
        <w:tc>
          <w:tcPr>
            <w:tcW w:w="1570"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172</w:t>
            </w:r>
            <w:r w:rsidRPr="001F3FFC">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(0.033</w:t>
            </w:r>
            <w:r w:rsidRPr="001F3FFC">
              <w:rPr>
                <w:rFonts w:eastAsia="Times New Roman"/>
                <w:sz w:val="20"/>
                <w:szCs w:val="20"/>
                <w:bdr w:val="none" w:sz="0" w:space="0" w:color="auto"/>
                <w:lang w:val="en-NZ" w:eastAsia="en-NZ"/>
              </w:rPr>
              <w:t>)</w:t>
            </w:r>
          </w:p>
        </w:tc>
        <w:tc>
          <w:tcPr>
            <w:tcW w:w="1588"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202</w:t>
            </w:r>
            <w:r w:rsidRPr="001F3FFC">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(0.028</w:t>
            </w:r>
            <w:r w:rsidRPr="001F3FFC">
              <w:rPr>
                <w:rFonts w:eastAsia="Times New Roman"/>
                <w:sz w:val="20"/>
                <w:szCs w:val="20"/>
                <w:bdr w:val="none" w:sz="0" w:space="0" w:color="auto"/>
                <w:lang w:val="en-NZ" w:eastAsia="en-NZ"/>
              </w:rPr>
              <w:t>)</w:t>
            </w:r>
          </w:p>
        </w:tc>
      </w:tr>
      <w:tr w:rsidR="00BA21D9" w:rsidRPr="0043730F" w:rsidTr="0063534E">
        <w:trPr>
          <w:trHeight w:val="284"/>
          <w:jc w:val="center"/>
        </w:trPr>
        <w:tc>
          <w:tcPr>
            <w:tcW w:w="4317" w:type="dxa"/>
            <w:shd w:val="clear" w:color="auto" w:fill="auto"/>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sidRPr="0099559F">
              <w:rPr>
                <w:color w:val="000000" w:themeColor="text1"/>
                <w:kern w:val="24"/>
                <w:sz w:val="20"/>
                <w:szCs w:val="20"/>
                <w:bdr w:val="none" w:sz="0" w:space="0" w:color="auto"/>
                <w:lang w:eastAsia="en-NZ"/>
              </w:rPr>
              <w:t>School in bottom three deciles</w:t>
            </w:r>
          </w:p>
        </w:tc>
        <w:tc>
          <w:tcPr>
            <w:tcW w:w="1574"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012</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(0.025</w:t>
            </w:r>
            <w:r w:rsidRPr="001F3FFC">
              <w:rPr>
                <w:rFonts w:eastAsia="Times New Roman"/>
                <w:sz w:val="20"/>
                <w:szCs w:val="20"/>
                <w:bdr w:val="none" w:sz="0" w:space="0" w:color="auto"/>
                <w:lang w:val="en-NZ" w:eastAsia="en-NZ"/>
              </w:rPr>
              <w:t>)</w:t>
            </w:r>
          </w:p>
        </w:tc>
        <w:tc>
          <w:tcPr>
            <w:tcW w:w="1570"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013</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(0.025</w:t>
            </w:r>
            <w:r w:rsidRPr="001F3FFC">
              <w:rPr>
                <w:rFonts w:eastAsia="Times New Roman"/>
                <w:sz w:val="20"/>
                <w:szCs w:val="20"/>
                <w:bdr w:val="none" w:sz="0" w:space="0" w:color="auto"/>
                <w:lang w:val="en-NZ" w:eastAsia="en-NZ"/>
              </w:rPr>
              <w:t>)</w:t>
            </w:r>
          </w:p>
        </w:tc>
        <w:tc>
          <w:tcPr>
            <w:tcW w:w="1588"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011</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(0.027</w:t>
            </w:r>
            <w:r w:rsidRPr="001F3FFC">
              <w:rPr>
                <w:rFonts w:eastAsia="Times New Roman"/>
                <w:sz w:val="20"/>
                <w:szCs w:val="20"/>
                <w:bdr w:val="none" w:sz="0" w:space="0" w:color="auto"/>
                <w:lang w:val="en-NZ" w:eastAsia="en-NZ"/>
              </w:rPr>
              <w:t>)</w:t>
            </w:r>
          </w:p>
        </w:tc>
      </w:tr>
      <w:tr w:rsidR="00BA21D9" w:rsidRPr="0043730F" w:rsidTr="0063534E">
        <w:trPr>
          <w:trHeight w:val="284"/>
          <w:jc w:val="center"/>
        </w:trPr>
        <w:tc>
          <w:tcPr>
            <w:tcW w:w="4317" w:type="dxa"/>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Pr>
                <w:rFonts w:eastAsia="Times New Roman"/>
                <w:color w:val="000000"/>
                <w:sz w:val="20"/>
                <w:szCs w:val="20"/>
                <w:bdr w:val="none" w:sz="0" w:space="0" w:color="auto"/>
                <w:lang w:val="en-NZ" w:eastAsia="en-NZ"/>
              </w:rPr>
              <w:t xml:space="preserve">South </w:t>
            </w:r>
            <w:r w:rsidRPr="0099559F">
              <w:rPr>
                <w:rFonts w:eastAsia="Times New Roman"/>
                <w:color w:val="000000"/>
                <w:sz w:val="20"/>
                <w:szCs w:val="20"/>
                <w:bdr w:val="none" w:sz="0" w:space="0" w:color="auto"/>
                <w:lang w:val="en-NZ" w:eastAsia="en-NZ"/>
              </w:rPr>
              <w:t xml:space="preserve">Auckland </w:t>
            </w:r>
            <w:r w:rsidR="008720EC">
              <w:rPr>
                <w:rFonts w:eastAsia="Times New Roman"/>
                <w:color w:val="000000"/>
                <w:sz w:val="20"/>
                <w:szCs w:val="20"/>
                <w:bdr w:val="none" w:sz="0" w:space="0" w:color="auto"/>
                <w:lang w:val="en-NZ" w:eastAsia="en-NZ"/>
              </w:rPr>
              <w:t xml:space="preserve">MoE </w:t>
            </w:r>
            <w:r w:rsidRPr="0099559F">
              <w:rPr>
                <w:rFonts w:eastAsia="Times New Roman"/>
                <w:color w:val="000000"/>
                <w:sz w:val="20"/>
                <w:szCs w:val="20"/>
                <w:bdr w:val="none" w:sz="0" w:space="0" w:color="auto"/>
                <w:lang w:val="en-NZ" w:eastAsia="en-NZ"/>
              </w:rPr>
              <w:t>office</w:t>
            </w:r>
          </w:p>
        </w:tc>
        <w:tc>
          <w:tcPr>
            <w:tcW w:w="1574"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044</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(0.046</w:t>
            </w:r>
            <w:r w:rsidRPr="001F3FFC">
              <w:rPr>
                <w:rFonts w:eastAsia="Times New Roman"/>
                <w:sz w:val="20"/>
                <w:szCs w:val="20"/>
                <w:bdr w:val="none" w:sz="0" w:space="0" w:color="auto"/>
                <w:lang w:val="en-NZ" w:eastAsia="en-NZ"/>
              </w:rPr>
              <w:t>)</w:t>
            </w:r>
          </w:p>
        </w:tc>
        <w:tc>
          <w:tcPr>
            <w:tcW w:w="1570"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046</w:t>
            </w:r>
          </w:p>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(0.048</w:t>
            </w:r>
            <w:r w:rsidRPr="001F3FFC">
              <w:rPr>
                <w:rFonts w:eastAsia="Times New Roman"/>
                <w:sz w:val="20"/>
                <w:szCs w:val="20"/>
                <w:bdr w:val="none" w:sz="0" w:space="0" w:color="auto"/>
                <w:lang w:val="en-NZ" w:eastAsia="en-NZ"/>
              </w:rPr>
              <w:t>)</w:t>
            </w:r>
          </w:p>
        </w:tc>
        <w:tc>
          <w:tcPr>
            <w:tcW w:w="1588"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040</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(0.049</w:t>
            </w:r>
            <w:r w:rsidRPr="001F3FFC">
              <w:rPr>
                <w:rFonts w:eastAsia="Times New Roman"/>
                <w:sz w:val="20"/>
                <w:szCs w:val="20"/>
                <w:bdr w:val="none" w:sz="0" w:space="0" w:color="auto"/>
                <w:lang w:val="en-NZ" w:eastAsia="en-NZ"/>
              </w:rPr>
              <w:t>)</w:t>
            </w:r>
          </w:p>
        </w:tc>
      </w:tr>
      <w:tr w:rsidR="00BA21D9" w:rsidRPr="0043730F" w:rsidTr="0063534E">
        <w:trPr>
          <w:trHeight w:val="284"/>
          <w:jc w:val="center"/>
        </w:trPr>
        <w:tc>
          <w:tcPr>
            <w:tcW w:w="4317" w:type="dxa"/>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sidRPr="0099559F">
              <w:rPr>
                <w:rFonts w:eastAsia="Times New Roman"/>
                <w:color w:val="000000"/>
                <w:sz w:val="20"/>
                <w:szCs w:val="20"/>
                <w:bdr w:val="none" w:sz="0" w:space="0" w:color="auto"/>
                <w:lang w:val="en-NZ" w:eastAsia="en-NZ"/>
              </w:rPr>
              <w:t xml:space="preserve">Christchurch </w:t>
            </w:r>
            <w:r w:rsidR="008720EC">
              <w:rPr>
                <w:rFonts w:eastAsia="Times New Roman"/>
                <w:color w:val="000000"/>
                <w:sz w:val="20"/>
                <w:szCs w:val="20"/>
                <w:bdr w:val="none" w:sz="0" w:space="0" w:color="auto"/>
                <w:lang w:val="en-NZ" w:eastAsia="en-NZ"/>
              </w:rPr>
              <w:t xml:space="preserve">MoE </w:t>
            </w:r>
            <w:r w:rsidRPr="0099559F">
              <w:rPr>
                <w:rFonts w:eastAsia="Times New Roman"/>
                <w:color w:val="000000"/>
                <w:sz w:val="20"/>
                <w:szCs w:val="20"/>
                <w:bdr w:val="none" w:sz="0" w:space="0" w:color="auto"/>
                <w:lang w:val="en-NZ" w:eastAsia="en-NZ"/>
              </w:rPr>
              <w:t>office</w:t>
            </w:r>
          </w:p>
        </w:tc>
        <w:tc>
          <w:tcPr>
            <w:tcW w:w="1574"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123</w:t>
            </w:r>
            <w:r w:rsidRPr="001F3FFC">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(0.046</w:t>
            </w:r>
            <w:r w:rsidRPr="001F3FFC">
              <w:rPr>
                <w:rFonts w:eastAsia="Times New Roman"/>
                <w:sz w:val="20"/>
                <w:szCs w:val="20"/>
                <w:bdr w:val="none" w:sz="0" w:space="0" w:color="auto"/>
                <w:lang w:val="en-NZ" w:eastAsia="en-NZ"/>
              </w:rPr>
              <w:t>)</w:t>
            </w:r>
          </w:p>
        </w:tc>
        <w:tc>
          <w:tcPr>
            <w:tcW w:w="1570"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122</w:t>
            </w:r>
            <w:r w:rsidRPr="001F3FFC">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(0.047</w:t>
            </w:r>
            <w:r w:rsidRPr="001F3FFC">
              <w:rPr>
                <w:rFonts w:eastAsia="Times New Roman"/>
                <w:sz w:val="20"/>
                <w:szCs w:val="20"/>
                <w:bdr w:val="none" w:sz="0" w:space="0" w:color="auto"/>
                <w:lang w:val="en-NZ" w:eastAsia="en-NZ"/>
              </w:rPr>
              <w:t>)</w:t>
            </w:r>
          </w:p>
        </w:tc>
        <w:tc>
          <w:tcPr>
            <w:tcW w:w="1588"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121</w:t>
            </w:r>
            <w:r w:rsidRPr="001F3FFC">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(0.042</w:t>
            </w:r>
            <w:r w:rsidRPr="001F3FFC">
              <w:rPr>
                <w:rFonts w:eastAsia="Times New Roman"/>
                <w:sz w:val="20"/>
                <w:szCs w:val="20"/>
                <w:bdr w:val="none" w:sz="0" w:space="0" w:color="auto"/>
                <w:lang w:val="en-NZ" w:eastAsia="en-NZ"/>
              </w:rPr>
              <w:t>)</w:t>
            </w:r>
          </w:p>
        </w:tc>
      </w:tr>
      <w:tr w:rsidR="00BA21D9" w:rsidRPr="0043730F" w:rsidTr="0063534E">
        <w:trPr>
          <w:trHeight w:val="284"/>
          <w:jc w:val="center"/>
        </w:trPr>
        <w:tc>
          <w:tcPr>
            <w:tcW w:w="4317" w:type="dxa"/>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sidRPr="0099559F">
              <w:rPr>
                <w:rFonts w:eastAsia="Times New Roman"/>
                <w:color w:val="000000"/>
                <w:sz w:val="20"/>
                <w:szCs w:val="20"/>
                <w:bdr w:val="none" w:sz="0" w:space="0" w:color="auto"/>
                <w:lang w:val="en-NZ" w:eastAsia="en-NZ"/>
              </w:rPr>
              <w:t xml:space="preserve">Dunedin </w:t>
            </w:r>
            <w:r w:rsidR="008720EC">
              <w:rPr>
                <w:rFonts w:eastAsia="Times New Roman"/>
                <w:color w:val="000000"/>
                <w:sz w:val="20"/>
                <w:szCs w:val="20"/>
                <w:bdr w:val="none" w:sz="0" w:space="0" w:color="auto"/>
                <w:lang w:val="en-NZ" w:eastAsia="en-NZ"/>
              </w:rPr>
              <w:t xml:space="preserve">MoE </w:t>
            </w:r>
            <w:r w:rsidRPr="0099559F">
              <w:rPr>
                <w:rFonts w:eastAsia="Times New Roman"/>
                <w:color w:val="000000"/>
                <w:sz w:val="20"/>
                <w:szCs w:val="20"/>
                <w:bdr w:val="none" w:sz="0" w:space="0" w:color="auto"/>
                <w:lang w:val="en-NZ" w:eastAsia="en-NZ"/>
              </w:rPr>
              <w:t>office</w:t>
            </w:r>
          </w:p>
        </w:tc>
        <w:tc>
          <w:tcPr>
            <w:tcW w:w="1574"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064</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(0.076</w:t>
            </w:r>
            <w:r w:rsidRPr="001F3FFC">
              <w:rPr>
                <w:rFonts w:eastAsia="Times New Roman"/>
                <w:sz w:val="20"/>
                <w:szCs w:val="20"/>
                <w:bdr w:val="none" w:sz="0" w:space="0" w:color="auto"/>
                <w:lang w:val="en-NZ" w:eastAsia="en-NZ"/>
              </w:rPr>
              <w:t>)</w:t>
            </w:r>
          </w:p>
        </w:tc>
        <w:tc>
          <w:tcPr>
            <w:tcW w:w="1570"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067</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(0.078</w:t>
            </w:r>
            <w:r w:rsidRPr="001F3FFC">
              <w:rPr>
                <w:rFonts w:eastAsia="Times New Roman"/>
                <w:sz w:val="20"/>
                <w:szCs w:val="20"/>
                <w:bdr w:val="none" w:sz="0" w:space="0" w:color="auto"/>
                <w:lang w:val="en-NZ" w:eastAsia="en-NZ"/>
              </w:rPr>
              <w:t>)</w:t>
            </w:r>
          </w:p>
        </w:tc>
        <w:tc>
          <w:tcPr>
            <w:tcW w:w="1588"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064</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(0.075</w:t>
            </w:r>
            <w:r w:rsidRPr="001F3FFC">
              <w:rPr>
                <w:rFonts w:eastAsia="Times New Roman"/>
                <w:sz w:val="20"/>
                <w:szCs w:val="20"/>
                <w:bdr w:val="none" w:sz="0" w:space="0" w:color="auto"/>
                <w:lang w:val="en-NZ" w:eastAsia="en-NZ"/>
              </w:rPr>
              <w:t>)</w:t>
            </w:r>
          </w:p>
        </w:tc>
      </w:tr>
      <w:tr w:rsidR="00BA21D9" w:rsidRPr="0043730F" w:rsidTr="0063534E">
        <w:trPr>
          <w:trHeight w:val="284"/>
          <w:jc w:val="center"/>
        </w:trPr>
        <w:tc>
          <w:tcPr>
            <w:tcW w:w="4317" w:type="dxa"/>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sidRPr="0099559F">
              <w:rPr>
                <w:rFonts w:eastAsia="Times New Roman"/>
                <w:color w:val="000000"/>
                <w:sz w:val="20"/>
                <w:szCs w:val="20"/>
                <w:bdr w:val="none" w:sz="0" w:space="0" w:color="auto"/>
                <w:lang w:val="en-NZ" w:eastAsia="en-NZ"/>
              </w:rPr>
              <w:t xml:space="preserve">Hamilton </w:t>
            </w:r>
            <w:r w:rsidR="008720EC">
              <w:rPr>
                <w:rFonts w:eastAsia="Times New Roman"/>
                <w:color w:val="000000"/>
                <w:sz w:val="20"/>
                <w:szCs w:val="20"/>
                <w:bdr w:val="none" w:sz="0" w:space="0" w:color="auto"/>
                <w:lang w:val="en-NZ" w:eastAsia="en-NZ"/>
              </w:rPr>
              <w:t xml:space="preserve">MoE </w:t>
            </w:r>
            <w:r w:rsidRPr="0099559F">
              <w:rPr>
                <w:rFonts w:eastAsia="Times New Roman"/>
                <w:color w:val="000000"/>
                <w:sz w:val="20"/>
                <w:szCs w:val="20"/>
                <w:bdr w:val="none" w:sz="0" w:space="0" w:color="auto"/>
                <w:lang w:val="en-NZ" w:eastAsia="en-NZ"/>
              </w:rPr>
              <w:t>office</w:t>
            </w:r>
          </w:p>
        </w:tc>
        <w:tc>
          <w:tcPr>
            <w:tcW w:w="1574"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033</w:t>
            </w:r>
          </w:p>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i/>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(0.042</w:t>
            </w:r>
            <w:r w:rsidRPr="001F3FFC">
              <w:rPr>
                <w:rFonts w:eastAsia="Times New Roman"/>
                <w:sz w:val="20"/>
                <w:szCs w:val="20"/>
                <w:bdr w:val="none" w:sz="0" w:space="0" w:color="auto"/>
                <w:lang w:val="en-NZ" w:eastAsia="en-NZ"/>
              </w:rPr>
              <w:t>)</w:t>
            </w:r>
          </w:p>
        </w:tc>
        <w:tc>
          <w:tcPr>
            <w:tcW w:w="1570"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033</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(0.042</w:t>
            </w:r>
            <w:r w:rsidRPr="001F3FFC">
              <w:rPr>
                <w:rFonts w:eastAsia="Times New Roman"/>
                <w:sz w:val="20"/>
                <w:szCs w:val="20"/>
                <w:bdr w:val="none" w:sz="0" w:space="0" w:color="auto"/>
                <w:lang w:val="en-NZ" w:eastAsia="en-NZ"/>
              </w:rPr>
              <w:t>)</w:t>
            </w:r>
          </w:p>
        </w:tc>
        <w:tc>
          <w:tcPr>
            <w:tcW w:w="1588"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028</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(0.044</w:t>
            </w:r>
            <w:r w:rsidRPr="001F3FFC">
              <w:rPr>
                <w:rFonts w:eastAsia="Times New Roman"/>
                <w:sz w:val="20"/>
                <w:szCs w:val="20"/>
                <w:bdr w:val="none" w:sz="0" w:space="0" w:color="auto"/>
                <w:lang w:val="en-NZ" w:eastAsia="en-NZ"/>
              </w:rPr>
              <w:t>)</w:t>
            </w:r>
          </w:p>
        </w:tc>
      </w:tr>
    </w:tbl>
    <w:p w:rsidR="00BA21D9" w:rsidRDefault="00BA21D9" w:rsidP="00BA21D9">
      <w:pPr>
        <w:jc w:val="center"/>
        <w:rPr>
          <w:i/>
          <w:sz w:val="20"/>
          <w:szCs w:val="20"/>
        </w:rPr>
      </w:pPr>
    </w:p>
    <w:p w:rsidR="00BA21D9" w:rsidRDefault="00BA21D9" w:rsidP="00BA21D9">
      <w:pPr>
        <w:jc w:val="center"/>
        <w:rPr>
          <w:i/>
          <w:sz w:val="20"/>
          <w:szCs w:val="20"/>
        </w:rPr>
      </w:pPr>
    </w:p>
    <w:p w:rsidR="00BA21D9" w:rsidRDefault="00BA21D9" w:rsidP="00BA21D9">
      <w:pPr>
        <w:rPr>
          <w:i/>
          <w:sz w:val="20"/>
          <w:szCs w:val="20"/>
        </w:rPr>
      </w:pPr>
    </w:p>
    <w:p w:rsidR="00BA21D9" w:rsidRPr="0099559F" w:rsidRDefault="00EB1E61" w:rsidP="00BA21D9">
      <w:pPr>
        <w:jc w:val="center"/>
        <w:rPr>
          <w:i/>
          <w:sz w:val="20"/>
          <w:szCs w:val="20"/>
        </w:rPr>
      </w:pPr>
      <w:r>
        <w:rPr>
          <w:i/>
          <w:sz w:val="20"/>
          <w:szCs w:val="20"/>
        </w:rPr>
        <w:t xml:space="preserve">Appendix </w:t>
      </w:r>
      <w:r w:rsidR="00BA21D9">
        <w:rPr>
          <w:i/>
          <w:sz w:val="20"/>
          <w:szCs w:val="20"/>
        </w:rPr>
        <w:t xml:space="preserve">Table </w:t>
      </w:r>
      <w:r>
        <w:rPr>
          <w:i/>
          <w:sz w:val="20"/>
          <w:szCs w:val="20"/>
        </w:rPr>
        <w:t>5</w:t>
      </w:r>
      <w:r w:rsidR="00BA21D9">
        <w:rPr>
          <w:i/>
          <w:sz w:val="20"/>
          <w:szCs w:val="20"/>
        </w:rPr>
        <w:t>B</w:t>
      </w:r>
      <w:r w:rsidR="00BA21D9" w:rsidRPr="0099559F">
        <w:rPr>
          <w:i/>
          <w:sz w:val="20"/>
          <w:szCs w:val="20"/>
        </w:rPr>
        <w:t xml:space="preserve"> </w:t>
      </w:r>
      <w:r>
        <w:rPr>
          <w:i/>
          <w:sz w:val="20"/>
          <w:szCs w:val="20"/>
        </w:rPr>
        <w:t>c</w:t>
      </w:r>
      <w:r w:rsidR="00BA21D9" w:rsidRPr="0099559F">
        <w:rPr>
          <w:i/>
          <w:sz w:val="20"/>
          <w:szCs w:val="20"/>
        </w:rPr>
        <w:t>ontinued</w:t>
      </w:r>
    </w:p>
    <w:tbl>
      <w:tblPr>
        <w:tblW w:w="9047" w:type="dxa"/>
        <w:jc w:val="center"/>
        <w:tblBorders>
          <w:top w:val="single" w:sz="4" w:space="0" w:color="auto"/>
          <w:bottom w:val="single" w:sz="4" w:space="0" w:color="auto"/>
          <w:insideH w:val="single" w:sz="4" w:space="0" w:color="auto"/>
        </w:tblBorders>
        <w:tblLayout w:type="fixed"/>
        <w:tblCellMar>
          <w:left w:w="0" w:type="dxa"/>
          <w:right w:w="0" w:type="dxa"/>
        </w:tblCellMar>
        <w:tblLook w:val="0600" w:firstRow="0" w:lastRow="0" w:firstColumn="0" w:lastColumn="0" w:noHBand="1" w:noVBand="1"/>
      </w:tblPr>
      <w:tblGrid>
        <w:gridCol w:w="4310"/>
        <w:gridCol w:w="1576"/>
        <w:gridCol w:w="1573"/>
        <w:gridCol w:w="1588"/>
      </w:tblGrid>
      <w:tr w:rsidR="00BA21D9" w:rsidRPr="0043730F" w:rsidTr="0063534E">
        <w:trPr>
          <w:trHeight w:val="284"/>
          <w:jc w:val="center"/>
        </w:trPr>
        <w:tc>
          <w:tcPr>
            <w:tcW w:w="4310" w:type="dxa"/>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br w:type="page"/>
            </w:r>
            <w:r w:rsidRPr="0099559F">
              <w:rPr>
                <w:rFonts w:eastAsia="Times New Roman"/>
                <w:color w:val="000000"/>
                <w:sz w:val="20"/>
                <w:szCs w:val="20"/>
                <w:bdr w:val="none" w:sz="0" w:space="0" w:color="auto"/>
                <w:lang w:val="en-NZ" w:eastAsia="en-NZ"/>
              </w:rPr>
              <w:t xml:space="preserve">Invercargill </w:t>
            </w:r>
            <w:r w:rsidR="008720EC">
              <w:rPr>
                <w:rFonts w:eastAsia="Times New Roman"/>
                <w:color w:val="000000"/>
                <w:sz w:val="20"/>
                <w:szCs w:val="20"/>
                <w:bdr w:val="none" w:sz="0" w:space="0" w:color="auto"/>
                <w:lang w:val="en-NZ" w:eastAsia="en-NZ"/>
              </w:rPr>
              <w:t xml:space="preserve">MoE </w:t>
            </w:r>
            <w:r w:rsidRPr="0099559F">
              <w:rPr>
                <w:rFonts w:eastAsia="Times New Roman"/>
                <w:color w:val="000000"/>
                <w:sz w:val="20"/>
                <w:szCs w:val="20"/>
                <w:bdr w:val="none" w:sz="0" w:space="0" w:color="auto"/>
                <w:lang w:val="en-NZ" w:eastAsia="en-NZ"/>
              </w:rPr>
              <w:t>office</w:t>
            </w:r>
          </w:p>
        </w:tc>
        <w:tc>
          <w:tcPr>
            <w:tcW w:w="1576"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096</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(0.068</w:t>
            </w:r>
            <w:r w:rsidRPr="001F3FFC">
              <w:rPr>
                <w:rFonts w:eastAsia="Times New Roman"/>
                <w:sz w:val="20"/>
                <w:szCs w:val="20"/>
                <w:bdr w:val="none" w:sz="0" w:space="0" w:color="auto"/>
                <w:lang w:val="en-NZ" w:eastAsia="en-NZ"/>
              </w:rPr>
              <w:t>)</w:t>
            </w:r>
          </w:p>
        </w:tc>
        <w:tc>
          <w:tcPr>
            <w:tcW w:w="1573"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094</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(0.069</w:t>
            </w:r>
            <w:r w:rsidRPr="001F3FFC">
              <w:rPr>
                <w:rFonts w:eastAsia="Times New Roman"/>
                <w:sz w:val="20"/>
                <w:szCs w:val="20"/>
                <w:bdr w:val="none" w:sz="0" w:space="0" w:color="auto"/>
                <w:lang w:val="en-NZ" w:eastAsia="en-NZ"/>
              </w:rPr>
              <w:t>)</w:t>
            </w:r>
          </w:p>
        </w:tc>
        <w:tc>
          <w:tcPr>
            <w:tcW w:w="1588"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078</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(0.065</w:t>
            </w:r>
            <w:r w:rsidRPr="001F3FFC">
              <w:rPr>
                <w:rFonts w:eastAsia="Times New Roman"/>
                <w:sz w:val="20"/>
                <w:szCs w:val="20"/>
                <w:bdr w:val="none" w:sz="0" w:space="0" w:color="auto"/>
                <w:lang w:val="en-NZ" w:eastAsia="en-NZ"/>
              </w:rPr>
              <w:t>)</w:t>
            </w:r>
          </w:p>
        </w:tc>
      </w:tr>
      <w:tr w:rsidR="00BA21D9" w:rsidRPr="0043730F" w:rsidTr="0063534E">
        <w:trPr>
          <w:trHeight w:val="284"/>
          <w:jc w:val="center"/>
        </w:trPr>
        <w:tc>
          <w:tcPr>
            <w:tcW w:w="4310" w:type="dxa"/>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sidRPr="0099559F">
              <w:rPr>
                <w:rFonts w:eastAsia="Times New Roman"/>
                <w:color w:val="000000"/>
                <w:sz w:val="20"/>
                <w:szCs w:val="20"/>
                <w:bdr w:val="none" w:sz="0" w:space="0" w:color="auto"/>
                <w:lang w:val="en-NZ" w:eastAsia="en-NZ"/>
              </w:rPr>
              <w:t xml:space="preserve">Napier </w:t>
            </w:r>
            <w:r w:rsidR="008720EC">
              <w:rPr>
                <w:rFonts w:eastAsia="Times New Roman"/>
                <w:color w:val="000000"/>
                <w:sz w:val="20"/>
                <w:szCs w:val="20"/>
                <w:bdr w:val="none" w:sz="0" w:space="0" w:color="auto"/>
                <w:lang w:val="en-NZ" w:eastAsia="en-NZ"/>
              </w:rPr>
              <w:t xml:space="preserve">MoE </w:t>
            </w:r>
            <w:r w:rsidRPr="0099559F">
              <w:rPr>
                <w:rFonts w:eastAsia="Times New Roman"/>
                <w:color w:val="000000"/>
                <w:sz w:val="20"/>
                <w:szCs w:val="20"/>
                <w:bdr w:val="none" w:sz="0" w:space="0" w:color="auto"/>
                <w:lang w:val="en-NZ" w:eastAsia="en-NZ"/>
              </w:rPr>
              <w:t>office</w:t>
            </w:r>
          </w:p>
        </w:tc>
        <w:tc>
          <w:tcPr>
            <w:tcW w:w="1576"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036</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(0.046</w:t>
            </w:r>
            <w:r w:rsidRPr="001F3FFC">
              <w:rPr>
                <w:rFonts w:eastAsia="Times New Roman"/>
                <w:sz w:val="20"/>
                <w:szCs w:val="20"/>
                <w:bdr w:val="none" w:sz="0" w:space="0" w:color="auto"/>
                <w:lang w:val="en-NZ" w:eastAsia="en-NZ"/>
              </w:rPr>
              <w:t>)</w:t>
            </w:r>
          </w:p>
        </w:tc>
        <w:tc>
          <w:tcPr>
            <w:tcW w:w="1573"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032</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(0.051</w:t>
            </w:r>
            <w:r w:rsidRPr="001F3FFC">
              <w:rPr>
                <w:rFonts w:eastAsia="Times New Roman"/>
                <w:sz w:val="20"/>
                <w:szCs w:val="20"/>
                <w:bdr w:val="none" w:sz="0" w:space="0" w:color="auto"/>
                <w:lang w:val="en-NZ" w:eastAsia="en-NZ"/>
              </w:rPr>
              <w:t>)</w:t>
            </w:r>
          </w:p>
        </w:tc>
        <w:tc>
          <w:tcPr>
            <w:tcW w:w="1588"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030</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(0.052</w:t>
            </w:r>
            <w:r w:rsidRPr="001F3FFC">
              <w:rPr>
                <w:rFonts w:eastAsia="Times New Roman"/>
                <w:sz w:val="20"/>
                <w:szCs w:val="20"/>
                <w:bdr w:val="none" w:sz="0" w:space="0" w:color="auto"/>
                <w:lang w:val="en-NZ" w:eastAsia="en-NZ"/>
              </w:rPr>
              <w:t>)</w:t>
            </w:r>
          </w:p>
        </w:tc>
      </w:tr>
      <w:tr w:rsidR="00BA21D9" w:rsidRPr="0043730F" w:rsidTr="0063534E">
        <w:trPr>
          <w:trHeight w:val="284"/>
          <w:jc w:val="center"/>
        </w:trPr>
        <w:tc>
          <w:tcPr>
            <w:tcW w:w="4310" w:type="dxa"/>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sidRPr="0099559F">
              <w:rPr>
                <w:rFonts w:eastAsia="Times New Roman"/>
                <w:color w:val="000000"/>
                <w:sz w:val="20"/>
                <w:szCs w:val="20"/>
                <w:bdr w:val="none" w:sz="0" w:space="0" w:color="auto"/>
                <w:lang w:val="en-NZ" w:eastAsia="en-NZ"/>
              </w:rPr>
              <w:t xml:space="preserve">Nelson </w:t>
            </w:r>
            <w:r w:rsidR="008720EC">
              <w:rPr>
                <w:rFonts w:eastAsia="Times New Roman"/>
                <w:color w:val="000000"/>
                <w:sz w:val="20"/>
                <w:szCs w:val="20"/>
                <w:bdr w:val="none" w:sz="0" w:space="0" w:color="auto"/>
                <w:lang w:val="en-NZ" w:eastAsia="en-NZ"/>
              </w:rPr>
              <w:t xml:space="preserve">MoE </w:t>
            </w:r>
            <w:r w:rsidRPr="0099559F">
              <w:rPr>
                <w:rFonts w:eastAsia="Times New Roman"/>
                <w:color w:val="000000"/>
                <w:sz w:val="20"/>
                <w:szCs w:val="20"/>
                <w:bdr w:val="none" w:sz="0" w:space="0" w:color="auto"/>
                <w:lang w:val="en-NZ" w:eastAsia="en-NZ"/>
              </w:rPr>
              <w:t>office</w:t>
            </w:r>
          </w:p>
        </w:tc>
        <w:tc>
          <w:tcPr>
            <w:tcW w:w="1576"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131</w:t>
            </w:r>
            <w:r>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(0.074</w:t>
            </w:r>
            <w:r w:rsidRPr="001F3FFC">
              <w:rPr>
                <w:rFonts w:eastAsia="Times New Roman"/>
                <w:sz w:val="20"/>
                <w:szCs w:val="20"/>
                <w:bdr w:val="none" w:sz="0" w:space="0" w:color="auto"/>
                <w:lang w:val="en-NZ" w:eastAsia="en-NZ"/>
              </w:rPr>
              <w:t>)</w:t>
            </w:r>
          </w:p>
        </w:tc>
        <w:tc>
          <w:tcPr>
            <w:tcW w:w="1573"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134</w:t>
            </w:r>
            <w:r>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(0.076</w:t>
            </w:r>
            <w:r w:rsidRPr="001F3FFC">
              <w:rPr>
                <w:rFonts w:eastAsia="Times New Roman"/>
                <w:sz w:val="20"/>
                <w:szCs w:val="20"/>
                <w:bdr w:val="none" w:sz="0" w:space="0" w:color="auto"/>
                <w:lang w:val="en-NZ" w:eastAsia="en-NZ"/>
              </w:rPr>
              <w:t>)</w:t>
            </w:r>
          </w:p>
        </w:tc>
        <w:tc>
          <w:tcPr>
            <w:tcW w:w="1588"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142</w:t>
            </w:r>
            <w:r>
              <w:rPr>
                <w:color w:val="000000" w:themeColor="text1"/>
                <w:kern w:val="24"/>
                <w:sz w:val="20"/>
                <w:szCs w:val="20"/>
                <w:bdr w:val="none" w:sz="0" w:space="0" w:color="auto"/>
                <w:vertAlign w:val="superscript"/>
                <w:lang w:eastAsia="en-NZ"/>
              </w:rPr>
              <w:t>*</w:t>
            </w:r>
            <w:r w:rsidRPr="001F3FFC">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(0.064</w:t>
            </w:r>
            <w:r w:rsidRPr="001F3FFC">
              <w:rPr>
                <w:rFonts w:eastAsia="Times New Roman"/>
                <w:sz w:val="20"/>
                <w:szCs w:val="20"/>
                <w:bdr w:val="none" w:sz="0" w:space="0" w:color="auto"/>
                <w:lang w:val="en-NZ" w:eastAsia="en-NZ"/>
              </w:rPr>
              <w:t>)</w:t>
            </w:r>
          </w:p>
        </w:tc>
      </w:tr>
      <w:tr w:rsidR="00BA21D9" w:rsidRPr="0043730F" w:rsidTr="0063534E">
        <w:trPr>
          <w:trHeight w:val="284"/>
          <w:jc w:val="center"/>
        </w:trPr>
        <w:tc>
          <w:tcPr>
            <w:tcW w:w="4310" w:type="dxa"/>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sidRPr="0099559F">
              <w:rPr>
                <w:rFonts w:eastAsia="Times New Roman"/>
                <w:color w:val="000000"/>
                <w:sz w:val="20"/>
                <w:szCs w:val="20"/>
                <w:bdr w:val="none" w:sz="0" w:space="0" w:color="auto"/>
                <w:lang w:val="en-NZ" w:eastAsia="en-NZ"/>
              </w:rPr>
              <w:t xml:space="preserve">Rotorua </w:t>
            </w:r>
            <w:r w:rsidR="008720EC">
              <w:rPr>
                <w:rFonts w:eastAsia="Times New Roman"/>
                <w:color w:val="000000"/>
                <w:sz w:val="20"/>
                <w:szCs w:val="20"/>
                <w:bdr w:val="none" w:sz="0" w:space="0" w:color="auto"/>
                <w:lang w:val="en-NZ" w:eastAsia="en-NZ"/>
              </w:rPr>
              <w:t xml:space="preserve">MoE </w:t>
            </w:r>
            <w:r w:rsidRPr="0099559F">
              <w:rPr>
                <w:rFonts w:eastAsia="Times New Roman"/>
                <w:color w:val="000000"/>
                <w:sz w:val="20"/>
                <w:szCs w:val="20"/>
                <w:bdr w:val="none" w:sz="0" w:space="0" w:color="auto"/>
                <w:lang w:val="en-NZ" w:eastAsia="en-NZ"/>
              </w:rPr>
              <w:t>office</w:t>
            </w:r>
          </w:p>
        </w:tc>
        <w:tc>
          <w:tcPr>
            <w:tcW w:w="1576"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044</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(0.044</w:t>
            </w:r>
            <w:r w:rsidRPr="001F3FFC">
              <w:rPr>
                <w:rFonts w:eastAsia="Times New Roman"/>
                <w:sz w:val="20"/>
                <w:szCs w:val="20"/>
                <w:bdr w:val="none" w:sz="0" w:space="0" w:color="auto"/>
                <w:lang w:val="en-NZ" w:eastAsia="en-NZ"/>
              </w:rPr>
              <w:t>)</w:t>
            </w:r>
          </w:p>
        </w:tc>
        <w:tc>
          <w:tcPr>
            <w:tcW w:w="1573"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046</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(0.045</w:t>
            </w:r>
            <w:r w:rsidRPr="001F3FFC">
              <w:rPr>
                <w:rFonts w:eastAsia="Times New Roman"/>
                <w:sz w:val="20"/>
                <w:szCs w:val="20"/>
                <w:bdr w:val="none" w:sz="0" w:space="0" w:color="auto"/>
                <w:lang w:val="en-NZ" w:eastAsia="en-NZ"/>
              </w:rPr>
              <w:t>)</w:t>
            </w:r>
          </w:p>
        </w:tc>
        <w:tc>
          <w:tcPr>
            <w:tcW w:w="1588"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055</w:t>
            </w:r>
          </w:p>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(0.050</w:t>
            </w:r>
            <w:r w:rsidRPr="001F3FFC">
              <w:rPr>
                <w:rFonts w:eastAsia="Times New Roman"/>
                <w:sz w:val="20"/>
                <w:szCs w:val="20"/>
                <w:bdr w:val="none" w:sz="0" w:space="0" w:color="auto"/>
                <w:lang w:val="en-NZ" w:eastAsia="en-NZ"/>
              </w:rPr>
              <w:t>)</w:t>
            </w:r>
          </w:p>
        </w:tc>
      </w:tr>
      <w:tr w:rsidR="00BA21D9" w:rsidRPr="0043730F" w:rsidTr="0063534E">
        <w:trPr>
          <w:trHeight w:val="284"/>
          <w:jc w:val="center"/>
        </w:trPr>
        <w:tc>
          <w:tcPr>
            <w:tcW w:w="4310" w:type="dxa"/>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sidRPr="0099559F">
              <w:rPr>
                <w:rFonts w:eastAsia="Times New Roman"/>
                <w:color w:val="000000"/>
                <w:sz w:val="20"/>
                <w:szCs w:val="20"/>
                <w:bdr w:val="none" w:sz="0" w:space="0" w:color="auto"/>
                <w:lang w:val="en-NZ" w:eastAsia="en-NZ"/>
              </w:rPr>
              <w:t xml:space="preserve">Wellington </w:t>
            </w:r>
            <w:r w:rsidR="008720EC">
              <w:rPr>
                <w:rFonts w:eastAsia="Times New Roman"/>
                <w:color w:val="000000"/>
                <w:sz w:val="20"/>
                <w:szCs w:val="20"/>
                <w:bdr w:val="none" w:sz="0" w:space="0" w:color="auto"/>
                <w:lang w:val="en-NZ" w:eastAsia="en-NZ"/>
              </w:rPr>
              <w:t xml:space="preserve">MoE </w:t>
            </w:r>
            <w:r w:rsidRPr="0099559F">
              <w:rPr>
                <w:rFonts w:eastAsia="Times New Roman"/>
                <w:color w:val="000000"/>
                <w:sz w:val="20"/>
                <w:szCs w:val="20"/>
                <w:bdr w:val="none" w:sz="0" w:space="0" w:color="auto"/>
                <w:lang w:val="en-NZ" w:eastAsia="en-NZ"/>
              </w:rPr>
              <w:t>office</w:t>
            </w:r>
          </w:p>
        </w:tc>
        <w:tc>
          <w:tcPr>
            <w:tcW w:w="1576"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038</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(0.041</w:t>
            </w:r>
            <w:r w:rsidRPr="001F3FFC">
              <w:rPr>
                <w:rFonts w:eastAsia="Times New Roman"/>
                <w:sz w:val="20"/>
                <w:szCs w:val="20"/>
                <w:bdr w:val="none" w:sz="0" w:space="0" w:color="auto"/>
                <w:lang w:val="en-NZ" w:eastAsia="en-NZ"/>
              </w:rPr>
              <w:t>)</w:t>
            </w:r>
          </w:p>
        </w:tc>
        <w:tc>
          <w:tcPr>
            <w:tcW w:w="1573"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036</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(0.043</w:t>
            </w:r>
            <w:r w:rsidRPr="001F3FFC">
              <w:rPr>
                <w:rFonts w:eastAsia="Times New Roman"/>
                <w:sz w:val="20"/>
                <w:szCs w:val="20"/>
                <w:bdr w:val="none" w:sz="0" w:space="0" w:color="auto"/>
                <w:lang w:val="en-NZ" w:eastAsia="en-NZ"/>
              </w:rPr>
              <w:t>)</w:t>
            </w:r>
          </w:p>
        </w:tc>
        <w:tc>
          <w:tcPr>
            <w:tcW w:w="1588"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035</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(0.044</w:t>
            </w:r>
            <w:r w:rsidRPr="001F3FFC">
              <w:rPr>
                <w:rFonts w:eastAsia="Times New Roman"/>
                <w:sz w:val="20"/>
                <w:szCs w:val="20"/>
                <w:bdr w:val="none" w:sz="0" w:space="0" w:color="auto"/>
                <w:lang w:val="en-NZ" w:eastAsia="en-NZ"/>
              </w:rPr>
              <w:t>)</w:t>
            </w:r>
          </w:p>
        </w:tc>
      </w:tr>
      <w:tr w:rsidR="00BA21D9" w:rsidRPr="0043730F" w:rsidTr="0063534E">
        <w:trPr>
          <w:trHeight w:val="284"/>
          <w:jc w:val="center"/>
        </w:trPr>
        <w:tc>
          <w:tcPr>
            <w:tcW w:w="4310" w:type="dxa"/>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sidRPr="0099559F">
              <w:rPr>
                <w:rFonts w:eastAsia="Times New Roman"/>
                <w:color w:val="000000"/>
                <w:sz w:val="20"/>
                <w:szCs w:val="20"/>
                <w:bdr w:val="none" w:sz="0" w:space="0" w:color="auto"/>
                <w:lang w:val="en-NZ" w:eastAsia="en-NZ"/>
              </w:rPr>
              <w:t xml:space="preserve">Whanganui </w:t>
            </w:r>
            <w:r w:rsidR="008720EC">
              <w:rPr>
                <w:rFonts w:eastAsia="Times New Roman"/>
                <w:color w:val="000000"/>
                <w:sz w:val="20"/>
                <w:szCs w:val="20"/>
                <w:bdr w:val="none" w:sz="0" w:space="0" w:color="auto"/>
                <w:lang w:val="en-NZ" w:eastAsia="en-NZ"/>
              </w:rPr>
              <w:t xml:space="preserve">MoE </w:t>
            </w:r>
            <w:r w:rsidRPr="0099559F">
              <w:rPr>
                <w:rFonts w:eastAsia="Times New Roman"/>
                <w:color w:val="000000"/>
                <w:sz w:val="20"/>
                <w:szCs w:val="20"/>
                <w:bdr w:val="none" w:sz="0" w:space="0" w:color="auto"/>
                <w:lang w:val="en-NZ" w:eastAsia="en-NZ"/>
              </w:rPr>
              <w:t>office</w:t>
            </w:r>
          </w:p>
        </w:tc>
        <w:tc>
          <w:tcPr>
            <w:tcW w:w="1576"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032</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(0.045</w:t>
            </w:r>
            <w:r w:rsidRPr="001F3FFC">
              <w:rPr>
                <w:rFonts w:eastAsia="Times New Roman"/>
                <w:sz w:val="20"/>
                <w:szCs w:val="20"/>
                <w:bdr w:val="none" w:sz="0" w:space="0" w:color="auto"/>
                <w:lang w:val="en-NZ" w:eastAsia="en-NZ"/>
              </w:rPr>
              <w:t>)</w:t>
            </w:r>
          </w:p>
        </w:tc>
        <w:tc>
          <w:tcPr>
            <w:tcW w:w="1573"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032</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(0.045</w:t>
            </w:r>
            <w:r w:rsidRPr="001F3FFC">
              <w:rPr>
                <w:rFonts w:eastAsia="Times New Roman"/>
                <w:sz w:val="20"/>
                <w:szCs w:val="20"/>
                <w:bdr w:val="none" w:sz="0" w:space="0" w:color="auto"/>
                <w:lang w:val="en-NZ" w:eastAsia="en-NZ"/>
              </w:rPr>
              <w:t>)</w:t>
            </w:r>
          </w:p>
        </w:tc>
        <w:tc>
          <w:tcPr>
            <w:tcW w:w="1588"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031</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(0.046</w:t>
            </w:r>
            <w:r w:rsidRPr="001F3FFC">
              <w:rPr>
                <w:rFonts w:eastAsia="Times New Roman"/>
                <w:sz w:val="20"/>
                <w:szCs w:val="20"/>
                <w:bdr w:val="none" w:sz="0" w:space="0" w:color="auto"/>
                <w:lang w:val="en-NZ" w:eastAsia="en-NZ"/>
              </w:rPr>
              <w:t>)</w:t>
            </w:r>
          </w:p>
        </w:tc>
      </w:tr>
      <w:tr w:rsidR="00BA21D9" w:rsidRPr="0043730F" w:rsidTr="0063534E">
        <w:trPr>
          <w:trHeight w:val="284"/>
          <w:jc w:val="center"/>
        </w:trPr>
        <w:tc>
          <w:tcPr>
            <w:tcW w:w="4310" w:type="dxa"/>
            <w:tcBorders>
              <w:bottom w:val="single" w:sz="4" w:space="0" w:color="auto"/>
            </w:tcBorders>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sidRPr="0099559F">
              <w:rPr>
                <w:rFonts w:eastAsia="Times New Roman"/>
                <w:color w:val="000000"/>
                <w:sz w:val="20"/>
                <w:szCs w:val="20"/>
                <w:bdr w:val="none" w:sz="0" w:space="0" w:color="auto"/>
                <w:lang w:val="en-NZ" w:eastAsia="en-NZ"/>
              </w:rPr>
              <w:t xml:space="preserve">Whangarei </w:t>
            </w:r>
            <w:r w:rsidR="008720EC">
              <w:rPr>
                <w:rFonts w:eastAsia="Times New Roman"/>
                <w:color w:val="000000"/>
                <w:sz w:val="20"/>
                <w:szCs w:val="20"/>
                <w:bdr w:val="none" w:sz="0" w:space="0" w:color="auto"/>
                <w:lang w:val="en-NZ" w:eastAsia="en-NZ"/>
              </w:rPr>
              <w:t xml:space="preserve">MoE </w:t>
            </w:r>
            <w:r w:rsidRPr="0099559F">
              <w:rPr>
                <w:rFonts w:eastAsia="Times New Roman"/>
                <w:color w:val="000000"/>
                <w:sz w:val="20"/>
                <w:szCs w:val="20"/>
                <w:bdr w:val="none" w:sz="0" w:space="0" w:color="auto"/>
                <w:lang w:val="en-NZ" w:eastAsia="en-NZ"/>
              </w:rPr>
              <w:t>office</w:t>
            </w:r>
          </w:p>
        </w:tc>
        <w:tc>
          <w:tcPr>
            <w:tcW w:w="1576" w:type="dxa"/>
            <w:tcBorders>
              <w:bottom w:val="single" w:sz="4" w:space="0" w:color="auto"/>
            </w:tcBorders>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009</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(0.054</w:t>
            </w:r>
            <w:r w:rsidRPr="001F3FFC">
              <w:rPr>
                <w:rFonts w:eastAsia="Times New Roman"/>
                <w:sz w:val="20"/>
                <w:szCs w:val="20"/>
                <w:bdr w:val="none" w:sz="0" w:space="0" w:color="auto"/>
                <w:lang w:val="en-NZ" w:eastAsia="en-NZ"/>
              </w:rPr>
              <w:t>)</w:t>
            </w:r>
          </w:p>
        </w:tc>
        <w:tc>
          <w:tcPr>
            <w:tcW w:w="1573" w:type="dxa"/>
            <w:tcBorders>
              <w:bottom w:val="single" w:sz="4" w:space="0" w:color="auto"/>
            </w:tcBorders>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011</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(0.055</w:t>
            </w:r>
            <w:r w:rsidRPr="001F3FFC">
              <w:rPr>
                <w:rFonts w:eastAsia="Times New Roman"/>
                <w:sz w:val="20"/>
                <w:szCs w:val="20"/>
                <w:bdr w:val="none" w:sz="0" w:space="0" w:color="auto"/>
                <w:lang w:val="en-NZ" w:eastAsia="en-NZ"/>
              </w:rPr>
              <w:t>)</w:t>
            </w:r>
          </w:p>
        </w:tc>
        <w:tc>
          <w:tcPr>
            <w:tcW w:w="1588" w:type="dxa"/>
            <w:tcBorders>
              <w:bottom w:val="single" w:sz="4" w:space="0" w:color="auto"/>
            </w:tcBorders>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013</w:t>
            </w:r>
          </w:p>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(0.059</w:t>
            </w:r>
            <w:r w:rsidRPr="001F3FFC">
              <w:rPr>
                <w:rFonts w:eastAsia="Times New Roman"/>
                <w:sz w:val="20"/>
                <w:szCs w:val="20"/>
                <w:bdr w:val="none" w:sz="0" w:space="0" w:color="auto"/>
                <w:lang w:val="en-NZ" w:eastAsia="en-NZ"/>
              </w:rPr>
              <w:t>)</w:t>
            </w:r>
          </w:p>
        </w:tc>
      </w:tr>
      <w:tr w:rsidR="00BA21D9" w:rsidRPr="0043730F" w:rsidTr="0063534E">
        <w:trPr>
          <w:trHeight w:val="284"/>
          <w:jc w:val="center"/>
        </w:trPr>
        <w:tc>
          <w:tcPr>
            <w:tcW w:w="4310" w:type="dxa"/>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lang w:val="en-NZ" w:eastAsia="en-NZ"/>
              </w:rPr>
            </w:pPr>
            <w:r>
              <w:rPr>
                <w:rFonts w:eastAsia="Times New Roman"/>
                <w:color w:val="000000"/>
                <w:sz w:val="20"/>
                <w:szCs w:val="20"/>
                <w:bdr w:val="none" w:sz="0" w:space="0" w:color="auto"/>
                <w:lang w:val="en-NZ" w:eastAsia="en-NZ"/>
              </w:rPr>
              <w:t>Mother at age 14</w:t>
            </w:r>
          </w:p>
        </w:tc>
        <w:tc>
          <w:tcPr>
            <w:tcW w:w="1576" w:type="dxa"/>
            <w:tcBorders>
              <w:bottom w:val="single" w:sz="4" w:space="0" w:color="auto"/>
            </w:tcBorders>
            <w:shd w:val="clear" w:color="auto" w:fill="auto"/>
            <w:tcMar>
              <w:top w:w="28" w:type="dxa"/>
              <w:left w:w="108" w:type="dxa"/>
              <w:bottom w:w="28" w:type="dxa"/>
              <w:right w:w="108" w:type="dxa"/>
            </w:tcMar>
            <w:vAlign w:val="cente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 xml:space="preserve"> 0.295</w:t>
            </w:r>
            <w:r>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(0.153)</w:t>
            </w:r>
          </w:p>
        </w:tc>
        <w:tc>
          <w:tcPr>
            <w:tcW w:w="1573" w:type="dxa"/>
            <w:tcBorders>
              <w:bottom w:val="single" w:sz="4" w:space="0" w:color="auto"/>
            </w:tcBorders>
            <w:shd w:val="clear" w:color="auto" w:fill="auto"/>
            <w:vAlign w:val="cente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 xml:space="preserve"> 0.292</w:t>
            </w:r>
            <w:r>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(0.154)</w:t>
            </w:r>
          </w:p>
        </w:tc>
        <w:tc>
          <w:tcPr>
            <w:tcW w:w="1588" w:type="dxa"/>
            <w:tcBorders>
              <w:bottom w:val="single" w:sz="4" w:space="0" w:color="auto"/>
            </w:tcBorders>
            <w:shd w:val="clear" w:color="auto" w:fill="auto"/>
            <w:vAlign w:val="cente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 xml:space="preserve">  0.344</w:t>
            </w:r>
            <w:r>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(0.169)</w:t>
            </w:r>
          </w:p>
        </w:tc>
      </w:tr>
      <w:tr w:rsidR="00BA21D9" w:rsidRPr="0043730F" w:rsidTr="0063534E">
        <w:trPr>
          <w:trHeight w:val="284"/>
          <w:jc w:val="center"/>
        </w:trPr>
        <w:tc>
          <w:tcPr>
            <w:tcW w:w="4310" w:type="dxa"/>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lang w:val="en-NZ" w:eastAsia="en-NZ"/>
              </w:rPr>
            </w:pPr>
            <w:r>
              <w:rPr>
                <w:rFonts w:eastAsia="Times New Roman"/>
                <w:color w:val="000000"/>
                <w:sz w:val="20"/>
                <w:szCs w:val="20"/>
                <w:bdr w:val="none" w:sz="0" w:space="0" w:color="auto"/>
                <w:lang w:val="en-NZ" w:eastAsia="en-NZ"/>
              </w:rPr>
              <w:t>Mother at age 15</w:t>
            </w:r>
          </w:p>
        </w:tc>
        <w:tc>
          <w:tcPr>
            <w:tcW w:w="1576" w:type="dxa"/>
            <w:tcBorders>
              <w:bottom w:val="single" w:sz="4" w:space="0" w:color="auto"/>
            </w:tcBorders>
            <w:shd w:val="clear" w:color="auto" w:fill="auto"/>
            <w:tcMar>
              <w:top w:w="28" w:type="dxa"/>
              <w:left w:w="108" w:type="dxa"/>
              <w:bottom w:w="28" w:type="dxa"/>
              <w:right w:w="108" w:type="dxa"/>
            </w:tcMar>
            <w:vAlign w:val="cente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-0.030</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(0.058)</w:t>
            </w:r>
          </w:p>
        </w:tc>
        <w:tc>
          <w:tcPr>
            <w:tcW w:w="1573" w:type="dxa"/>
            <w:tcBorders>
              <w:bottom w:val="single" w:sz="4" w:space="0" w:color="auto"/>
            </w:tcBorders>
            <w:shd w:val="clear" w:color="auto" w:fill="auto"/>
            <w:vAlign w:val="cente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-0.029</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(0.058)</w:t>
            </w:r>
          </w:p>
        </w:tc>
        <w:tc>
          <w:tcPr>
            <w:tcW w:w="1588" w:type="dxa"/>
            <w:tcBorders>
              <w:bottom w:val="single" w:sz="4" w:space="0" w:color="auto"/>
            </w:tcBorders>
            <w:shd w:val="clear" w:color="auto" w:fill="auto"/>
            <w:vAlign w:val="cente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-0.024</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(0.063)</w:t>
            </w:r>
          </w:p>
        </w:tc>
      </w:tr>
      <w:tr w:rsidR="00BA21D9" w:rsidRPr="0043730F" w:rsidTr="0063534E">
        <w:trPr>
          <w:trHeight w:val="284"/>
          <w:jc w:val="center"/>
        </w:trPr>
        <w:tc>
          <w:tcPr>
            <w:tcW w:w="4310" w:type="dxa"/>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lang w:val="en-NZ" w:eastAsia="en-NZ"/>
              </w:rPr>
            </w:pPr>
            <w:r>
              <w:rPr>
                <w:rFonts w:eastAsia="Times New Roman"/>
                <w:color w:val="000000"/>
                <w:sz w:val="20"/>
                <w:szCs w:val="20"/>
                <w:bdr w:val="none" w:sz="0" w:space="0" w:color="auto"/>
                <w:lang w:val="en-NZ" w:eastAsia="en-NZ"/>
              </w:rPr>
              <w:t>Mother at age 16</w:t>
            </w:r>
          </w:p>
        </w:tc>
        <w:tc>
          <w:tcPr>
            <w:tcW w:w="1576" w:type="dxa"/>
            <w:tcBorders>
              <w:bottom w:val="single" w:sz="4" w:space="0" w:color="auto"/>
            </w:tcBorders>
            <w:shd w:val="clear" w:color="auto" w:fill="auto"/>
            <w:tcMar>
              <w:top w:w="28" w:type="dxa"/>
              <w:left w:w="108" w:type="dxa"/>
              <w:bottom w:w="28" w:type="dxa"/>
              <w:right w:w="108" w:type="dxa"/>
            </w:tcMar>
            <w:vAlign w:val="cente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-0.028</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(0.040)</w:t>
            </w:r>
          </w:p>
        </w:tc>
        <w:tc>
          <w:tcPr>
            <w:tcW w:w="1573" w:type="dxa"/>
            <w:tcBorders>
              <w:bottom w:val="single" w:sz="4" w:space="0" w:color="auto"/>
            </w:tcBorders>
            <w:shd w:val="clear" w:color="auto" w:fill="auto"/>
            <w:vAlign w:val="cente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-0.028</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(0.040)</w:t>
            </w:r>
          </w:p>
        </w:tc>
        <w:tc>
          <w:tcPr>
            <w:tcW w:w="1588" w:type="dxa"/>
            <w:tcBorders>
              <w:bottom w:val="single" w:sz="4" w:space="0" w:color="auto"/>
            </w:tcBorders>
            <w:shd w:val="clear" w:color="auto" w:fill="auto"/>
            <w:vAlign w:val="cente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-0.025</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(0.044)</w:t>
            </w:r>
          </w:p>
        </w:tc>
      </w:tr>
      <w:tr w:rsidR="00BA21D9" w:rsidRPr="0043730F" w:rsidTr="0063534E">
        <w:trPr>
          <w:trHeight w:val="284"/>
          <w:jc w:val="center"/>
        </w:trPr>
        <w:tc>
          <w:tcPr>
            <w:tcW w:w="4310" w:type="dxa"/>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lang w:val="en-NZ" w:eastAsia="en-NZ"/>
              </w:rPr>
            </w:pPr>
            <w:r>
              <w:rPr>
                <w:rFonts w:eastAsia="Times New Roman"/>
                <w:color w:val="000000"/>
                <w:sz w:val="20"/>
                <w:szCs w:val="20"/>
                <w:bdr w:val="none" w:sz="0" w:space="0" w:color="auto"/>
                <w:lang w:val="en-NZ" w:eastAsia="en-NZ"/>
              </w:rPr>
              <w:t>Mother at age 17</w:t>
            </w:r>
          </w:p>
        </w:tc>
        <w:tc>
          <w:tcPr>
            <w:tcW w:w="1576" w:type="dxa"/>
            <w:tcBorders>
              <w:bottom w:val="single" w:sz="4" w:space="0" w:color="auto"/>
            </w:tcBorders>
            <w:shd w:val="clear" w:color="auto" w:fill="auto"/>
            <w:tcMar>
              <w:top w:w="28" w:type="dxa"/>
              <w:left w:w="108" w:type="dxa"/>
              <w:bottom w:w="28" w:type="dxa"/>
              <w:right w:w="108" w:type="dxa"/>
            </w:tcMar>
            <w:vAlign w:val="cente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-0.008</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(0.036)</w:t>
            </w:r>
          </w:p>
        </w:tc>
        <w:tc>
          <w:tcPr>
            <w:tcW w:w="1573" w:type="dxa"/>
            <w:tcBorders>
              <w:bottom w:val="single" w:sz="4" w:space="0" w:color="auto"/>
            </w:tcBorders>
            <w:shd w:val="clear" w:color="auto" w:fill="auto"/>
            <w:vAlign w:val="cente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-0.008</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(0.037)</w:t>
            </w:r>
          </w:p>
        </w:tc>
        <w:tc>
          <w:tcPr>
            <w:tcW w:w="1588" w:type="dxa"/>
            <w:tcBorders>
              <w:bottom w:val="single" w:sz="4" w:space="0" w:color="auto"/>
            </w:tcBorders>
            <w:shd w:val="clear" w:color="auto" w:fill="auto"/>
            <w:vAlign w:val="cente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-0.005</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(0.041)</w:t>
            </w:r>
          </w:p>
        </w:tc>
      </w:tr>
      <w:tr w:rsidR="00BA21D9" w:rsidRPr="0043730F" w:rsidTr="0063534E">
        <w:trPr>
          <w:trHeight w:val="284"/>
          <w:jc w:val="center"/>
        </w:trPr>
        <w:tc>
          <w:tcPr>
            <w:tcW w:w="4310" w:type="dxa"/>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lang w:val="en-NZ" w:eastAsia="en-NZ"/>
              </w:rPr>
            </w:pPr>
            <w:r>
              <w:rPr>
                <w:rFonts w:eastAsia="Times New Roman"/>
                <w:color w:val="000000"/>
                <w:sz w:val="20"/>
                <w:szCs w:val="20"/>
                <w:bdr w:val="none" w:sz="0" w:space="0" w:color="auto"/>
                <w:lang w:val="en-NZ" w:eastAsia="en-NZ"/>
              </w:rPr>
              <w:t>Mother at age 18</w:t>
            </w:r>
          </w:p>
        </w:tc>
        <w:tc>
          <w:tcPr>
            <w:tcW w:w="1576" w:type="dxa"/>
            <w:tcBorders>
              <w:bottom w:val="single" w:sz="4" w:space="0" w:color="auto"/>
            </w:tcBorders>
            <w:shd w:val="clear" w:color="auto" w:fill="auto"/>
            <w:tcMar>
              <w:top w:w="28" w:type="dxa"/>
              <w:left w:w="108" w:type="dxa"/>
              <w:bottom w:w="28" w:type="dxa"/>
              <w:right w:w="108" w:type="dxa"/>
            </w:tcMar>
            <w:vAlign w:val="cente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 xml:space="preserve">   0.095</w:t>
            </w:r>
            <w:r>
              <w:rPr>
                <w:color w:val="000000" w:themeColor="text1"/>
                <w:kern w:val="24"/>
                <w:sz w:val="20"/>
                <w:szCs w:val="20"/>
                <w:bdr w:val="none" w:sz="0" w:space="0" w:color="auto"/>
                <w:vertAlign w:val="superscript"/>
                <w:lang w:eastAsia="en-NZ"/>
              </w:rPr>
              <w:t>**</w:t>
            </w:r>
            <w:r w:rsidRPr="001F3FFC">
              <w:rPr>
                <w:color w:val="000000" w:themeColor="text1"/>
                <w:kern w:val="24"/>
                <w:sz w:val="20"/>
                <w:szCs w:val="20"/>
                <w:bdr w:val="none" w:sz="0" w:space="0" w:color="auto"/>
                <w:vertAlign w:val="superscript"/>
                <w:lang w:eastAsia="en-NZ"/>
              </w:rPr>
              <w:t>*</w:t>
            </w:r>
            <w:r>
              <w:rPr>
                <w:color w:val="000000" w:themeColor="text1"/>
                <w:kern w:val="24"/>
                <w:sz w:val="20"/>
                <w:szCs w:val="20"/>
                <w:bdr w:val="none" w:sz="0" w:space="0" w:color="auto"/>
                <w:lang w:eastAsia="en-NZ"/>
              </w:rPr>
              <w:br/>
              <w:t>(0.035)</w:t>
            </w:r>
          </w:p>
        </w:tc>
        <w:tc>
          <w:tcPr>
            <w:tcW w:w="1573" w:type="dxa"/>
            <w:tcBorders>
              <w:bottom w:val="single" w:sz="4" w:space="0" w:color="auto"/>
            </w:tcBorders>
            <w:shd w:val="clear" w:color="auto" w:fill="auto"/>
            <w:vAlign w:val="cente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 xml:space="preserve">   0.095</w:t>
            </w:r>
            <w:r>
              <w:rPr>
                <w:color w:val="000000" w:themeColor="text1"/>
                <w:kern w:val="24"/>
                <w:sz w:val="20"/>
                <w:szCs w:val="20"/>
                <w:bdr w:val="none" w:sz="0" w:space="0" w:color="auto"/>
                <w:vertAlign w:val="superscript"/>
                <w:lang w:eastAsia="en-NZ"/>
              </w:rPr>
              <w:t>***</w:t>
            </w:r>
            <w:r>
              <w:rPr>
                <w:color w:val="000000" w:themeColor="text1"/>
                <w:kern w:val="24"/>
                <w:sz w:val="20"/>
                <w:szCs w:val="20"/>
                <w:bdr w:val="none" w:sz="0" w:space="0" w:color="auto"/>
                <w:lang w:eastAsia="en-NZ"/>
              </w:rPr>
              <w:br/>
              <w:t>(0.035)</w:t>
            </w:r>
          </w:p>
        </w:tc>
        <w:tc>
          <w:tcPr>
            <w:tcW w:w="1588" w:type="dxa"/>
            <w:tcBorders>
              <w:bottom w:val="single" w:sz="4" w:space="0" w:color="auto"/>
            </w:tcBorders>
            <w:shd w:val="clear" w:color="auto" w:fill="auto"/>
            <w:vAlign w:val="cente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 xml:space="preserve">   0.107</w:t>
            </w:r>
            <w:r>
              <w:rPr>
                <w:color w:val="000000" w:themeColor="text1"/>
                <w:kern w:val="24"/>
                <w:sz w:val="20"/>
                <w:szCs w:val="20"/>
                <w:bdr w:val="none" w:sz="0" w:space="0" w:color="auto"/>
                <w:vertAlign w:val="superscript"/>
                <w:lang w:eastAsia="en-NZ"/>
              </w:rPr>
              <w:t>***</w:t>
            </w:r>
            <w:r>
              <w:rPr>
                <w:color w:val="000000" w:themeColor="text1"/>
                <w:kern w:val="24"/>
                <w:sz w:val="20"/>
                <w:szCs w:val="20"/>
                <w:bdr w:val="none" w:sz="0" w:space="0" w:color="auto"/>
                <w:lang w:eastAsia="en-NZ"/>
              </w:rPr>
              <w:br/>
              <w:t>(0.041)</w:t>
            </w:r>
          </w:p>
        </w:tc>
      </w:tr>
      <w:tr w:rsidR="00BA21D9" w:rsidRPr="0043730F" w:rsidTr="0063534E">
        <w:trPr>
          <w:trHeight w:val="284"/>
          <w:jc w:val="center"/>
        </w:trPr>
        <w:tc>
          <w:tcPr>
            <w:tcW w:w="4310" w:type="dxa"/>
            <w:tcBorders>
              <w:bottom w:val="single" w:sz="4" w:space="0" w:color="auto"/>
            </w:tcBorders>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lang w:val="en-NZ" w:eastAsia="en-NZ"/>
              </w:rPr>
            </w:pPr>
            <w:r>
              <w:rPr>
                <w:rFonts w:eastAsia="Times New Roman"/>
                <w:color w:val="000000"/>
                <w:sz w:val="20"/>
                <w:szCs w:val="20"/>
                <w:bdr w:val="none" w:sz="0" w:space="0" w:color="auto"/>
                <w:lang w:val="en-NZ" w:eastAsia="en-NZ"/>
              </w:rPr>
              <w:t>Days mother on benefit by age 5</w:t>
            </w:r>
          </w:p>
        </w:tc>
        <w:tc>
          <w:tcPr>
            <w:tcW w:w="1576" w:type="dxa"/>
            <w:tcBorders>
              <w:bottom w:val="single" w:sz="4" w:space="0" w:color="auto"/>
            </w:tcBorders>
            <w:shd w:val="clear" w:color="auto" w:fill="auto"/>
            <w:tcMar>
              <w:top w:w="28" w:type="dxa"/>
              <w:left w:w="108" w:type="dxa"/>
              <w:bottom w:w="28" w:type="dxa"/>
              <w:right w:w="108" w:type="dxa"/>
            </w:tcMar>
            <w:vAlign w:val="cente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-0.000</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(0.000)</w:t>
            </w:r>
          </w:p>
        </w:tc>
        <w:tc>
          <w:tcPr>
            <w:tcW w:w="1573" w:type="dxa"/>
            <w:tcBorders>
              <w:bottom w:val="single" w:sz="4" w:space="0" w:color="auto"/>
            </w:tcBorders>
            <w:shd w:val="clear" w:color="auto" w:fill="auto"/>
            <w:vAlign w:val="cente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-0.000</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(0.000)</w:t>
            </w:r>
          </w:p>
        </w:tc>
        <w:tc>
          <w:tcPr>
            <w:tcW w:w="1588" w:type="dxa"/>
            <w:tcBorders>
              <w:bottom w:val="single" w:sz="4" w:space="0" w:color="auto"/>
            </w:tcBorders>
            <w:shd w:val="clear" w:color="auto" w:fill="auto"/>
            <w:vAlign w:val="cente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-0.000</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(0.000)</w:t>
            </w:r>
          </w:p>
        </w:tc>
      </w:tr>
      <w:tr w:rsidR="00BA21D9" w:rsidRPr="0043730F" w:rsidTr="0063534E">
        <w:trPr>
          <w:trHeight w:val="284"/>
          <w:jc w:val="center"/>
        </w:trPr>
        <w:tc>
          <w:tcPr>
            <w:tcW w:w="4310" w:type="dxa"/>
            <w:tcBorders>
              <w:bottom w:val="single" w:sz="4" w:space="0" w:color="auto"/>
            </w:tcBorders>
            <w:tcMar>
              <w:top w:w="28" w:type="dxa"/>
              <w:left w:w="108" w:type="dxa"/>
              <w:bottom w:w="28" w:type="dxa"/>
              <w:right w:w="108" w:type="dxa"/>
            </w:tcMar>
            <w:vAlign w:val="center"/>
          </w:tcPr>
          <w:p w:rsidR="00BA21D9" w:rsidRPr="002D1DB0"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lang w:eastAsia="en-NZ"/>
              </w:rPr>
            </w:pPr>
            <w:r>
              <w:rPr>
                <w:rFonts w:eastAsia="Times New Roman"/>
                <w:color w:val="000000"/>
                <w:sz w:val="20"/>
                <w:szCs w:val="20"/>
                <w:bdr w:val="none" w:sz="0" w:space="0" w:color="auto"/>
                <w:lang w:eastAsia="en-NZ"/>
              </w:rPr>
              <w:t>School size</w:t>
            </w:r>
          </w:p>
        </w:tc>
        <w:tc>
          <w:tcPr>
            <w:tcW w:w="1576" w:type="dxa"/>
            <w:tcBorders>
              <w:bottom w:val="single" w:sz="4" w:space="0" w:color="auto"/>
            </w:tcBorders>
            <w:shd w:val="clear" w:color="auto" w:fill="auto"/>
            <w:tcMar>
              <w:top w:w="28" w:type="dxa"/>
              <w:left w:w="108" w:type="dxa"/>
              <w:bottom w:w="28" w:type="dxa"/>
              <w:right w:w="108" w:type="dxa"/>
            </w:tcMar>
            <w:vAlign w:val="cente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 xml:space="preserve">  -0.011</w:t>
            </w:r>
            <w:r>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(0.005)</w:t>
            </w:r>
          </w:p>
        </w:tc>
        <w:tc>
          <w:tcPr>
            <w:tcW w:w="1573" w:type="dxa"/>
            <w:tcBorders>
              <w:bottom w:val="single" w:sz="4" w:space="0" w:color="auto"/>
            </w:tcBorders>
            <w:shd w:val="clear" w:color="auto" w:fill="auto"/>
            <w:vAlign w:val="cente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 xml:space="preserve">  -0.010</w:t>
            </w:r>
            <w:r>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(0.005)</w:t>
            </w:r>
          </w:p>
        </w:tc>
        <w:tc>
          <w:tcPr>
            <w:tcW w:w="1588" w:type="dxa"/>
            <w:tcBorders>
              <w:bottom w:val="single" w:sz="4" w:space="0" w:color="auto"/>
            </w:tcBorders>
            <w:shd w:val="clear" w:color="auto" w:fill="auto"/>
            <w:vAlign w:val="cente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 xml:space="preserve"> -0.011</w:t>
            </w:r>
            <w:r>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(0.005)</w:t>
            </w:r>
          </w:p>
        </w:tc>
      </w:tr>
      <w:tr w:rsidR="00BA21D9" w:rsidRPr="0043730F" w:rsidTr="0063534E">
        <w:trPr>
          <w:trHeight w:val="284"/>
          <w:jc w:val="center"/>
        </w:trPr>
        <w:tc>
          <w:tcPr>
            <w:tcW w:w="4310" w:type="dxa"/>
            <w:tcBorders>
              <w:top w:val="single" w:sz="4" w:space="0" w:color="auto"/>
              <w:bottom w:val="single" w:sz="8" w:space="0" w:color="auto"/>
            </w:tcBorders>
            <w:tcMar>
              <w:top w:w="28" w:type="dxa"/>
              <w:left w:w="108" w:type="dxa"/>
              <w:bottom w:w="28" w:type="dxa"/>
              <w:right w:w="108" w:type="dxa"/>
            </w:tcMar>
            <w:vAlign w:val="cente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lang w:eastAsia="en-NZ"/>
              </w:rPr>
            </w:pPr>
            <w:r>
              <w:rPr>
                <w:rFonts w:eastAsia="Times New Roman"/>
                <w:color w:val="000000"/>
                <w:sz w:val="20"/>
                <w:szCs w:val="20"/>
                <w:bdr w:val="none" w:sz="0" w:space="0" w:color="auto"/>
                <w:lang w:eastAsia="en-NZ"/>
              </w:rPr>
              <w:t>Constant</w:t>
            </w:r>
          </w:p>
        </w:tc>
        <w:tc>
          <w:tcPr>
            <w:tcW w:w="1576" w:type="dxa"/>
            <w:tcBorders>
              <w:top w:val="single" w:sz="4" w:space="0" w:color="auto"/>
              <w:bottom w:val="single" w:sz="8" w:space="0" w:color="auto"/>
            </w:tcBorders>
            <w:shd w:val="clear" w:color="auto" w:fill="auto"/>
            <w:tcMar>
              <w:top w:w="28" w:type="dxa"/>
              <w:left w:w="108" w:type="dxa"/>
              <w:bottom w:w="28" w:type="dxa"/>
              <w:right w:w="108" w:type="dxa"/>
            </w:tcMar>
            <w:vAlign w:val="cente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 xml:space="preserve">   0.219</w:t>
            </w:r>
            <w:r w:rsidRPr="001F3FFC">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(0.064)</w:t>
            </w:r>
          </w:p>
        </w:tc>
        <w:tc>
          <w:tcPr>
            <w:tcW w:w="1573" w:type="dxa"/>
            <w:tcBorders>
              <w:top w:val="single" w:sz="4" w:space="0" w:color="auto"/>
              <w:bottom w:val="single" w:sz="8" w:space="0" w:color="auto"/>
            </w:tcBorders>
            <w:shd w:val="clear" w:color="auto" w:fill="auto"/>
            <w:vAlign w:val="cente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 xml:space="preserve">   0.224</w:t>
            </w:r>
            <w:r w:rsidRPr="001F3FFC">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(0.072)</w:t>
            </w:r>
          </w:p>
        </w:tc>
        <w:tc>
          <w:tcPr>
            <w:tcW w:w="1588" w:type="dxa"/>
            <w:tcBorders>
              <w:top w:val="single" w:sz="4" w:space="0" w:color="auto"/>
              <w:bottom w:val="single" w:sz="8" w:space="0" w:color="auto"/>
            </w:tcBorders>
            <w:shd w:val="clear" w:color="auto" w:fill="auto"/>
            <w:vAlign w:val="cente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 xml:space="preserve">   ---</w:t>
            </w:r>
          </w:p>
        </w:tc>
      </w:tr>
      <w:tr w:rsidR="00BA21D9" w:rsidRPr="0043730F" w:rsidTr="0063534E">
        <w:trPr>
          <w:trHeight w:val="227"/>
          <w:jc w:val="center"/>
        </w:trPr>
        <w:tc>
          <w:tcPr>
            <w:tcW w:w="4310" w:type="dxa"/>
            <w:tcBorders>
              <w:top w:val="single" w:sz="8" w:space="0" w:color="auto"/>
              <w:bottom w:val="nil"/>
            </w:tcBorders>
            <w:shd w:val="clear" w:color="auto" w:fill="auto"/>
            <w:tcMar>
              <w:top w:w="28" w:type="dxa"/>
              <w:left w:w="108" w:type="dxa"/>
              <w:bottom w:w="28" w:type="dxa"/>
              <w:right w:w="108" w:type="dxa"/>
            </w:tcMar>
            <w:hideMark/>
          </w:tcPr>
          <w:p w:rsidR="00BA21D9" w:rsidRPr="004B26AA"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i/>
                <w:sz w:val="20"/>
                <w:szCs w:val="20"/>
                <w:bdr w:val="none" w:sz="0" w:space="0" w:color="auto"/>
                <w:lang w:val="en-NZ" w:eastAsia="en-NZ"/>
              </w:rPr>
            </w:pPr>
            <w:r w:rsidRPr="004B26AA">
              <w:rPr>
                <w:i/>
                <w:color w:val="000000" w:themeColor="text1"/>
                <w:kern w:val="24"/>
                <w:sz w:val="20"/>
                <w:szCs w:val="20"/>
                <w:bdr w:val="none" w:sz="0" w:space="0" w:color="auto"/>
                <w:lang w:val="en-NZ" w:eastAsia="en-NZ"/>
              </w:rPr>
              <w:t>n</w:t>
            </w:r>
          </w:p>
        </w:tc>
        <w:tc>
          <w:tcPr>
            <w:tcW w:w="1576" w:type="dxa"/>
            <w:tcBorders>
              <w:top w:val="single" w:sz="8" w:space="0" w:color="auto"/>
              <w:bottom w:val="nil"/>
            </w:tcBorders>
            <w:shd w:val="clear" w:color="auto" w:fill="auto"/>
            <w:tcMar>
              <w:top w:w="28" w:type="dxa"/>
              <w:left w:w="108" w:type="dxa"/>
              <w:bottom w:w="28" w:type="dxa"/>
              <w:right w:w="108" w:type="dxa"/>
            </w:tcMar>
            <w:hideMark/>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rFonts w:eastAsiaTheme="minorEastAsia"/>
                <w:color w:val="000000" w:themeColor="text1"/>
                <w:kern w:val="24"/>
                <w:sz w:val="20"/>
                <w:szCs w:val="20"/>
                <w:bdr w:val="none" w:sz="0" w:space="0" w:color="auto"/>
                <w:lang w:val="en-NZ" w:eastAsia="en-NZ"/>
              </w:rPr>
              <w:t>1,911</w:t>
            </w:r>
          </w:p>
        </w:tc>
        <w:tc>
          <w:tcPr>
            <w:tcW w:w="1573" w:type="dxa"/>
            <w:tcBorders>
              <w:top w:val="single" w:sz="8" w:space="0" w:color="auto"/>
              <w:bottom w:val="nil"/>
            </w:tcBorders>
            <w:shd w:val="clear" w:color="auto" w:fill="auto"/>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EastAsia"/>
                <w:color w:val="000000" w:themeColor="text1"/>
                <w:kern w:val="24"/>
                <w:sz w:val="20"/>
                <w:szCs w:val="20"/>
                <w:bdr w:val="none" w:sz="0" w:space="0" w:color="auto"/>
                <w:lang w:val="en-NZ" w:eastAsia="en-NZ"/>
              </w:rPr>
            </w:pPr>
            <w:r>
              <w:rPr>
                <w:rFonts w:eastAsiaTheme="minorEastAsia"/>
                <w:color w:val="000000" w:themeColor="text1"/>
                <w:kern w:val="24"/>
                <w:sz w:val="20"/>
                <w:szCs w:val="20"/>
                <w:bdr w:val="none" w:sz="0" w:space="0" w:color="auto"/>
                <w:lang w:val="en-NZ" w:eastAsia="en-NZ"/>
              </w:rPr>
              <w:t>1,911</w:t>
            </w:r>
          </w:p>
        </w:tc>
        <w:tc>
          <w:tcPr>
            <w:tcW w:w="1588" w:type="dxa"/>
            <w:tcBorders>
              <w:top w:val="single" w:sz="8" w:space="0" w:color="auto"/>
              <w:bottom w:val="nil"/>
            </w:tcBorders>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EastAsia"/>
                <w:color w:val="000000" w:themeColor="text1"/>
                <w:kern w:val="24"/>
                <w:sz w:val="20"/>
                <w:szCs w:val="20"/>
                <w:bdr w:val="none" w:sz="0" w:space="0" w:color="auto"/>
                <w:lang w:val="en-NZ" w:eastAsia="en-NZ"/>
              </w:rPr>
            </w:pPr>
            <w:r>
              <w:rPr>
                <w:rFonts w:eastAsiaTheme="minorEastAsia"/>
                <w:color w:val="000000" w:themeColor="text1"/>
                <w:kern w:val="24"/>
                <w:sz w:val="20"/>
                <w:szCs w:val="20"/>
                <w:bdr w:val="none" w:sz="0" w:space="0" w:color="auto"/>
                <w:lang w:val="en-NZ" w:eastAsia="en-NZ"/>
              </w:rPr>
              <w:t>1,911</w:t>
            </w:r>
          </w:p>
        </w:tc>
      </w:tr>
      <w:tr w:rsidR="00BA21D9" w:rsidRPr="0043730F" w:rsidTr="0063534E">
        <w:trPr>
          <w:trHeight w:val="227"/>
          <w:jc w:val="center"/>
        </w:trPr>
        <w:tc>
          <w:tcPr>
            <w:tcW w:w="4310" w:type="dxa"/>
            <w:tcBorders>
              <w:top w:val="nil"/>
              <w:bottom w:val="nil"/>
            </w:tcBorders>
            <w:shd w:val="clear" w:color="auto" w:fill="auto"/>
            <w:tcMar>
              <w:top w:w="28" w:type="dxa"/>
              <w:left w:w="108" w:type="dxa"/>
              <w:bottom w:w="28" w:type="dxa"/>
              <w:right w:w="108" w:type="dxa"/>
            </w:tcMa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val="en-NZ" w:eastAsia="en-NZ"/>
              </w:rPr>
            </w:pPr>
            <w:r>
              <w:rPr>
                <w:color w:val="000000" w:themeColor="text1"/>
                <w:kern w:val="24"/>
                <w:sz w:val="20"/>
                <w:szCs w:val="20"/>
                <w:bdr w:val="none" w:sz="0" w:space="0" w:color="auto"/>
                <w:lang w:val="en-NZ" w:eastAsia="en-NZ"/>
              </w:rPr>
              <w:t>R</w:t>
            </w:r>
            <w:r w:rsidRPr="001F3FFC">
              <w:rPr>
                <w:color w:val="000000" w:themeColor="text1"/>
                <w:kern w:val="24"/>
                <w:sz w:val="20"/>
                <w:szCs w:val="20"/>
                <w:bdr w:val="none" w:sz="0" w:space="0" w:color="auto"/>
                <w:vertAlign w:val="superscript"/>
                <w:lang w:val="en-NZ" w:eastAsia="en-NZ"/>
              </w:rPr>
              <w:t>2</w:t>
            </w:r>
            <w:r>
              <w:rPr>
                <w:color w:val="000000" w:themeColor="text1"/>
                <w:kern w:val="24"/>
                <w:sz w:val="20"/>
                <w:szCs w:val="20"/>
                <w:bdr w:val="none" w:sz="0" w:space="0" w:color="auto"/>
                <w:lang w:val="en-NZ" w:eastAsia="en-NZ"/>
              </w:rPr>
              <w:t xml:space="preserve"> Statistic</w:t>
            </w:r>
          </w:p>
        </w:tc>
        <w:tc>
          <w:tcPr>
            <w:tcW w:w="1576" w:type="dxa"/>
            <w:tcBorders>
              <w:top w:val="nil"/>
              <w:bottom w:val="nil"/>
            </w:tcBorders>
            <w:shd w:val="clear" w:color="auto" w:fill="auto"/>
            <w:tcMar>
              <w:top w:w="28" w:type="dxa"/>
              <w:left w:w="108" w:type="dxa"/>
              <w:bottom w:w="28" w:type="dxa"/>
              <w:right w:w="108" w:type="dxa"/>
            </w:tcMa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EastAsia"/>
                <w:color w:val="000000" w:themeColor="text1"/>
                <w:kern w:val="24"/>
                <w:sz w:val="20"/>
                <w:szCs w:val="20"/>
                <w:bdr w:val="none" w:sz="0" w:space="0" w:color="auto"/>
                <w:lang w:val="en-NZ" w:eastAsia="en-NZ"/>
              </w:rPr>
            </w:pPr>
            <w:r>
              <w:rPr>
                <w:rFonts w:eastAsiaTheme="minorEastAsia"/>
                <w:color w:val="000000" w:themeColor="text1"/>
                <w:kern w:val="24"/>
                <w:sz w:val="20"/>
                <w:szCs w:val="20"/>
                <w:bdr w:val="none" w:sz="0" w:space="0" w:color="auto"/>
                <w:lang w:val="en-NZ" w:eastAsia="en-NZ"/>
              </w:rPr>
              <w:t>0.1276</w:t>
            </w:r>
          </w:p>
        </w:tc>
        <w:tc>
          <w:tcPr>
            <w:tcW w:w="1573" w:type="dxa"/>
            <w:tcBorders>
              <w:top w:val="nil"/>
              <w:bottom w:val="nil"/>
            </w:tcBorders>
            <w:shd w:val="clear" w:color="auto" w:fill="auto"/>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EastAsia"/>
                <w:color w:val="000000" w:themeColor="text1"/>
                <w:kern w:val="24"/>
                <w:sz w:val="20"/>
                <w:szCs w:val="20"/>
                <w:bdr w:val="none" w:sz="0" w:space="0" w:color="auto"/>
                <w:lang w:val="en-NZ" w:eastAsia="en-NZ"/>
              </w:rPr>
            </w:pPr>
            <w:r>
              <w:rPr>
                <w:rFonts w:eastAsiaTheme="minorEastAsia"/>
                <w:color w:val="000000" w:themeColor="text1"/>
                <w:kern w:val="24"/>
                <w:sz w:val="20"/>
                <w:szCs w:val="20"/>
                <w:bdr w:val="none" w:sz="0" w:space="0" w:color="auto"/>
                <w:lang w:val="en-NZ" w:eastAsia="en-NZ"/>
              </w:rPr>
              <w:t>0.1275</w:t>
            </w:r>
          </w:p>
        </w:tc>
        <w:tc>
          <w:tcPr>
            <w:tcW w:w="1588" w:type="dxa"/>
            <w:tcBorders>
              <w:top w:val="nil"/>
              <w:bottom w:val="nil"/>
            </w:tcBorders>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EastAsia"/>
                <w:color w:val="000000" w:themeColor="text1"/>
                <w:kern w:val="24"/>
                <w:sz w:val="20"/>
                <w:szCs w:val="20"/>
                <w:bdr w:val="none" w:sz="0" w:space="0" w:color="auto"/>
                <w:lang w:val="en-NZ" w:eastAsia="en-NZ"/>
              </w:rPr>
            </w:pPr>
            <w:r>
              <w:rPr>
                <w:rFonts w:eastAsiaTheme="minorEastAsia"/>
                <w:color w:val="000000" w:themeColor="text1"/>
                <w:kern w:val="24"/>
                <w:sz w:val="20"/>
                <w:szCs w:val="20"/>
                <w:bdr w:val="none" w:sz="0" w:space="0" w:color="auto"/>
                <w:lang w:val="en-NZ" w:eastAsia="en-NZ"/>
              </w:rPr>
              <w:t>---</w:t>
            </w:r>
          </w:p>
        </w:tc>
      </w:tr>
      <w:tr w:rsidR="00BA21D9" w:rsidRPr="0043730F" w:rsidTr="0063534E">
        <w:trPr>
          <w:trHeight w:val="227"/>
          <w:jc w:val="center"/>
        </w:trPr>
        <w:tc>
          <w:tcPr>
            <w:tcW w:w="4310" w:type="dxa"/>
            <w:tcBorders>
              <w:top w:val="nil"/>
              <w:bottom w:val="nil"/>
            </w:tcBorders>
            <w:shd w:val="clear" w:color="auto" w:fill="auto"/>
            <w:tcMar>
              <w:top w:w="28" w:type="dxa"/>
              <w:left w:w="108" w:type="dxa"/>
              <w:bottom w:w="28" w:type="dxa"/>
              <w:right w:w="108" w:type="dxa"/>
            </w:tcMa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val="en-NZ" w:eastAsia="en-NZ"/>
              </w:rPr>
            </w:pPr>
            <w:r>
              <w:rPr>
                <w:color w:val="000000" w:themeColor="text1"/>
                <w:kern w:val="24"/>
                <w:sz w:val="20"/>
                <w:szCs w:val="20"/>
                <w:bdr w:val="none" w:sz="0" w:space="0" w:color="auto"/>
                <w:lang w:val="en-NZ" w:eastAsia="en-NZ"/>
              </w:rPr>
              <w:t>F Statistic</w:t>
            </w:r>
          </w:p>
        </w:tc>
        <w:tc>
          <w:tcPr>
            <w:tcW w:w="1576" w:type="dxa"/>
            <w:tcBorders>
              <w:top w:val="nil"/>
              <w:bottom w:val="nil"/>
            </w:tcBorders>
            <w:shd w:val="clear" w:color="auto" w:fill="auto"/>
            <w:tcMar>
              <w:top w:w="28" w:type="dxa"/>
              <w:left w:w="108" w:type="dxa"/>
              <w:bottom w:w="28" w:type="dxa"/>
              <w:right w:w="108" w:type="dxa"/>
            </w:tcMa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EastAsia"/>
                <w:color w:val="000000" w:themeColor="text1"/>
                <w:kern w:val="24"/>
                <w:sz w:val="20"/>
                <w:szCs w:val="20"/>
                <w:bdr w:val="none" w:sz="0" w:space="0" w:color="auto"/>
                <w:lang w:val="en-NZ" w:eastAsia="en-NZ"/>
              </w:rPr>
            </w:pPr>
            <w:r>
              <w:rPr>
                <w:rFonts w:eastAsiaTheme="minorEastAsia"/>
                <w:color w:val="000000" w:themeColor="text1"/>
                <w:kern w:val="24"/>
                <w:sz w:val="20"/>
                <w:szCs w:val="20"/>
                <w:bdr w:val="none" w:sz="0" w:space="0" w:color="auto"/>
                <w:lang w:val="en-NZ" w:eastAsia="en-NZ"/>
              </w:rPr>
              <w:t>7.84</w:t>
            </w:r>
          </w:p>
        </w:tc>
        <w:tc>
          <w:tcPr>
            <w:tcW w:w="1573" w:type="dxa"/>
            <w:tcBorders>
              <w:top w:val="nil"/>
              <w:bottom w:val="nil"/>
            </w:tcBorders>
            <w:shd w:val="clear" w:color="auto" w:fill="auto"/>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EastAsia"/>
                <w:color w:val="000000" w:themeColor="text1"/>
                <w:kern w:val="24"/>
                <w:sz w:val="20"/>
                <w:szCs w:val="20"/>
                <w:bdr w:val="none" w:sz="0" w:space="0" w:color="auto"/>
                <w:lang w:val="en-NZ" w:eastAsia="en-NZ"/>
              </w:rPr>
            </w:pPr>
            <w:r>
              <w:rPr>
                <w:rFonts w:eastAsiaTheme="minorEastAsia"/>
                <w:color w:val="000000" w:themeColor="text1"/>
                <w:kern w:val="24"/>
                <w:sz w:val="20"/>
                <w:szCs w:val="20"/>
                <w:bdr w:val="none" w:sz="0" w:space="0" w:color="auto"/>
                <w:lang w:val="en-NZ" w:eastAsia="en-NZ"/>
              </w:rPr>
              <w:t>6.66</w:t>
            </w:r>
          </w:p>
        </w:tc>
        <w:tc>
          <w:tcPr>
            <w:tcW w:w="1588" w:type="dxa"/>
            <w:tcBorders>
              <w:top w:val="nil"/>
              <w:bottom w:val="nil"/>
            </w:tcBorders>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EastAsia"/>
                <w:color w:val="000000" w:themeColor="text1"/>
                <w:kern w:val="24"/>
                <w:sz w:val="20"/>
                <w:szCs w:val="20"/>
                <w:bdr w:val="none" w:sz="0" w:space="0" w:color="auto"/>
                <w:lang w:val="en-NZ" w:eastAsia="en-NZ"/>
              </w:rPr>
            </w:pPr>
            <w:r>
              <w:rPr>
                <w:rFonts w:eastAsiaTheme="minorEastAsia"/>
                <w:color w:val="000000" w:themeColor="text1"/>
                <w:kern w:val="24"/>
                <w:sz w:val="20"/>
                <w:szCs w:val="20"/>
                <w:bdr w:val="none" w:sz="0" w:space="0" w:color="auto"/>
                <w:lang w:val="en-NZ" w:eastAsia="en-NZ"/>
              </w:rPr>
              <w:t>---</w:t>
            </w:r>
          </w:p>
        </w:tc>
      </w:tr>
      <w:tr w:rsidR="00BA21D9" w:rsidRPr="0043730F" w:rsidTr="0063534E">
        <w:trPr>
          <w:trHeight w:val="227"/>
          <w:jc w:val="center"/>
        </w:trPr>
        <w:tc>
          <w:tcPr>
            <w:tcW w:w="4310" w:type="dxa"/>
            <w:tcBorders>
              <w:top w:val="nil"/>
              <w:bottom w:val="nil"/>
            </w:tcBorders>
            <w:shd w:val="clear" w:color="auto" w:fill="auto"/>
            <w:tcMar>
              <w:top w:w="28" w:type="dxa"/>
              <w:left w:w="108" w:type="dxa"/>
              <w:bottom w:w="28" w:type="dxa"/>
              <w:right w:w="108" w:type="dxa"/>
            </w:tcMa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val="en-NZ" w:eastAsia="en-NZ"/>
              </w:rPr>
            </w:pPr>
            <w:r>
              <w:rPr>
                <w:color w:val="000000" w:themeColor="text1"/>
                <w:kern w:val="24"/>
                <w:sz w:val="20"/>
                <w:szCs w:val="20"/>
                <w:bdr w:val="none" w:sz="0" w:space="0" w:color="auto"/>
                <w:lang w:val="en-NZ" w:eastAsia="en-NZ"/>
              </w:rPr>
              <w:t>Log-Likelihood Function</w:t>
            </w:r>
          </w:p>
        </w:tc>
        <w:tc>
          <w:tcPr>
            <w:tcW w:w="1576" w:type="dxa"/>
            <w:tcBorders>
              <w:top w:val="nil"/>
              <w:bottom w:val="nil"/>
            </w:tcBorders>
            <w:shd w:val="clear" w:color="auto" w:fill="auto"/>
            <w:tcMar>
              <w:top w:w="28" w:type="dxa"/>
              <w:left w:w="108" w:type="dxa"/>
              <w:bottom w:w="28" w:type="dxa"/>
              <w:right w:w="108" w:type="dxa"/>
            </w:tcMa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EastAsia"/>
                <w:color w:val="000000" w:themeColor="text1"/>
                <w:kern w:val="24"/>
                <w:sz w:val="20"/>
                <w:szCs w:val="20"/>
                <w:bdr w:val="none" w:sz="0" w:space="0" w:color="auto"/>
                <w:lang w:val="en-NZ" w:eastAsia="en-NZ"/>
              </w:rPr>
            </w:pPr>
            <w:r>
              <w:rPr>
                <w:rFonts w:eastAsiaTheme="minorEastAsia"/>
                <w:color w:val="000000" w:themeColor="text1"/>
                <w:kern w:val="24"/>
                <w:sz w:val="20"/>
                <w:szCs w:val="20"/>
                <w:bdr w:val="none" w:sz="0" w:space="0" w:color="auto"/>
                <w:lang w:val="en-NZ" w:eastAsia="en-NZ"/>
              </w:rPr>
              <w:t>---</w:t>
            </w:r>
          </w:p>
        </w:tc>
        <w:tc>
          <w:tcPr>
            <w:tcW w:w="1573" w:type="dxa"/>
            <w:tcBorders>
              <w:top w:val="nil"/>
              <w:bottom w:val="nil"/>
            </w:tcBorders>
            <w:shd w:val="clear" w:color="auto" w:fill="auto"/>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EastAsia"/>
                <w:color w:val="000000" w:themeColor="text1"/>
                <w:kern w:val="24"/>
                <w:sz w:val="20"/>
                <w:szCs w:val="20"/>
                <w:bdr w:val="none" w:sz="0" w:space="0" w:color="auto"/>
                <w:lang w:val="en-NZ" w:eastAsia="en-NZ"/>
              </w:rPr>
            </w:pPr>
            <w:r>
              <w:rPr>
                <w:rFonts w:eastAsiaTheme="minorEastAsia"/>
                <w:color w:val="000000" w:themeColor="text1"/>
                <w:kern w:val="24"/>
                <w:sz w:val="20"/>
                <w:szCs w:val="20"/>
                <w:bdr w:val="none" w:sz="0" w:space="0" w:color="auto"/>
                <w:lang w:val="en-NZ" w:eastAsia="en-NZ"/>
              </w:rPr>
              <w:t>---</w:t>
            </w:r>
          </w:p>
        </w:tc>
        <w:tc>
          <w:tcPr>
            <w:tcW w:w="1588" w:type="dxa"/>
            <w:tcBorders>
              <w:top w:val="nil"/>
              <w:bottom w:val="nil"/>
            </w:tcBorders>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EastAsia"/>
                <w:color w:val="000000" w:themeColor="text1"/>
                <w:kern w:val="24"/>
                <w:sz w:val="20"/>
                <w:szCs w:val="20"/>
                <w:bdr w:val="none" w:sz="0" w:space="0" w:color="auto"/>
                <w:lang w:val="en-NZ" w:eastAsia="en-NZ"/>
              </w:rPr>
            </w:pPr>
            <w:r>
              <w:rPr>
                <w:rFonts w:eastAsiaTheme="minorEastAsia"/>
                <w:color w:val="000000" w:themeColor="text1"/>
                <w:kern w:val="24"/>
                <w:sz w:val="20"/>
                <w:szCs w:val="20"/>
                <w:bdr w:val="none" w:sz="0" w:space="0" w:color="auto"/>
                <w:lang w:val="en-NZ" w:eastAsia="en-NZ"/>
              </w:rPr>
              <w:t>-2,248.21</w:t>
            </w:r>
          </w:p>
        </w:tc>
      </w:tr>
      <w:tr w:rsidR="00BA21D9" w:rsidRPr="0043730F" w:rsidTr="0063534E">
        <w:trPr>
          <w:trHeight w:val="227"/>
          <w:jc w:val="center"/>
        </w:trPr>
        <w:tc>
          <w:tcPr>
            <w:tcW w:w="4310" w:type="dxa"/>
            <w:tcBorders>
              <w:top w:val="nil"/>
              <w:bottom w:val="single" w:sz="8" w:space="0" w:color="auto"/>
            </w:tcBorders>
            <w:shd w:val="clear" w:color="auto" w:fill="auto"/>
            <w:tcMar>
              <w:top w:w="28" w:type="dxa"/>
              <w:left w:w="108" w:type="dxa"/>
              <w:bottom w:w="28" w:type="dxa"/>
              <w:right w:w="108" w:type="dxa"/>
            </w:tcMa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val="en-NZ" w:eastAsia="en-NZ"/>
              </w:rPr>
            </w:pPr>
            <w:r>
              <w:rPr>
                <w:color w:val="000000" w:themeColor="text1"/>
                <w:kern w:val="24"/>
                <w:sz w:val="20"/>
                <w:szCs w:val="20"/>
                <w:bdr w:val="none" w:sz="0" w:space="0" w:color="auto"/>
                <w:lang w:val="en-NZ" w:eastAsia="en-NZ"/>
              </w:rPr>
              <w:t>Pseudo R</w:t>
            </w:r>
            <w:r w:rsidRPr="001F3FFC">
              <w:rPr>
                <w:color w:val="000000" w:themeColor="text1"/>
                <w:kern w:val="24"/>
                <w:sz w:val="20"/>
                <w:szCs w:val="20"/>
                <w:bdr w:val="none" w:sz="0" w:space="0" w:color="auto"/>
                <w:vertAlign w:val="superscript"/>
                <w:lang w:val="en-NZ" w:eastAsia="en-NZ"/>
              </w:rPr>
              <w:t>2</w:t>
            </w:r>
            <w:r>
              <w:rPr>
                <w:color w:val="000000" w:themeColor="text1"/>
                <w:kern w:val="24"/>
                <w:sz w:val="20"/>
                <w:szCs w:val="20"/>
                <w:bdr w:val="none" w:sz="0" w:space="0" w:color="auto"/>
                <w:lang w:val="en-NZ" w:eastAsia="en-NZ"/>
              </w:rPr>
              <w:t xml:space="preserve"> Statistic</w:t>
            </w:r>
          </w:p>
        </w:tc>
        <w:tc>
          <w:tcPr>
            <w:tcW w:w="1576" w:type="dxa"/>
            <w:tcBorders>
              <w:top w:val="nil"/>
              <w:bottom w:val="single" w:sz="8" w:space="0" w:color="auto"/>
            </w:tcBorders>
            <w:shd w:val="clear" w:color="auto" w:fill="auto"/>
            <w:tcMar>
              <w:top w:w="28" w:type="dxa"/>
              <w:left w:w="108" w:type="dxa"/>
              <w:bottom w:w="28" w:type="dxa"/>
              <w:right w:w="108" w:type="dxa"/>
            </w:tcMa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EastAsia"/>
                <w:color w:val="000000" w:themeColor="text1"/>
                <w:kern w:val="24"/>
                <w:sz w:val="20"/>
                <w:szCs w:val="20"/>
                <w:bdr w:val="none" w:sz="0" w:space="0" w:color="auto"/>
                <w:lang w:val="en-NZ" w:eastAsia="en-NZ"/>
              </w:rPr>
            </w:pPr>
            <w:r>
              <w:rPr>
                <w:rFonts w:eastAsiaTheme="minorEastAsia"/>
                <w:color w:val="000000" w:themeColor="text1"/>
                <w:kern w:val="24"/>
                <w:sz w:val="20"/>
                <w:szCs w:val="20"/>
                <w:bdr w:val="none" w:sz="0" w:space="0" w:color="auto"/>
                <w:lang w:val="en-NZ" w:eastAsia="en-NZ"/>
              </w:rPr>
              <w:t>---</w:t>
            </w:r>
          </w:p>
        </w:tc>
        <w:tc>
          <w:tcPr>
            <w:tcW w:w="1573" w:type="dxa"/>
            <w:tcBorders>
              <w:top w:val="nil"/>
              <w:bottom w:val="single" w:sz="8" w:space="0" w:color="auto"/>
            </w:tcBorders>
            <w:shd w:val="clear" w:color="auto" w:fill="auto"/>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EastAsia"/>
                <w:color w:val="000000" w:themeColor="text1"/>
                <w:kern w:val="24"/>
                <w:sz w:val="20"/>
                <w:szCs w:val="20"/>
                <w:bdr w:val="none" w:sz="0" w:space="0" w:color="auto"/>
                <w:lang w:val="en-NZ" w:eastAsia="en-NZ"/>
              </w:rPr>
            </w:pPr>
            <w:r>
              <w:rPr>
                <w:rFonts w:eastAsiaTheme="minorEastAsia"/>
                <w:color w:val="000000" w:themeColor="text1"/>
                <w:kern w:val="24"/>
                <w:sz w:val="20"/>
                <w:szCs w:val="20"/>
                <w:bdr w:val="none" w:sz="0" w:space="0" w:color="auto"/>
                <w:lang w:val="en-NZ" w:eastAsia="en-NZ"/>
              </w:rPr>
              <w:t>---</w:t>
            </w:r>
          </w:p>
        </w:tc>
        <w:tc>
          <w:tcPr>
            <w:tcW w:w="1588" w:type="dxa"/>
            <w:tcBorders>
              <w:top w:val="nil"/>
              <w:bottom w:val="single" w:sz="8" w:space="0" w:color="auto"/>
            </w:tcBorders>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EastAsia"/>
                <w:color w:val="000000" w:themeColor="text1"/>
                <w:kern w:val="24"/>
                <w:sz w:val="20"/>
                <w:szCs w:val="20"/>
                <w:bdr w:val="none" w:sz="0" w:space="0" w:color="auto"/>
                <w:lang w:val="en-NZ" w:eastAsia="en-NZ"/>
              </w:rPr>
            </w:pPr>
            <w:r>
              <w:rPr>
                <w:rFonts w:eastAsiaTheme="minorEastAsia"/>
                <w:color w:val="000000" w:themeColor="text1"/>
                <w:kern w:val="24"/>
                <w:sz w:val="20"/>
                <w:szCs w:val="20"/>
                <w:bdr w:val="none" w:sz="0" w:space="0" w:color="auto"/>
                <w:lang w:val="en-NZ" w:eastAsia="en-NZ"/>
              </w:rPr>
              <w:t>---</w:t>
            </w:r>
          </w:p>
        </w:tc>
      </w:tr>
    </w:tbl>
    <w:p w:rsidR="00BA21D9" w:rsidRDefault="00BA21D9" w:rsidP="00BA21D9">
      <w:pPr>
        <w:widowControl w:val="0"/>
        <w:autoSpaceDE w:val="0"/>
        <w:autoSpaceDN w:val="0"/>
        <w:adjustRightInd w:val="0"/>
        <w:spacing w:before="80" w:after="80"/>
        <w:jc w:val="both"/>
        <w:rPr>
          <w:sz w:val="20"/>
          <w:szCs w:val="20"/>
        </w:rPr>
      </w:pPr>
      <w:r w:rsidRPr="000C6A33">
        <w:rPr>
          <w:sz w:val="20"/>
          <w:szCs w:val="20"/>
        </w:rPr>
        <w:t>Notes</w:t>
      </w:r>
      <w:r>
        <w:rPr>
          <w:sz w:val="20"/>
          <w:szCs w:val="20"/>
        </w:rPr>
        <w:t>:</w:t>
      </w:r>
    </w:p>
    <w:p w:rsidR="00936480" w:rsidRDefault="00BA21D9" w:rsidP="00936480">
      <w:pPr>
        <w:widowControl w:val="0"/>
        <w:autoSpaceDE w:val="0"/>
        <w:autoSpaceDN w:val="0"/>
        <w:adjustRightInd w:val="0"/>
        <w:jc w:val="both"/>
        <w:rPr>
          <w:sz w:val="20"/>
          <w:szCs w:val="20"/>
        </w:rPr>
      </w:pPr>
      <w:r>
        <w:rPr>
          <w:sz w:val="20"/>
          <w:szCs w:val="20"/>
        </w:rPr>
        <w:t xml:space="preserve">Full sets of regression results.  See the notes at the bottom of Table 10 in the main body of this report for more information on these estimation procedures.  The last two sets of regression results are from the second stage of these Instrumental Variable procedures. The first-stage results are available from the authors upon request. </w:t>
      </w:r>
      <w:r w:rsidR="000E26B2">
        <w:rPr>
          <w:sz w:val="20"/>
          <w:szCs w:val="20"/>
        </w:rPr>
        <w:t xml:space="preserve"> </w:t>
      </w:r>
      <w:r w:rsidR="00936480">
        <w:rPr>
          <w:sz w:val="20"/>
          <w:szCs w:val="20"/>
        </w:rPr>
        <w:t xml:space="preserve">Excluded categories are birth cohort =1991, urban area = Main Urban Area and </w:t>
      </w:r>
      <w:r w:rsidR="008720EC">
        <w:rPr>
          <w:sz w:val="20"/>
          <w:szCs w:val="20"/>
        </w:rPr>
        <w:t xml:space="preserve">MoE </w:t>
      </w:r>
      <w:r w:rsidR="00936480">
        <w:rPr>
          <w:sz w:val="20"/>
          <w:szCs w:val="20"/>
        </w:rPr>
        <w:t xml:space="preserve">Office = Auckland North. </w:t>
      </w:r>
    </w:p>
    <w:p w:rsidR="00BA21D9" w:rsidRDefault="00BA21D9" w:rsidP="00BA21D9">
      <w:pPr>
        <w:widowControl w:val="0"/>
        <w:autoSpaceDE w:val="0"/>
        <w:autoSpaceDN w:val="0"/>
        <w:adjustRightInd w:val="0"/>
        <w:jc w:val="both"/>
        <w:rPr>
          <w:sz w:val="20"/>
          <w:szCs w:val="20"/>
        </w:rPr>
      </w:pPr>
    </w:p>
    <w:p w:rsidR="00BA21D9" w:rsidRDefault="00BA21D9" w:rsidP="00BA21D9">
      <w:pPr>
        <w:widowControl w:val="0"/>
        <w:autoSpaceDE w:val="0"/>
        <w:autoSpaceDN w:val="0"/>
        <w:adjustRightInd w:val="0"/>
        <w:jc w:val="both"/>
        <w:rPr>
          <w:sz w:val="20"/>
          <w:szCs w:val="20"/>
        </w:rPr>
      </w:pPr>
    </w:p>
    <w:p w:rsidR="00BA21D9" w:rsidRDefault="00BA21D9" w:rsidP="00BA21D9">
      <w:pPr>
        <w:widowControl w:val="0"/>
        <w:autoSpaceDE w:val="0"/>
        <w:autoSpaceDN w:val="0"/>
        <w:adjustRightInd w:val="0"/>
        <w:jc w:val="both"/>
        <w:rPr>
          <w:sz w:val="20"/>
          <w:szCs w:val="20"/>
        </w:rPr>
      </w:pPr>
      <w:r w:rsidRPr="000C6A33">
        <w:rPr>
          <w:sz w:val="20"/>
          <w:szCs w:val="20"/>
          <w:vertAlign w:val="superscript"/>
        </w:rPr>
        <w:t>***</w:t>
      </w:r>
      <w:r>
        <w:rPr>
          <w:sz w:val="20"/>
          <w:szCs w:val="20"/>
        </w:rPr>
        <w:t xml:space="preserve"> Estimated effect significantly different from zero</w:t>
      </w:r>
      <w:r w:rsidRPr="004B26AA">
        <w:rPr>
          <w:sz w:val="20"/>
          <w:szCs w:val="20"/>
        </w:rPr>
        <w:t xml:space="preserve"> </w:t>
      </w:r>
      <w:r>
        <w:rPr>
          <w:sz w:val="20"/>
          <w:szCs w:val="20"/>
        </w:rPr>
        <w:t xml:space="preserve">at a 1% level using a </w:t>
      </w:r>
      <w:r w:rsidRPr="000C6A33">
        <w:rPr>
          <w:i/>
          <w:sz w:val="20"/>
          <w:szCs w:val="20"/>
        </w:rPr>
        <w:t xml:space="preserve">t </w:t>
      </w:r>
      <w:r>
        <w:rPr>
          <w:sz w:val="20"/>
          <w:szCs w:val="20"/>
        </w:rPr>
        <w:t>test</w:t>
      </w:r>
    </w:p>
    <w:p w:rsidR="00BA21D9" w:rsidRDefault="00BA21D9" w:rsidP="00BA21D9">
      <w:pPr>
        <w:widowControl w:val="0"/>
        <w:autoSpaceDE w:val="0"/>
        <w:autoSpaceDN w:val="0"/>
        <w:adjustRightInd w:val="0"/>
        <w:jc w:val="both"/>
        <w:rPr>
          <w:sz w:val="20"/>
          <w:szCs w:val="20"/>
        </w:rPr>
      </w:pPr>
      <w:r w:rsidRPr="000C6A33">
        <w:rPr>
          <w:sz w:val="20"/>
          <w:szCs w:val="20"/>
          <w:vertAlign w:val="superscript"/>
        </w:rPr>
        <w:t>**</w:t>
      </w:r>
      <w:r>
        <w:rPr>
          <w:sz w:val="20"/>
          <w:szCs w:val="20"/>
          <w:vertAlign w:val="superscript"/>
        </w:rPr>
        <w:t xml:space="preserve">  </w:t>
      </w:r>
      <w:r>
        <w:rPr>
          <w:sz w:val="20"/>
          <w:szCs w:val="20"/>
        </w:rPr>
        <w:t xml:space="preserve"> Estimated effect significantly different from zero</w:t>
      </w:r>
      <w:r w:rsidRPr="004B26AA">
        <w:rPr>
          <w:sz w:val="20"/>
          <w:szCs w:val="20"/>
        </w:rPr>
        <w:t xml:space="preserve"> </w:t>
      </w:r>
      <w:r>
        <w:rPr>
          <w:sz w:val="20"/>
          <w:szCs w:val="20"/>
        </w:rPr>
        <w:t xml:space="preserve">at a 5% level using a </w:t>
      </w:r>
      <w:r w:rsidRPr="000C6A33">
        <w:rPr>
          <w:i/>
          <w:sz w:val="20"/>
          <w:szCs w:val="20"/>
        </w:rPr>
        <w:t xml:space="preserve">t </w:t>
      </w:r>
      <w:r>
        <w:rPr>
          <w:sz w:val="20"/>
          <w:szCs w:val="20"/>
        </w:rPr>
        <w:t>test</w:t>
      </w:r>
    </w:p>
    <w:p w:rsidR="00BA21D9" w:rsidRDefault="00BA21D9" w:rsidP="00BA21D9">
      <w:pPr>
        <w:widowControl w:val="0"/>
        <w:autoSpaceDE w:val="0"/>
        <w:autoSpaceDN w:val="0"/>
        <w:adjustRightInd w:val="0"/>
        <w:jc w:val="both"/>
        <w:rPr>
          <w:sz w:val="20"/>
          <w:szCs w:val="20"/>
        </w:rPr>
      </w:pPr>
      <w:r>
        <w:rPr>
          <w:sz w:val="20"/>
          <w:szCs w:val="20"/>
          <w:vertAlign w:val="superscript"/>
        </w:rPr>
        <w:t>*</w:t>
      </w:r>
      <w:r>
        <w:rPr>
          <w:sz w:val="20"/>
          <w:szCs w:val="20"/>
        </w:rPr>
        <w:t xml:space="preserve">    Estimated effect significantly different from zero</w:t>
      </w:r>
      <w:r w:rsidRPr="004B26AA">
        <w:rPr>
          <w:sz w:val="20"/>
          <w:szCs w:val="20"/>
        </w:rPr>
        <w:t xml:space="preserve"> </w:t>
      </w:r>
      <w:r>
        <w:rPr>
          <w:sz w:val="20"/>
          <w:szCs w:val="20"/>
        </w:rPr>
        <w:t xml:space="preserve">at a 10% level using a </w:t>
      </w:r>
      <w:r w:rsidRPr="000C6A33">
        <w:rPr>
          <w:i/>
          <w:sz w:val="20"/>
          <w:szCs w:val="20"/>
        </w:rPr>
        <w:t xml:space="preserve">t </w:t>
      </w:r>
      <w:r>
        <w:rPr>
          <w:sz w:val="20"/>
          <w:szCs w:val="20"/>
        </w:rPr>
        <w:t>test</w:t>
      </w:r>
    </w:p>
    <w:p w:rsidR="00BA21D9" w:rsidRDefault="00BA21D9" w:rsidP="00BA21D9">
      <w:pPr>
        <w:rPr>
          <w:sz w:val="20"/>
          <w:szCs w:val="20"/>
        </w:rPr>
      </w:pPr>
      <w:r>
        <w:rPr>
          <w:sz w:val="20"/>
          <w:szCs w:val="20"/>
        </w:rPr>
        <w:br w:type="page"/>
      </w:r>
    </w:p>
    <w:p w:rsidR="00BA21D9" w:rsidRPr="00EB1E61" w:rsidRDefault="00EB1E61" w:rsidP="00EB1E61">
      <w:pPr>
        <w:pStyle w:val="Caption"/>
        <w:jc w:val="center"/>
        <w:rPr>
          <w:i/>
          <w:sz w:val="22"/>
          <w:szCs w:val="22"/>
        </w:rPr>
      </w:pPr>
      <w:bookmarkStart w:id="69" w:name="_Toc475430730"/>
      <w:r>
        <w:rPr>
          <w:sz w:val="22"/>
          <w:szCs w:val="22"/>
        </w:rPr>
        <w:t xml:space="preserve">Appendix </w:t>
      </w:r>
      <w:r w:rsidR="006C39FE" w:rsidRPr="00EB1E61">
        <w:rPr>
          <w:sz w:val="22"/>
          <w:szCs w:val="22"/>
        </w:rPr>
        <w:t xml:space="preserve">Table </w:t>
      </w:r>
      <w:r w:rsidR="006C39FE" w:rsidRPr="00EB1E61">
        <w:rPr>
          <w:sz w:val="22"/>
          <w:szCs w:val="22"/>
        </w:rPr>
        <w:fldChar w:fldCharType="begin"/>
      </w:r>
      <w:r w:rsidR="006C39FE" w:rsidRPr="00EB1E61">
        <w:rPr>
          <w:sz w:val="22"/>
          <w:szCs w:val="22"/>
        </w:rPr>
        <w:instrText xml:space="preserve"> SEQ Table \* ARABIC </w:instrText>
      </w:r>
      <w:r w:rsidR="006C39FE" w:rsidRPr="00EB1E61">
        <w:rPr>
          <w:sz w:val="22"/>
          <w:szCs w:val="22"/>
        </w:rPr>
        <w:fldChar w:fldCharType="separate"/>
      </w:r>
      <w:r>
        <w:rPr>
          <w:noProof/>
          <w:sz w:val="22"/>
          <w:szCs w:val="22"/>
        </w:rPr>
        <w:t>6</w:t>
      </w:r>
      <w:r w:rsidR="006C39FE" w:rsidRPr="00EB1E61">
        <w:rPr>
          <w:sz w:val="22"/>
          <w:szCs w:val="22"/>
        </w:rPr>
        <w:fldChar w:fldCharType="end"/>
      </w:r>
      <w:r w:rsidR="006C39FE" w:rsidRPr="00EB1E61">
        <w:rPr>
          <w:sz w:val="22"/>
          <w:szCs w:val="22"/>
        </w:rPr>
        <w:t>: Maximum Likelihood Probit results, marginal effects on probability of teen mothers completing NCEA Level 1 and 2 qualifications</w:t>
      </w:r>
      <w:r w:rsidR="00A941E3">
        <w:rPr>
          <w:sz w:val="22"/>
          <w:szCs w:val="22"/>
        </w:rPr>
        <w:t>,</w:t>
      </w:r>
      <w:r w:rsidR="006C39FE" w:rsidRPr="00EB1E61">
        <w:rPr>
          <w:sz w:val="22"/>
          <w:szCs w:val="22"/>
        </w:rPr>
        <w:t xml:space="preserve"> </w:t>
      </w:r>
      <w:r w:rsidR="00A941E3">
        <w:rPr>
          <w:sz w:val="22"/>
          <w:szCs w:val="22"/>
        </w:rPr>
        <w:t>s</w:t>
      </w:r>
      <w:r w:rsidR="006C39FE" w:rsidRPr="00EB1E61">
        <w:rPr>
          <w:sz w:val="22"/>
          <w:szCs w:val="22"/>
        </w:rPr>
        <w:t>ub-samples of women at age 14 who did not have a teen (under age 19) birth</w:t>
      </w:r>
      <w:bookmarkEnd w:id="69"/>
    </w:p>
    <w:tbl>
      <w:tblPr>
        <w:tblW w:w="0" w:type="auto"/>
        <w:jc w:val="center"/>
        <w:tblBorders>
          <w:top w:val="single" w:sz="4" w:space="0" w:color="000000"/>
          <w:bottom w:val="single" w:sz="4" w:space="0" w:color="000000"/>
          <w:insideH w:val="single" w:sz="4" w:space="0" w:color="000000"/>
        </w:tblBorders>
        <w:tblCellMar>
          <w:left w:w="0" w:type="dxa"/>
          <w:right w:w="0" w:type="dxa"/>
        </w:tblCellMar>
        <w:tblLook w:val="0600" w:firstRow="0" w:lastRow="0" w:firstColumn="0" w:lastColumn="0" w:noHBand="1" w:noVBand="1"/>
      </w:tblPr>
      <w:tblGrid>
        <w:gridCol w:w="4876"/>
        <w:gridCol w:w="1588"/>
        <w:gridCol w:w="1588"/>
      </w:tblGrid>
      <w:tr w:rsidR="00BA21D9" w:rsidRPr="0043730F" w:rsidTr="0063534E">
        <w:trPr>
          <w:trHeight w:val="510"/>
          <w:jc w:val="center"/>
        </w:trPr>
        <w:tc>
          <w:tcPr>
            <w:tcW w:w="4876" w:type="dxa"/>
            <w:vMerge w:val="restart"/>
            <w:tcBorders>
              <w:top w:val="single" w:sz="8" w:space="0" w:color="000000"/>
            </w:tcBorders>
            <w:shd w:val="clear" w:color="auto" w:fill="auto"/>
            <w:tcMar>
              <w:top w:w="15" w:type="dxa"/>
              <w:left w:w="108" w:type="dxa"/>
              <w:bottom w:w="0" w:type="dxa"/>
              <w:right w:w="108" w:type="dxa"/>
            </w:tcMar>
            <w:vAlign w:val="bottom"/>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sidRPr="004F4C26">
              <w:rPr>
                <w:color w:val="000000" w:themeColor="text1"/>
                <w:kern w:val="24"/>
                <w:sz w:val="20"/>
                <w:szCs w:val="20"/>
                <w:bdr w:val="none" w:sz="0" w:space="0" w:color="auto"/>
                <w:lang w:eastAsia="en-NZ"/>
              </w:rPr>
              <w:t> </w:t>
            </w:r>
          </w:p>
        </w:tc>
        <w:tc>
          <w:tcPr>
            <w:tcW w:w="3176" w:type="dxa"/>
            <w:gridSpan w:val="2"/>
            <w:tcBorders>
              <w:top w:val="single" w:sz="8" w:space="0" w:color="000000"/>
              <w:bottom w:val="single" w:sz="8" w:space="0" w:color="000000"/>
            </w:tcBorders>
            <w:shd w:val="clear" w:color="auto" w:fill="auto"/>
            <w:tcMar>
              <w:top w:w="15" w:type="dxa"/>
              <w:left w:w="108" w:type="dxa"/>
              <w:bottom w:w="0" w:type="dxa"/>
              <w:right w:w="108" w:type="dxa"/>
            </w:tcMar>
            <w:vAlign w:val="bottom"/>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 xml:space="preserve">Estimated Marginal </w:t>
            </w:r>
            <w:r w:rsidRPr="004F4C26">
              <w:rPr>
                <w:color w:val="000000" w:themeColor="text1"/>
                <w:kern w:val="24"/>
                <w:sz w:val="20"/>
                <w:szCs w:val="20"/>
                <w:bdr w:val="none" w:sz="0" w:space="0" w:color="auto"/>
                <w:lang w:eastAsia="en-NZ"/>
              </w:rPr>
              <w:t>Effect</w:t>
            </w:r>
            <w:r>
              <w:rPr>
                <w:color w:val="000000" w:themeColor="text1"/>
                <w:kern w:val="24"/>
                <w:sz w:val="20"/>
                <w:szCs w:val="20"/>
                <w:bdr w:val="none" w:sz="0" w:space="0" w:color="auto"/>
                <w:lang w:eastAsia="en-NZ"/>
              </w:rPr>
              <w:t>s Standard Errors in Parentheses</w:t>
            </w:r>
          </w:p>
        </w:tc>
      </w:tr>
      <w:tr w:rsidR="00BA21D9" w:rsidRPr="0043730F" w:rsidTr="0063534E">
        <w:trPr>
          <w:trHeight w:val="510"/>
          <w:jc w:val="center"/>
        </w:trPr>
        <w:tc>
          <w:tcPr>
            <w:tcW w:w="4876" w:type="dxa"/>
            <w:vMerge/>
            <w:tcBorders>
              <w:bottom w:val="single" w:sz="8" w:space="0" w:color="000000"/>
            </w:tcBorders>
            <w:shd w:val="clear" w:color="auto" w:fill="auto"/>
            <w:tcMar>
              <w:top w:w="15" w:type="dxa"/>
              <w:left w:w="108" w:type="dxa"/>
              <w:bottom w:w="0" w:type="dxa"/>
              <w:right w:w="108" w:type="dxa"/>
            </w:tcMar>
            <w:vAlign w:val="bottom"/>
            <w:hideMark/>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NZ" w:eastAsia="en-NZ"/>
              </w:rPr>
            </w:pPr>
          </w:p>
        </w:tc>
        <w:tc>
          <w:tcPr>
            <w:tcW w:w="1588" w:type="dxa"/>
            <w:tcBorders>
              <w:top w:val="single" w:sz="8" w:space="0" w:color="000000"/>
              <w:bottom w:val="single" w:sz="8" w:space="0" w:color="000000"/>
            </w:tcBorders>
            <w:shd w:val="clear" w:color="auto" w:fill="auto"/>
            <w:tcMar>
              <w:top w:w="15" w:type="dxa"/>
              <w:left w:w="108" w:type="dxa"/>
              <w:bottom w:w="0" w:type="dxa"/>
              <w:right w:w="108" w:type="dxa"/>
            </w:tcMar>
            <w:vAlign w:val="bottom"/>
            <w:hideMark/>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NCEA</w:t>
            </w:r>
          </w:p>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Level 1</w:t>
            </w:r>
          </w:p>
        </w:tc>
        <w:tc>
          <w:tcPr>
            <w:tcW w:w="1588" w:type="dxa"/>
            <w:tcBorders>
              <w:top w:val="single" w:sz="8" w:space="0" w:color="000000"/>
              <w:bottom w:val="single" w:sz="8" w:space="0" w:color="000000"/>
            </w:tcBorders>
            <w:vAlign w:val="bottom"/>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NCEA</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 xml:space="preserve"> Level 2</w:t>
            </w:r>
          </w:p>
        </w:tc>
      </w:tr>
      <w:tr w:rsidR="00BA21D9" w:rsidRPr="0043730F" w:rsidTr="0063534E">
        <w:trPr>
          <w:trHeight w:val="284"/>
          <w:jc w:val="center"/>
        </w:trPr>
        <w:tc>
          <w:tcPr>
            <w:tcW w:w="4876" w:type="dxa"/>
            <w:tcBorders>
              <w:top w:val="single" w:sz="8" w:space="0" w:color="000000"/>
            </w:tcBorders>
            <w:shd w:val="clear" w:color="auto" w:fill="auto"/>
            <w:tcMar>
              <w:top w:w="28" w:type="dxa"/>
              <w:left w:w="108" w:type="dxa"/>
              <w:bottom w:w="28" w:type="dxa"/>
              <w:right w:w="108" w:type="dxa"/>
            </w:tcMar>
            <w:vAlign w:val="center"/>
            <w:hideMark/>
          </w:tcPr>
          <w:p w:rsidR="00BA21D9" w:rsidRPr="002A02F2"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sz w:val="20"/>
                <w:szCs w:val="20"/>
                <w:bdr w:val="none" w:sz="0" w:space="0" w:color="auto"/>
                <w:lang w:val="en-NZ" w:eastAsia="en-NZ"/>
              </w:rPr>
            </w:pPr>
            <w:r w:rsidRPr="002A02F2">
              <w:rPr>
                <w:b/>
                <w:color w:val="000000" w:themeColor="text1"/>
                <w:kern w:val="24"/>
                <w:sz w:val="20"/>
                <w:szCs w:val="20"/>
                <w:bdr w:val="none" w:sz="0" w:space="0" w:color="auto"/>
                <w:lang w:eastAsia="en-NZ"/>
              </w:rPr>
              <w:t xml:space="preserve">TPU </w:t>
            </w:r>
            <w:r>
              <w:rPr>
                <w:b/>
                <w:color w:val="000000" w:themeColor="text1"/>
                <w:kern w:val="24"/>
                <w:sz w:val="20"/>
                <w:szCs w:val="20"/>
                <w:bdr w:val="none" w:sz="0" w:space="0" w:color="auto"/>
                <w:lang w:eastAsia="en-NZ"/>
              </w:rPr>
              <w:t xml:space="preserve">governing school enrolled at age 14 </w:t>
            </w:r>
            <w:r w:rsidRPr="002A02F2">
              <w:rPr>
                <w:b/>
                <w:color w:val="000000" w:themeColor="text1"/>
                <w:kern w:val="24"/>
                <w:sz w:val="20"/>
                <w:szCs w:val="20"/>
                <w:bdr w:val="none" w:sz="0" w:space="0" w:color="auto"/>
                <w:lang w:eastAsia="en-NZ"/>
              </w:rPr>
              <w:t>(</w:t>
            </w:r>
            <m:oMath>
              <m:r>
                <m:rPr>
                  <m:sty m:val="bi"/>
                </m:rPr>
                <w:rPr>
                  <w:rFonts w:ascii="Cambria Math" w:hAnsi="Cambria Math" w:cs="Arial" w:hint="eastAsia"/>
                  <w:color w:val="000000" w:themeColor="text1"/>
                  <w:kern w:val="24"/>
                  <w:sz w:val="20"/>
                  <w:szCs w:val="20"/>
                  <w:bdr w:val="none" w:sz="0" w:space="0" w:color="auto"/>
                  <w:lang w:eastAsia="en-NZ"/>
                </w:rPr>
                <m:t> </m:t>
              </m:r>
              <m:r>
                <m:rPr>
                  <m:sty m:val="bi"/>
                </m:rPr>
                <w:rPr>
                  <w:rFonts w:ascii="Cambria Math" w:hAnsi="Cambria Math" w:cs="Arial"/>
                  <w:color w:val="000000" w:themeColor="text1"/>
                  <w:kern w:val="24"/>
                  <w:sz w:val="20"/>
                  <w:szCs w:val="20"/>
                  <w:bdr w:val="none" w:sz="0" w:space="0" w:color="auto"/>
                  <w:lang w:eastAsia="en-NZ"/>
                </w:rPr>
                <m:t>TP</m:t>
              </m:r>
              <m:sSub>
                <m:sSubPr>
                  <m:ctrlPr>
                    <w:rPr>
                      <w:rFonts w:ascii="Cambria Math" w:hAnsi="Cambria Math" w:cs="Arial"/>
                      <w:b/>
                      <w:i/>
                      <w:iCs/>
                      <w:color w:val="000000" w:themeColor="text1"/>
                      <w:kern w:val="24"/>
                      <w:sz w:val="20"/>
                      <w:szCs w:val="20"/>
                      <w:bdr w:val="none" w:sz="0" w:space="0" w:color="auto"/>
                      <w:lang w:val="en-NZ" w:eastAsia="en-NZ"/>
                    </w:rPr>
                  </m:ctrlPr>
                </m:sSubPr>
                <m:e>
                  <m:r>
                    <m:rPr>
                      <m:sty m:val="bi"/>
                    </m:rPr>
                    <w:rPr>
                      <w:rFonts w:ascii="Cambria Math" w:hAnsi="Cambria Math" w:cs="Arial"/>
                      <w:color w:val="000000" w:themeColor="text1"/>
                      <w:kern w:val="24"/>
                      <w:sz w:val="20"/>
                      <w:szCs w:val="20"/>
                      <w:bdr w:val="none" w:sz="0" w:space="0" w:color="auto"/>
                      <w:lang w:eastAsia="en-NZ"/>
                    </w:rPr>
                    <m:t>U</m:t>
                  </m:r>
                </m:e>
                <m:sub>
                  <m:r>
                    <m:rPr>
                      <m:sty m:val="bi"/>
                    </m:rPr>
                    <w:rPr>
                      <w:rFonts w:ascii="Cambria Math" w:hAnsi="Cambria Math" w:cs="Arial"/>
                      <w:color w:val="000000" w:themeColor="text1"/>
                      <w:kern w:val="24"/>
                      <w:sz w:val="20"/>
                      <w:szCs w:val="20"/>
                      <w:bdr w:val="none" w:sz="0" w:space="0" w:color="auto"/>
                      <w:lang w:eastAsia="en-NZ"/>
                    </w:rPr>
                    <m:t>age=14</m:t>
                  </m:r>
                </m:sub>
              </m:sSub>
              <m:r>
                <m:rPr>
                  <m:sty m:val="bi"/>
                </m:rPr>
                <w:rPr>
                  <w:rFonts w:ascii="Cambria Math" w:hAnsi="Cambria Math" w:cs="Arial"/>
                  <w:color w:val="000000" w:themeColor="text1"/>
                  <w:kern w:val="24"/>
                  <w:sz w:val="20"/>
                  <w:szCs w:val="20"/>
                  <w:bdr w:val="none" w:sz="0" w:space="0" w:color="auto"/>
                  <w:lang w:eastAsia="en-NZ"/>
                </w:rPr>
                <m:t>)</m:t>
              </m:r>
            </m:oMath>
          </w:p>
        </w:tc>
        <w:tc>
          <w:tcPr>
            <w:tcW w:w="1588" w:type="dxa"/>
            <w:tcBorders>
              <w:top w:val="single" w:sz="8" w:space="0" w:color="000000"/>
            </w:tcBorders>
            <w:shd w:val="clear" w:color="auto" w:fill="auto"/>
            <w:tcMar>
              <w:top w:w="28" w:type="dxa"/>
              <w:left w:w="108" w:type="dxa"/>
              <w:bottom w:w="28" w:type="dxa"/>
              <w:right w:w="108" w:type="dxa"/>
            </w:tcMar>
            <w:vAlign w:val="center"/>
            <w:hideMark/>
          </w:tcPr>
          <w:p w:rsidR="00BA21D9" w:rsidRPr="002A02F2"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sz w:val="20"/>
                <w:szCs w:val="20"/>
                <w:bdr w:val="none" w:sz="0" w:space="0" w:color="auto"/>
                <w:lang w:val="en-NZ" w:eastAsia="en-NZ"/>
              </w:rPr>
            </w:pPr>
            <w:r>
              <w:rPr>
                <w:b/>
                <w:color w:val="000000" w:themeColor="text1"/>
                <w:kern w:val="24"/>
                <w:sz w:val="20"/>
                <w:szCs w:val="20"/>
                <w:bdr w:val="none" w:sz="0" w:space="0" w:color="auto"/>
                <w:lang w:eastAsia="en-NZ"/>
              </w:rPr>
              <w:t>-</w:t>
            </w:r>
            <w:r w:rsidRPr="002A02F2">
              <w:rPr>
                <w:b/>
                <w:color w:val="000000" w:themeColor="text1"/>
                <w:kern w:val="24"/>
                <w:sz w:val="20"/>
                <w:szCs w:val="20"/>
                <w:bdr w:val="none" w:sz="0" w:space="0" w:color="auto"/>
                <w:lang w:eastAsia="en-NZ"/>
              </w:rPr>
              <w:t>0.0</w:t>
            </w:r>
            <w:r>
              <w:rPr>
                <w:b/>
                <w:color w:val="000000" w:themeColor="text1"/>
                <w:kern w:val="24"/>
                <w:sz w:val="20"/>
                <w:szCs w:val="20"/>
                <w:bdr w:val="none" w:sz="0" w:space="0" w:color="auto"/>
                <w:lang w:eastAsia="en-NZ"/>
              </w:rPr>
              <w:t>02</w:t>
            </w:r>
          </w:p>
          <w:p w:rsidR="00BA21D9" w:rsidRPr="002A02F2"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sz w:val="20"/>
                <w:szCs w:val="20"/>
                <w:bdr w:val="none" w:sz="0" w:space="0" w:color="auto"/>
                <w:lang w:val="en-NZ" w:eastAsia="en-NZ"/>
              </w:rPr>
            </w:pPr>
            <w:r>
              <w:rPr>
                <w:b/>
                <w:color w:val="000000" w:themeColor="text1"/>
                <w:kern w:val="24"/>
                <w:sz w:val="20"/>
                <w:szCs w:val="20"/>
                <w:bdr w:val="none" w:sz="0" w:space="0" w:color="auto"/>
                <w:lang w:eastAsia="en-NZ"/>
              </w:rPr>
              <w:t>(0.004</w:t>
            </w:r>
            <w:r w:rsidRPr="002A02F2">
              <w:rPr>
                <w:b/>
                <w:color w:val="000000" w:themeColor="text1"/>
                <w:kern w:val="24"/>
                <w:sz w:val="20"/>
                <w:szCs w:val="20"/>
                <w:bdr w:val="none" w:sz="0" w:space="0" w:color="auto"/>
                <w:lang w:eastAsia="en-NZ"/>
              </w:rPr>
              <w:t>)</w:t>
            </w:r>
          </w:p>
        </w:tc>
        <w:tc>
          <w:tcPr>
            <w:tcW w:w="1588" w:type="dxa"/>
            <w:tcBorders>
              <w:top w:val="single" w:sz="8" w:space="0" w:color="000000"/>
            </w:tcBorders>
            <w:shd w:val="clear" w:color="auto" w:fill="auto"/>
            <w:vAlign w:val="center"/>
          </w:tcPr>
          <w:p w:rsidR="00BA21D9" w:rsidRPr="002A02F2"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sz w:val="20"/>
                <w:szCs w:val="20"/>
                <w:bdr w:val="none" w:sz="0" w:space="0" w:color="auto"/>
                <w:lang w:val="en-NZ" w:eastAsia="en-NZ"/>
              </w:rPr>
            </w:pPr>
            <w:r>
              <w:rPr>
                <w:b/>
                <w:color w:val="000000" w:themeColor="text1"/>
                <w:kern w:val="24"/>
                <w:sz w:val="20"/>
                <w:szCs w:val="20"/>
                <w:bdr w:val="none" w:sz="0" w:space="0" w:color="auto"/>
                <w:lang w:eastAsia="en-NZ"/>
              </w:rPr>
              <w:t xml:space="preserve">   -</w:t>
            </w:r>
            <w:r w:rsidRPr="002A02F2">
              <w:rPr>
                <w:b/>
                <w:color w:val="000000" w:themeColor="text1"/>
                <w:kern w:val="24"/>
                <w:sz w:val="20"/>
                <w:szCs w:val="20"/>
                <w:bdr w:val="none" w:sz="0" w:space="0" w:color="auto"/>
                <w:lang w:eastAsia="en-NZ"/>
              </w:rPr>
              <w:t>0.0</w:t>
            </w:r>
            <w:r>
              <w:rPr>
                <w:b/>
                <w:color w:val="000000" w:themeColor="text1"/>
                <w:kern w:val="24"/>
                <w:sz w:val="20"/>
                <w:szCs w:val="20"/>
                <w:bdr w:val="none" w:sz="0" w:space="0" w:color="auto"/>
                <w:lang w:eastAsia="en-NZ"/>
              </w:rPr>
              <w:t>15</w:t>
            </w:r>
            <w:r w:rsidRPr="001F3FFC">
              <w:rPr>
                <w:color w:val="000000" w:themeColor="text1"/>
                <w:kern w:val="24"/>
                <w:sz w:val="20"/>
                <w:szCs w:val="20"/>
                <w:bdr w:val="none" w:sz="0" w:space="0" w:color="auto"/>
                <w:vertAlign w:val="superscript"/>
                <w:lang w:eastAsia="en-NZ"/>
              </w:rPr>
              <w:t>*</w:t>
            </w:r>
            <w:r>
              <w:rPr>
                <w:color w:val="000000" w:themeColor="text1"/>
                <w:kern w:val="24"/>
                <w:sz w:val="20"/>
                <w:szCs w:val="20"/>
                <w:bdr w:val="none" w:sz="0" w:space="0" w:color="auto"/>
                <w:vertAlign w:val="superscript"/>
                <w:lang w:eastAsia="en-NZ"/>
              </w:rPr>
              <w:t>*</w:t>
            </w:r>
            <w:r w:rsidRPr="001F3FFC">
              <w:rPr>
                <w:color w:val="000000" w:themeColor="text1"/>
                <w:kern w:val="24"/>
                <w:sz w:val="20"/>
                <w:szCs w:val="20"/>
                <w:bdr w:val="none" w:sz="0" w:space="0" w:color="auto"/>
                <w:vertAlign w:val="superscript"/>
                <w:lang w:eastAsia="en-NZ"/>
              </w:rPr>
              <w:t>*</w:t>
            </w:r>
          </w:p>
          <w:p w:rsidR="00BA21D9" w:rsidRPr="002A02F2"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b/>
                <w:color w:val="000000" w:themeColor="text1"/>
                <w:kern w:val="24"/>
                <w:sz w:val="20"/>
                <w:szCs w:val="20"/>
                <w:bdr w:val="none" w:sz="0" w:space="0" w:color="auto"/>
                <w:lang w:eastAsia="en-NZ"/>
              </w:rPr>
            </w:pPr>
            <w:r>
              <w:rPr>
                <w:b/>
                <w:color w:val="000000" w:themeColor="text1"/>
                <w:kern w:val="24"/>
                <w:sz w:val="20"/>
                <w:szCs w:val="20"/>
                <w:bdr w:val="none" w:sz="0" w:space="0" w:color="auto"/>
                <w:lang w:eastAsia="en-NZ"/>
              </w:rPr>
              <w:t>(0.005</w:t>
            </w:r>
            <w:r w:rsidRPr="002A02F2">
              <w:rPr>
                <w:b/>
                <w:color w:val="000000" w:themeColor="text1"/>
                <w:kern w:val="24"/>
                <w:sz w:val="20"/>
                <w:szCs w:val="20"/>
                <w:bdr w:val="none" w:sz="0" w:space="0" w:color="auto"/>
                <w:lang w:eastAsia="en-NZ"/>
              </w:rPr>
              <w:t>)</w:t>
            </w:r>
          </w:p>
        </w:tc>
      </w:tr>
      <w:tr w:rsidR="00BA21D9" w:rsidRPr="0043730F" w:rsidTr="0063534E">
        <w:trPr>
          <w:trHeight w:val="284"/>
          <w:jc w:val="center"/>
        </w:trPr>
        <w:tc>
          <w:tcPr>
            <w:tcW w:w="4876"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European</w:t>
            </w:r>
          </w:p>
        </w:tc>
        <w:tc>
          <w:tcPr>
            <w:tcW w:w="1588"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046</w:t>
            </w:r>
            <w:r w:rsidRPr="001F3FFC">
              <w:rPr>
                <w:color w:val="000000" w:themeColor="text1"/>
                <w:kern w:val="24"/>
                <w:sz w:val="20"/>
                <w:szCs w:val="20"/>
                <w:bdr w:val="none" w:sz="0" w:space="0" w:color="auto"/>
                <w:vertAlign w:val="superscript"/>
                <w:lang w:eastAsia="en-NZ"/>
              </w:rPr>
              <w:t>*</w:t>
            </w:r>
            <w:r>
              <w:rPr>
                <w:color w:val="000000" w:themeColor="text1"/>
                <w:kern w:val="24"/>
                <w:sz w:val="20"/>
                <w:szCs w:val="20"/>
                <w:bdr w:val="none" w:sz="0" w:space="0" w:color="auto"/>
                <w:vertAlign w:val="superscript"/>
                <w:lang w:eastAsia="en-NZ"/>
              </w:rPr>
              <w:t>*</w:t>
            </w:r>
            <w:r w:rsidRPr="001F3FFC">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(0.004</w:t>
            </w:r>
            <w:r w:rsidRPr="001F3FFC">
              <w:rPr>
                <w:rFonts w:eastAsia="Times New Roman"/>
                <w:sz w:val="20"/>
                <w:szCs w:val="20"/>
                <w:bdr w:val="none" w:sz="0" w:space="0" w:color="auto"/>
                <w:lang w:val="en-NZ" w:eastAsia="en-NZ"/>
              </w:rPr>
              <w:t>)</w:t>
            </w:r>
          </w:p>
        </w:tc>
        <w:tc>
          <w:tcPr>
            <w:tcW w:w="1588"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058</w:t>
            </w:r>
            <w:r>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(0.006</w:t>
            </w:r>
            <w:r w:rsidRPr="001F3FFC">
              <w:rPr>
                <w:rFonts w:eastAsia="Times New Roman"/>
                <w:sz w:val="20"/>
                <w:szCs w:val="20"/>
                <w:bdr w:val="none" w:sz="0" w:space="0" w:color="auto"/>
                <w:lang w:val="en-NZ" w:eastAsia="en-NZ"/>
              </w:rPr>
              <w:t>)</w:t>
            </w:r>
          </w:p>
        </w:tc>
      </w:tr>
      <w:tr w:rsidR="00BA21D9" w:rsidRPr="0043730F" w:rsidTr="0063534E">
        <w:trPr>
          <w:trHeight w:val="284"/>
          <w:jc w:val="center"/>
        </w:trPr>
        <w:tc>
          <w:tcPr>
            <w:tcW w:w="4876"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Maori</w:t>
            </w:r>
          </w:p>
        </w:tc>
        <w:tc>
          <w:tcPr>
            <w:tcW w:w="1588"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052</w:t>
            </w:r>
            <w:r w:rsidRPr="001F3FFC">
              <w:rPr>
                <w:color w:val="000000" w:themeColor="text1"/>
                <w:kern w:val="24"/>
                <w:sz w:val="20"/>
                <w:szCs w:val="20"/>
                <w:bdr w:val="none" w:sz="0" w:space="0" w:color="auto"/>
                <w:vertAlign w:val="superscript"/>
                <w:lang w:eastAsia="en-NZ"/>
              </w:rPr>
              <w:t>*</w:t>
            </w:r>
            <w:r>
              <w:rPr>
                <w:color w:val="000000" w:themeColor="text1"/>
                <w:kern w:val="24"/>
                <w:sz w:val="20"/>
                <w:szCs w:val="20"/>
                <w:bdr w:val="none" w:sz="0" w:space="0" w:color="auto"/>
                <w:vertAlign w:val="superscript"/>
                <w:lang w:eastAsia="en-NZ"/>
              </w:rPr>
              <w:t>*</w:t>
            </w:r>
            <w:r w:rsidRPr="001F3FFC">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(0.005</w:t>
            </w:r>
            <w:r w:rsidRPr="001F3FFC">
              <w:rPr>
                <w:rFonts w:eastAsia="Times New Roman"/>
                <w:sz w:val="20"/>
                <w:szCs w:val="20"/>
                <w:bdr w:val="none" w:sz="0" w:space="0" w:color="auto"/>
                <w:lang w:val="en-NZ" w:eastAsia="en-NZ"/>
              </w:rPr>
              <w:t>)</w:t>
            </w:r>
          </w:p>
        </w:tc>
        <w:tc>
          <w:tcPr>
            <w:tcW w:w="1588"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097</w:t>
            </w:r>
            <w:r w:rsidRPr="001F3FFC">
              <w:rPr>
                <w:color w:val="000000" w:themeColor="text1"/>
                <w:kern w:val="24"/>
                <w:sz w:val="20"/>
                <w:szCs w:val="20"/>
                <w:bdr w:val="none" w:sz="0" w:space="0" w:color="auto"/>
                <w:vertAlign w:val="superscript"/>
                <w:lang w:eastAsia="en-NZ"/>
              </w:rPr>
              <w:t>*</w:t>
            </w:r>
            <w:r>
              <w:rPr>
                <w:color w:val="000000" w:themeColor="text1"/>
                <w:kern w:val="24"/>
                <w:sz w:val="20"/>
                <w:szCs w:val="20"/>
                <w:bdr w:val="none" w:sz="0" w:space="0" w:color="auto"/>
                <w:vertAlign w:val="superscript"/>
                <w:lang w:eastAsia="en-NZ"/>
              </w:rPr>
              <w:t>*</w:t>
            </w:r>
            <w:r w:rsidRPr="001F3FFC">
              <w:rPr>
                <w:color w:val="000000" w:themeColor="text1"/>
                <w:kern w:val="24"/>
                <w:sz w:val="20"/>
                <w:szCs w:val="20"/>
                <w:bdr w:val="none" w:sz="0" w:space="0" w:color="auto"/>
                <w:vertAlign w:val="superscript"/>
                <w:lang w:eastAsia="en-NZ"/>
              </w:rPr>
              <w:t>*</w:t>
            </w:r>
          </w:p>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(0.006</w:t>
            </w:r>
            <w:r w:rsidRPr="001F3FFC">
              <w:rPr>
                <w:rFonts w:eastAsia="Times New Roman"/>
                <w:sz w:val="20"/>
                <w:szCs w:val="20"/>
                <w:bdr w:val="none" w:sz="0" w:space="0" w:color="auto"/>
                <w:lang w:val="en-NZ" w:eastAsia="en-NZ"/>
              </w:rPr>
              <w:t>)</w:t>
            </w:r>
          </w:p>
        </w:tc>
      </w:tr>
      <w:tr w:rsidR="00BA21D9" w:rsidRPr="0043730F" w:rsidTr="0063534E">
        <w:trPr>
          <w:trHeight w:val="284"/>
          <w:jc w:val="center"/>
        </w:trPr>
        <w:tc>
          <w:tcPr>
            <w:tcW w:w="4876" w:type="dxa"/>
            <w:shd w:val="clear" w:color="auto" w:fill="auto"/>
            <w:tcMar>
              <w:top w:w="28" w:type="dxa"/>
              <w:left w:w="108" w:type="dxa"/>
              <w:bottom w:w="28" w:type="dxa"/>
              <w:right w:w="108" w:type="dxa"/>
            </w:tcMar>
            <w:vAlign w:val="cente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Pacific</w:t>
            </w:r>
          </w:p>
        </w:tc>
        <w:tc>
          <w:tcPr>
            <w:tcW w:w="1588"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0</w:t>
            </w:r>
            <w:r w:rsidRPr="004F4C26">
              <w:rPr>
                <w:color w:val="000000" w:themeColor="text1"/>
                <w:kern w:val="24"/>
                <w:sz w:val="20"/>
                <w:szCs w:val="20"/>
                <w:bdr w:val="none" w:sz="0" w:space="0" w:color="auto"/>
                <w:lang w:eastAsia="en-NZ"/>
              </w:rPr>
              <w:t>.</w:t>
            </w:r>
            <w:r>
              <w:rPr>
                <w:color w:val="000000" w:themeColor="text1"/>
                <w:kern w:val="24"/>
                <w:sz w:val="20"/>
                <w:szCs w:val="20"/>
                <w:bdr w:val="none" w:sz="0" w:space="0" w:color="auto"/>
                <w:lang w:eastAsia="en-NZ"/>
              </w:rPr>
              <w:t>012</w:t>
            </w:r>
            <w:r w:rsidRPr="001F3FFC">
              <w:rPr>
                <w:color w:val="000000" w:themeColor="text1"/>
                <w:kern w:val="24"/>
                <w:sz w:val="20"/>
                <w:szCs w:val="20"/>
                <w:bdr w:val="none" w:sz="0" w:space="0" w:color="auto"/>
                <w:vertAlign w:val="superscript"/>
                <w:lang w:eastAsia="en-NZ"/>
              </w:rPr>
              <w:t>*</w:t>
            </w:r>
            <w:r>
              <w:rPr>
                <w:color w:val="000000" w:themeColor="text1"/>
                <w:kern w:val="24"/>
                <w:sz w:val="20"/>
                <w:szCs w:val="20"/>
                <w:bdr w:val="none" w:sz="0" w:space="0" w:color="auto"/>
                <w:vertAlign w:val="superscript"/>
                <w:lang w:eastAsia="en-NZ"/>
              </w:rPr>
              <w:t>*</w:t>
            </w:r>
            <w:r w:rsidRPr="001F3FFC">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(0.004</w:t>
            </w:r>
            <w:r w:rsidRPr="001F3FFC">
              <w:rPr>
                <w:rFonts w:eastAsia="Times New Roman"/>
                <w:sz w:val="20"/>
                <w:szCs w:val="20"/>
                <w:bdr w:val="none" w:sz="0" w:space="0" w:color="auto"/>
                <w:lang w:val="en-NZ" w:eastAsia="en-NZ"/>
              </w:rPr>
              <w:t>)</w:t>
            </w:r>
          </w:p>
        </w:tc>
        <w:tc>
          <w:tcPr>
            <w:tcW w:w="1588"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0</w:t>
            </w:r>
            <w:r w:rsidRPr="004F4C26">
              <w:rPr>
                <w:color w:val="000000" w:themeColor="text1"/>
                <w:kern w:val="24"/>
                <w:sz w:val="20"/>
                <w:szCs w:val="20"/>
                <w:bdr w:val="none" w:sz="0" w:space="0" w:color="auto"/>
                <w:lang w:eastAsia="en-NZ"/>
              </w:rPr>
              <w:t>.</w:t>
            </w:r>
            <w:r>
              <w:rPr>
                <w:color w:val="000000" w:themeColor="text1"/>
                <w:kern w:val="24"/>
                <w:sz w:val="20"/>
                <w:szCs w:val="20"/>
                <w:bdr w:val="none" w:sz="0" w:space="0" w:color="auto"/>
                <w:lang w:eastAsia="en-NZ"/>
              </w:rPr>
              <w:t>014</w:t>
            </w:r>
            <w:r w:rsidRPr="001F3FFC">
              <w:rPr>
                <w:color w:val="000000" w:themeColor="text1"/>
                <w:kern w:val="24"/>
                <w:sz w:val="20"/>
                <w:szCs w:val="20"/>
                <w:bdr w:val="none" w:sz="0" w:space="0" w:color="auto"/>
                <w:vertAlign w:val="superscript"/>
                <w:lang w:eastAsia="en-NZ"/>
              </w:rPr>
              <w:t>*</w:t>
            </w:r>
            <w:r>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(0.006</w:t>
            </w:r>
            <w:r w:rsidRPr="001F3FFC">
              <w:rPr>
                <w:rFonts w:eastAsia="Times New Roman"/>
                <w:sz w:val="20"/>
                <w:szCs w:val="20"/>
                <w:bdr w:val="none" w:sz="0" w:space="0" w:color="auto"/>
                <w:lang w:val="en-NZ" w:eastAsia="en-NZ"/>
              </w:rPr>
              <w:t>)</w:t>
            </w:r>
          </w:p>
        </w:tc>
      </w:tr>
      <w:tr w:rsidR="00BA21D9" w:rsidRPr="0043730F" w:rsidTr="0063534E">
        <w:trPr>
          <w:trHeight w:val="284"/>
          <w:jc w:val="center"/>
        </w:trPr>
        <w:tc>
          <w:tcPr>
            <w:tcW w:w="4876" w:type="dxa"/>
            <w:shd w:val="clear" w:color="auto" w:fill="auto"/>
            <w:tcMar>
              <w:top w:w="28" w:type="dxa"/>
              <w:left w:w="108" w:type="dxa"/>
              <w:bottom w:w="28" w:type="dxa"/>
              <w:right w:w="108" w:type="dxa"/>
            </w:tcMar>
            <w:vAlign w:val="cente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Asian</w:t>
            </w:r>
          </w:p>
        </w:tc>
        <w:tc>
          <w:tcPr>
            <w:tcW w:w="1588"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004</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(0.005</w:t>
            </w:r>
            <w:r w:rsidRPr="001F3FFC">
              <w:rPr>
                <w:rFonts w:eastAsia="Times New Roman"/>
                <w:sz w:val="20"/>
                <w:szCs w:val="20"/>
                <w:bdr w:val="none" w:sz="0" w:space="0" w:color="auto"/>
                <w:lang w:val="en-NZ" w:eastAsia="en-NZ"/>
              </w:rPr>
              <w:t>)</w:t>
            </w:r>
          </w:p>
        </w:tc>
        <w:tc>
          <w:tcPr>
            <w:tcW w:w="1588"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026</w:t>
            </w:r>
            <w:r w:rsidRPr="001F3FFC">
              <w:rPr>
                <w:color w:val="000000" w:themeColor="text1"/>
                <w:kern w:val="24"/>
                <w:sz w:val="20"/>
                <w:szCs w:val="20"/>
                <w:bdr w:val="none" w:sz="0" w:space="0" w:color="auto"/>
                <w:vertAlign w:val="superscript"/>
                <w:lang w:eastAsia="en-NZ"/>
              </w:rPr>
              <w:t>*</w:t>
            </w:r>
            <w:r>
              <w:rPr>
                <w:color w:val="000000" w:themeColor="text1"/>
                <w:kern w:val="24"/>
                <w:sz w:val="20"/>
                <w:szCs w:val="20"/>
                <w:bdr w:val="none" w:sz="0" w:space="0" w:color="auto"/>
                <w:vertAlign w:val="superscript"/>
                <w:lang w:eastAsia="en-NZ"/>
              </w:rPr>
              <w:t>*</w:t>
            </w:r>
            <w:r w:rsidRPr="001F3FFC">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(0.006</w:t>
            </w:r>
            <w:r w:rsidRPr="001F3FFC">
              <w:rPr>
                <w:rFonts w:eastAsia="Times New Roman"/>
                <w:sz w:val="20"/>
                <w:szCs w:val="20"/>
                <w:bdr w:val="none" w:sz="0" w:space="0" w:color="auto"/>
                <w:lang w:val="en-NZ" w:eastAsia="en-NZ"/>
              </w:rPr>
              <w:t>)</w:t>
            </w:r>
          </w:p>
        </w:tc>
      </w:tr>
      <w:tr w:rsidR="00BA21D9" w:rsidRPr="0043730F" w:rsidTr="0063534E">
        <w:trPr>
          <w:trHeight w:val="284"/>
          <w:jc w:val="center"/>
        </w:trPr>
        <w:tc>
          <w:tcPr>
            <w:tcW w:w="4876" w:type="dxa"/>
            <w:shd w:val="clear" w:color="auto" w:fill="auto"/>
            <w:tcMar>
              <w:top w:w="28" w:type="dxa"/>
              <w:left w:w="108" w:type="dxa"/>
              <w:bottom w:w="28" w:type="dxa"/>
              <w:right w:w="108" w:type="dxa"/>
            </w:tcMar>
            <w:vAlign w:val="cente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Other ethnicity</w:t>
            </w:r>
          </w:p>
        </w:tc>
        <w:tc>
          <w:tcPr>
            <w:tcW w:w="1588"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012</w:t>
            </w:r>
            <w:r w:rsidRPr="001F3FFC">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(0.007</w:t>
            </w:r>
            <w:r w:rsidRPr="001F3FFC">
              <w:rPr>
                <w:rFonts w:eastAsia="Times New Roman"/>
                <w:sz w:val="20"/>
                <w:szCs w:val="20"/>
                <w:bdr w:val="none" w:sz="0" w:space="0" w:color="auto"/>
                <w:lang w:val="en-NZ" w:eastAsia="en-NZ"/>
              </w:rPr>
              <w:t>)</w:t>
            </w:r>
          </w:p>
        </w:tc>
        <w:tc>
          <w:tcPr>
            <w:tcW w:w="1588"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027</w:t>
            </w:r>
            <w:r w:rsidRPr="001F3FFC">
              <w:rPr>
                <w:color w:val="000000" w:themeColor="text1"/>
                <w:kern w:val="24"/>
                <w:sz w:val="20"/>
                <w:szCs w:val="20"/>
                <w:bdr w:val="none" w:sz="0" w:space="0" w:color="auto"/>
                <w:vertAlign w:val="superscript"/>
                <w:lang w:eastAsia="en-NZ"/>
              </w:rPr>
              <w:t>*</w:t>
            </w:r>
            <w:r>
              <w:rPr>
                <w:color w:val="000000" w:themeColor="text1"/>
                <w:kern w:val="24"/>
                <w:sz w:val="20"/>
                <w:szCs w:val="20"/>
                <w:bdr w:val="none" w:sz="0" w:space="0" w:color="auto"/>
                <w:vertAlign w:val="superscript"/>
                <w:lang w:eastAsia="en-NZ"/>
              </w:rPr>
              <w:t>*</w:t>
            </w:r>
            <w:r w:rsidRPr="001F3FFC">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(0.010</w:t>
            </w:r>
            <w:r w:rsidRPr="001F3FFC">
              <w:rPr>
                <w:rFonts w:eastAsia="Times New Roman"/>
                <w:sz w:val="20"/>
                <w:szCs w:val="20"/>
                <w:bdr w:val="none" w:sz="0" w:space="0" w:color="auto"/>
                <w:lang w:val="en-NZ" w:eastAsia="en-NZ"/>
              </w:rPr>
              <w:t>)</w:t>
            </w:r>
          </w:p>
        </w:tc>
      </w:tr>
      <w:tr w:rsidR="00BA21D9" w:rsidRPr="0043730F" w:rsidTr="0063534E">
        <w:trPr>
          <w:trHeight w:val="284"/>
          <w:jc w:val="center"/>
        </w:trPr>
        <w:tc>
          <w:tcPr>
            <w:tcW w:w="4876" w:type="dxa"/>
            <w:shd w:val="clear" w:color="auto" w:fill="auto"/>
            <w:tcMar>
              <w:top w:w="28" w:type="dxa"/>
              <w:left w:w="108" w:type="dxa"/>
              <w:bottom w:w="28" w:type="dxa"/>
              <w:right w:w="108" w:type="dxa"/>
            </w:tcMar>
            <w:vAlign w:val="cente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1992 birth cohort</w:t>
            </w:r>
          </w:p>
        </w:tc>
        <w:tc>
          <w:tcPr>
            <w:tcW w:w="1588"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001</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(0.003</w:t>
            </w:r>
            <w:r w:rsidRPr="001F3FFC">
              <w:rPr>
                <w:rFonts w:eastAsia="Times New Roman"/>
                <w:sz w:val="20"/>
                <w:szCs w:val="20"/>
                <w:bdr w:val="none" w:sz="0" w:space="0" w:color="auto"/>
                <w:lang w:val="en-NZ" w:eastAsia="en-NZ"/>
              </w:rPr>
              <w:t>)</w:t>
            </w:r>
          </w:p>
        </w:tc>
        <w:tc>
          <w:tcPr>
            <w:tcW w:w="1588"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003</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(0.004</w:t>
            </w:r>
            <w:r w:rsidRPr="001F3FFC">
              <w:rPr>
                <w:rFonts w:eastAsia="Times New Roman"/>
                <w:sz w:val="20"/>
                <w:szCs w:val="20"/>
                <w:bdr w:val="none" w:sz="0" w:space="0" w:color="auto"/>
                <w:lang w:val="en-NZ" w:eastAsia="en-NZ"/>
              </w:rPr>
              <w:t>)</w:t>
            </w:r>
          </w:p>
        </w:tc>
      </w:tr>
      <w:tr w:rsidR="00BA21D9" w:rsidRPr="0043730F" w:rsidTr="0063534E">
        <w:trPr>
          <w:trHeight w:val="284"/>
          <w:jc w:val="center"/>
        </w:trPr>
        <w:tc>
          <w:tcPr>
            <w:tcW w:w="4876" w:type="dxa"/>
            <w:shd w:val="clear" w:color="auto" w:fill="auto"/>
            <w:tcMar>
              <w:top w:w="28" w:type="dxa"/>
              <w:left w:w="108" w:type="dxa"/>
              <w:bottom w:w="28" w:type="dxa"/>
              <w:right w:w="108" w:type="dxa"/>
            </w:tcMar>
            <w:vAlign w:val="cente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1993 birth cohort</w:t>
            </w:r>
          </w:p>
        </w:tc>
        <w:tc>
          <w:tcPr>
            <w:tcW w:w="1588"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007</w:t>
            </w:r>
            <w:r>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(0.003</w:t>
            </w:r>
            <w:r w:rsidRPr="001F3FFC">
              <w:rPr>
                <w:rFonts w:eastAsia="Times New Roman"/>
                <w:sz w:val="20"/>
                <w:szCs w:val="20"/>
                <w:bdr w:val="none" w:sz="0" w:space="0" w:color="auto"/>
                <w:lang w:val="en-NZ" w:eastAsia="en-NZ"/>
              </w:rPr>
              <w:t>)</w:t>
            </w:r>
          </w:p>
        </w:tc>
        <w:tc>
          <w:tcPr>
            <w:tcW w:w="1588"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020</w:t>
            </w:r>
            <w:r w:rsidRPr="001F3FFC">
              <w:rPr>
                <w:color w:val="000000" w:themeColor="text1"/>
                <w:kern w:val="24"/>
                <w:sz w:val="20"/>
                <w:szCs w:val="20"/>
                <w:bdr w:val="none" w:sz="0" w:space="0" w:color="auto"/>
                <w:vertAlign w:val="superscript"/>
                <w:lang w:eastAsia="en-NZ"/>
              </w:rPr>
              <w:t>*</w:t>
            </w:r>
            <w:r>
              <w:rPr>
                <w:color w:val="000000" w:themeColor="text1"/>
                <w:kern w:val="24"/>
                <w:sz w:val="20"/>
                <w:szCs w:val="20"/>
                <w:bdr w:val="none" w:sz="0" w:space="0" w:color="auto"/>
                <w:vertAlign w:val="superscript"/>
                <w:lang w:eastAsia="en-NZ"/>
              </w:rPr>
              <w:t>*</w:t>
            </w:r>
            <w:r w:rsidRPr="001F3FFC">
              <w:rPr>
                <w:color w:val="000000" w:themeColor="text1"/>
                <w:kern w:val="24"/>
                <w:sz w:val="20"/>
                <w:szCs w:val="20"/>
                <w:bdr w:val="none" w:sz="0" w:space="0" w:color="auto"/>
                <w:vertAlign w:val="superscript"/>
                <w:lang w:eastAsia="en-NZ"/>
              </w:rPr>
              <w:t>*</w:t>
            </w:r>
          </w:p>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(0.004</w:t>
            </w:r>
            <w:r w:rsidRPr="001F3FFC">
              <w:rPr>
                <w:rFonts w:eastAsia="Times New Roman"/>
                <w:sz w:val="20"/>
                <w:szCs w:val="20"/>
                <w:bdr w:val="none" w:sz="0" w:space="0" w:color="auto"/>
                <w:lang w:val="en-NZ" w:eastAsia="en-NZ"/>
              </w:rPr>
              <w:t>)</w:t>
            </w:r>
          </w:p>
        </w:tc>
      </w:tr>
      <w:tr w:rsidR="00BA21D9" w:rsidRPr="0043730F" w:rsidTr="0063534E">
        <w:trPr>
          <w:trHeight w:val="284"/>
          <w:jc w:val="center"/>
        </w:trPr>
        <w:tc>
          <w:tcPr>
            <w:tcW w:w="4876" w:type="dxa"/>
            <w:shd w:val="clear" w:color="auto" w:fill="auto"/>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sidRPr="0099559F">
              <w:rPr>
                <w:color w:val="000000" w:themeColor="text1"/>
                <w:kern w:val="24"/>
                <w:sz w:val="20"/>
                <w:szCs w:val="20"/>
                <w:bdr w:val="none" w:sz="0" w:space="0" w:color="auto"/>
                <w:lang w:eastAsia="en-NZ"/>
              </w:rPr>
              <w:t>1994 birth cohort</w:t>
            </w:r>
          </w:p>
        </w:tc>
        <w:tc>
          <w:tcPr>
            <w:tcW w:w="1588"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011</w:t>
            </w:r>
            <w:r>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(0.003</w:t>
            </w:r>
            <w:r w:rsidRPr="001F3FFC">
              <w:rPr>
                <w:rFonts w:eastAsia="Times New Roman"/>
                <w:sz w:val="20"/>
                <w:szCs w:val="20"/>
                <w:bdr w:val="none" w:sz="0" w:space="0" w:color="auto"/>
                <w:lang w:val="en-NZ" w:eastAsia="en-NZ"/>
              </w:rPr>
              <w:t>)</w:t>
            </w:r>
          </w:p>
        </w:tc>
        <w:tc>
          <w:tcPr>
            <w:tcW w:w="1588"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028</w:t>
            </w:r>
            <w:r w:rsidRPr="001F3FFC">
              <w:rPr>
                <w:color w:val="000000" w:themeColor="text1"/>
                <w:kern w:val="24"/>
                <w:sz w:val="20"/>
                <w:szCs w:val="20"/>
                <w:bdr w:val="none" w:sz="0" w:space="0" w:color="auto"/>
                <w:vertAlign w:val="superscript"/>
                <w:lang w:eastAsia="en-NZ"/>
              </w:rPr>
              <w:t>*</w:t>
            </w:r>
            <w:r>
              <w:rPr>
                <w:color w:val="000000" w:themeColor="text1"/>
                <w:kern w:val="24"/>
                <w:sz w:val="20"/>
                <w:szCs w:val="20"/>
                <w:bdr w:val="none" w:sz="0" w:space="0" w:color="auto"/>
                <w:vertAlign w:val="superscript"/>
                <w:lang w:eastAsia="en-NZ"/>
              </w:rPr>
              <w:t>*</w:t>
            </w:r>
            <w:r w:rsidRPr="001F3FFC">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(0.004</w:t>
            </w:r>
            <w:r w:rsidRPr="001F3FFC">
              <w:rPr>
                <w:rFonts w:eastAsia="Times New Roman"/>
                <w:sz w:val="20"/>
                <w:szCs w:val="20"/>
                <w:bdr w:val="none" w:sz="0" w:space="0" w:color="auto"/>
                <w:lang w:val="en-NZ" w:eastAsia="en-NZ"/>
              </w:rPr>
              <w:t>)</w:t>
            </w:r>
          </w:p>
        </w:tc>
      </w:tr>
      <w:tr w:rsidR="00BA21D9" w:rsidRPr="0043730F" w:rsidTr="0063534E">
        <w:trPr>
          <w:trHeight w:val="284"/>
          <w:jc w:val="center"/>
        </w:trPr>
        <w:tc>
          <w:tcPr>
            <w:tcW w:w="4876" w:type="dxa"/>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sidRPr="0099559F">
              <w:rPr>
                <w:rFonts w:eastAsia="Times New Roman"/>
                <w:color w:val="000000"/>
                <w:sz w:val="20"/>
                <w:szCs w:val="20"/>
                <w:bdr w:val="none" w:sz="0" w:space="0" w:color="auto"/>
                <w:lang w:val="en-NZ" w:eastAsia="en-NZ"/>
              </w:rPr>
              <w:t xml:space="preserve">Minor urban area </w:t>
            </w:r>
          </w:p>
        </w:tc>
        <w:tc>
          <w:tcPr>
            <w:tcW w:w="1588"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001</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(0.003</w:t>
            </w:r>
            <w:r w:rsidRPr="001F3FFC">
              <w:rPr>
                <w:rFonts w:eastAsia="Times New Roman"/>
                <w:sz w:val="20"/>
                <w:szCs w:val="20"/>
                <w:bdr w:val="none" w:sz="0" w:space="0" w:color="auto"/>
                <w:lang w:val="en-NZ" w:eastAsia="en-NZ"/>
              </w:rPr>
              <w:t>)</w:t>
            </w:r>
          </w:p>
        </w:tc>
        <w:tc>
          <w:tcPr>
            <w:tcW w:w="1588"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010</w:t>
            </w:r>
            <w:r>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(0.005</w:t>
            </w:r>
            <w:r w:rsidRPr="001F3FFC">
              <w:rPr>
                <w:rFonts w:eastAsia="Times New Roman"/>
                <w:sz w:val="20"/>
                <w:szCs w:val="20"/>
                <w:bdr w:val="none" w:sz="0" w:space="0" w:color="auto"/>
                <w:lang w:val="en-NZ" w:eastAsia="en-NZ"/>
              </w:rPr>
              <w:t>)</w:t>
            </w:r>
          </w:p>
        </w:tc>
      </w:tr>
      <w:tr w:rsidR="00BA21D9" w:rsidRPr="0043730F" w:rsidTr="0063534E">
        <w:trPr>
          <w:trHeight w:val="284"/>
          <w:jc w:val="center"/>
        </w:trPr>
        <w:tc>
          <w:tcPr>
            <w:tcW w:w="4876" w:type="dxa"/>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sidRPr="0099559F">
              <w:rPr>
                <w:rFonts w:eastAsia="Times New Roman"/>
                <w:color w:val="000000"/>
                <w:sz w:val="20"/>
                <w:szCs w:val="20"/>
                <w:bdr w:val="none" w:sz="0" w:space="0" w:color="auto"/>
                <w:lang w:val="en-NZ" w:eastAsia="en-NZ"/>
              </w:rPr>
              <w:t>Secondary urban area</w:t>
            </w:r>
          </w:p>
        </w:tc>
        <w:tc>
          <w:tcPr>
            <w:tcW w:w="1588"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004</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(0.004</w:t>
            </w:r>
            <w:r w:rsidRPr="001F3FFC">
              <w:rPr>
                <w:rFonts w:eastAsia="Times New Roman"/>
                <w:sz w:val="20"/>
                <w:szCs w:val="20"/>
                <w:bdr w:val="none" w:sz="0" w:space="0" w:color="auto"/>
                <w:lang w:val="en-NZ" w:eastAsia="en-NZ"/>
              </w:rPr>
              <w:t>)</w:t>
            </w:r>
          </w:p>
        </w:tc>
        <w:tc>
          <w:tcPr>
            <w:tcW w:w="1588"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006</w:t>
            </w:r>
          </w:p>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(0.006</w:t>
            </w:r>
            <w:r w:rsidRPr="001F3FFC">
              <w:rPr>
                <w:rFonts w:eastAsia="Times New Roman"/>
                <w:sz w:val="20"/>
                <w:szCs w:val="20"/>
                <w:bdr w:val="none" w:sz="0" w:space="0" w:color="auto"/>
                <w:lang w:val="en-NZ" w:eastAsia="en-NZ"/>
              </w:rPr>
              <w:t>)</w:t>
            </w:r>
          </w:p>
        </w:tc>
      </w:tr>
      <w:tr w:rsidR="00BA21D9" w:rsidRPr="0043730F" w:rsidTr="0063534E">
        <w:trPr>
          <w:trHeight w:val="284"/>
          <w:jc w:val="center"/>
        </w:trPr>
        <w:tc>
          <w:tcPr>
            <w:tcW w:w="4876" w:type="dxa"/>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sidRPr="0099559F">
              <w:rPr>
                <w:rFonts w:eastAsia="Times New Roman"/>
                <w:color w:val="000000"/>
                <w:sz w:val="20"/>
                <w:szCs w:val="20"/>
                <w:bdr w:val="none" w:sz="0" w:space="0" w:color="auto"/>
                <w:lang w:val="en-NZ" w:eastAsia="en-NZ"/>
              </w:rPr>
              <w:t xml:space="preserve">Rural area </w:t>
            </w:r>
          </w:p>
        </w:tc>
        <w:tc>
          <w:tcPr>
            <w:tcW w:w="1588"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010</w:t>
            </w:r>
            <w:r>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(0.006</w:t>
            </w:r>
            <w:r w:rsidRPr="001F3FFC">
              <w:rPr>
                <w:rFonts w:eastAsia="Times New Roman"/>
                <w:sz w:val="20"/>
                <w:szCs w:val="20"/>
                <w:bdr w:val="none" w:sz="0" w:space="0" w:color="auto"/>
                <w:lang w:val="en-NZ" w:eastAsia="en-NZ"/>
              </w:rPr>
              <w:t>)</w:t>
            </w:r>
          </w:p>
        </w:tc>
        <w:tc>
          <w:tcPr>
            <w:tcW w:w="1588"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005</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(0.008</w:t>
            </w:r>
            <w:r w:rsidRPr="001F3FFC">
              <w:rPr>
                <w:rFonts w:eastAsia="Times New Roman"/>
                <w:sz w:val="20"/>
                <w:szCs w:val="20"/>
                <w:bdr w:val="none" w:sz="0" w:space="0" w:color="auto"/>
                <w:lang w:val="en-NZ" w:eastAsia="en-NZ"/>
              </w:rPr>
              <w:t>)</w:t>
            </w:r>
          </w:p>
        </w:tc>
      </w:tr>
      <w:tr w:rsidR="00BA21D9" w:rsidRPr="0043730F" w:rsidTr="0063534E">
        <w:trPr>
          <w:trHeight w:val="284"/>
          <w:jc w:val="center"/>
        </w:trPr>
        <w:tc>
          <w:tcPr>
            <w:tcW w:w="4876" w:type="dxa"/>
            <w:shd w:val="clear" w:color="auto" w:fill="auto"/>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sidRPr="0099559F">
              <w:rPr>
                <w:rFonts w:eastAsia="Times New Roman"/>
                <w:color w:val="000000"/>
                <w:sz w:val="20"/>
                <w:szCs w:val="20"/>
                <w:bdr w:val="none" w:sz="0" w:space="0" w:color="auto"/>
                <w:lang w:val="en-NZ" w:eastAsia="en-NZ"/>
              </w:rPr>
              <w:t>Rural/urban not applicable/missing</w:t>
            </w:r>
          </w:p>
        </w:tc>
        <w:tc>
          <w:tcPr>
            <w:tcW w:w="1588"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058</w:t>
            </w:r>
            <w:r w:rsidRPr="001F3FFC">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(0.010</w:t>
            </w:r>
            <w:r w:rsidRPr="001F3FFC">
              <w:rPr>
                <w:rFonts w:eastAsia="Times New Roman"/>
                <w:sz w:val="20"/>
                <w:szCs w:val="20"/>
                <w:bdr w:val="none" w:sz="0" w:space="0" w:color="auto"/>
                <w:lang w:val="en-NZ" w:eastAsia="en-NZ"/>
              </w:rPr>
              <w:t>)</w:t>
            </w:r>
          </w:p>
        </w:tc>
        <w:tc>
          <w:tcPr>
            <w:tcW w:w="1588"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102</w:t>
            </w:r>
            <w:r w:rsidRPr="001F3FFC">
              <w:rPr>
                <w:color w:val="000000" w:themeColor="text1"/>
                <w:kern w:val="24"/>
                <w:sz w:val="20"/>
                <w:szCs w:val="20"/>
                <w:bdr w:val="none" w:sz="0" w:space="0" w:color="auto"/>
                <w:vertAlign w:val="superscript"/>
                <w:lang w:eastAsia="en-NZ"/>
              </w:rPr>
              <w:t>***</w:t>
            </w:r>
          </w:p>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(0.018</w:t>
            </w:r>
            <w:r w:rsidRPr="001F3FFC">
              <w:rPr>
                <w:rFonts w:eastAsia="Times New Roman"/>
                <w:sz w:val="20"/>
                <w:szCs w:val="20"/>
                <w:bdr w:val="none" w:sz="0" w:space="0" w:color="auto"/>
                <w:lang w:val="en-NZ" w:eastAsia="en-NZ"/>
              </w:rPr>
              <w:t>)</w:t>
            </w:r>
          </w:p>
        </w:tc>
      </w:tr>
      <w:tr w:rsidR="00BA21D9" w:rsidRPr="0043730F" w:rsidTr="0063534E">
        <w:trPr>
          <w:trHeight w:val="284"/>
          <w:jc w:val="center"/>
        </w:trPr>
        <w:tc>
          <w:tcPr>
            <w:tcW w:w="4876" w:type="dxa"/>
            <w:shd w:val="clear" w:color="auto" w:fill="auto"/>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sidRPr="0099559F">
              <w:rPr>
                <w:color w:val="000000" w:themeColor="text1"/>
                <w:kern w:val="24"/>
                <w:sz w:val="20"/>
                <w:szCs w:val="20"/>
                <w:bdr w:val="none" w:sz="0" w:space="0" w:color="auto"/>
                <w:lang w:eastAsia="en-NZ"/>
              </w:rPr>
              <w:t>Ever placed in CYF care</w:t>
            </w:r>
          </w:p>
        </w:tc>
        <w:tc>
          <w:tcPr>
            <w:tcW w:w="1588"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157</w:t>
            </w:r>
            <w:r w:rsidRPr="001F3FFC">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(0.012</w:t>
            </w:r>
            <w:r w:rsidRPr="001F3FFC">
              <w:rPr>
                <w:rFonts w:eastAsia="Times New Roman"/>
                <w:sz w:val="20"/>
                <w:szCs w:val="20"/>
                <w:bdr w:val="none" w:sz="0" w:space="0" w:color="auto"/>
                <w:lang w:val="en-NZ" w:eastAsia="en-NZ"/>
              </w:rPr>
              <w:t>)</w:t>
            </w:r>
          </w:p>
        </w:tc>
        <w:tc>
          <w:tcPr>
            <w:tcW w:w="1588"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231</w:t>
            </w:r>
            <w:r>
              <w:rPr>
                <w:color w:val="000000" w:themeColor="text1"/>
                <w:kern w:val="24"/>
                <w:sz w:val="20"/>
                <w:szCs w:val="20"/>
                <w:bdr w:val="none" w:sz="0" w:space="0" w:color="auto"/>
                <w:vertAlign w:val="superscript"/>
                <w:lang w:eastAsia="en-NZ"/>
              </w:rPr>
              <w:t>***</w:t>
            </w:r>
          </w:p>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(0.015</w:t>
            </w:r>
            <w:r w:rsidRPr="001F3FFC">
              <w:rPr>
                <w:rFonts w:eastAsia="Times New Roman"/>
                <w:sz w:val="20"/>
                <w:szCs w:val="20"/>
                <w:bdr w:val="none" w:sz="0" w:space="0" w:color="auto"/>
                <w:lang w:val="en-NZ" w:eastAsia="en-NZ"/>
              </w:rPr>
              <w:t>)</w:t>
            </w:r>
          </w:p>
        </w:tc>
      </w:tr>
      <w:tr w:rsidR="00BA21D9" w:rsidRPr="0043730F" w:rsidTr="0063534E">
        <w:trPr>
          <w:trHeight w:val="284"/>
          <w:jc w:val="center"/>
        </w:trPr>
        <w:tc>
          <w:tcPr>
            <w:tcW w:w="4876" w:type="dxa"/>
            <w:shd w:val="clear" w:color="auto" w:fill="auto"/>
            <w:tcMar>
              <w:top w:w="28" w:type="dxa"/>
              <w:left w:w="108" w:type="dxa"/>
              <w:bottom w:w="28" w:type="dxa"/>
              <w:right w:w="108" w:type="dxa"/>
            </w:tcMar>
            <w:vAlign w:val="center"/>
          </w:tcPr>
          <w:p w:rsidR="00BA21D9" w:rsidRPr="0099559F" w:rsidRDefault="00BA21D9" w:rsidP="005575E4">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sidRPr="0099559F">
              <w:rPr>
                <w:color w:val="000000" w:themeColor="text1"/>
                <w:kern w:val="24"/>
                <w:sz w:val="20"/>
                <w:szCs w:val="20"/>
                <w:bdr w:val="none" w:sz="0" w:space="0" w:color="auto"/>
                <w:lang w:eastAsia="en-NZ"/>
              </w:rPr>
              <w:t xml:space="preserve">Ever </w:t>
            </w:r>
            <w:r w:rsidR="005575E4">
              <w:rPr>
                <w:color w:val="000000" w:themeColor="text1"/>
                <w:kern w:val="24"/>
                <w:sz w:val="20"/>
                <w:szCs w:val="20"/>
                <w:bdr w:val="none" w:sz="0" w:space="0" w:color="auto"/>
                <w:lang w:eastAsia="en-NZ"/>
              </w:rPr>
              <w:t>CYF Y</w:t>
            </w:r>
            <w:r w:rsidR="005575E4" w:rsidRPr="0099559F">
              <w:rPr>
                <w:color w:val="000000" w:themeColor="text1"/>
                <w:kern w:val="24"/>
                <w:sz w:val="20"/>
                <w:szCs w:val="20"/>
                <w:bdr w:val="none" w:sz="0" w:space="0" w:color="auto"/>
                <w:lang w:eastAsia="en-NZ"/>
              </w:rPr>
              <w:t xml:space="preserve">outh </w:t>
            </w:r>
            <w:r w:rsidR="005575E4">
              <w:rPr>
                <w:color w:val="000000" w:themeColor="text1"/>
                <w:kern w:val="24"/>
                <w:sz w:val="20"/>
                <w:szCs w:val="20"/>
                <w:bdr w:val="none" w:sz="0" w:space="0" w:color="auto"/>
                <w:lang w:eastAsia="en-NZ"/>
              </w:rPr>
              <w:t>J</w:t>
            </w:r>
            <w:r w:rsidR="005575E4" w:rsidRPr="0099559F">
              <w:rPr>
                <w:color w:val="000000" w:themeColor="text1"/>
                <w:kern w:val="24"/>
                <w:sz w:val="20"/>
                <w:szCs w:val="20"/>
                <w:bdr w:val="none" w:sz="0" w:space="0" w:color="auto"/>
                <w:lang w:eastAsia="en-NZ"/>
              </w:rPr>
              <w:t xml:space="preserve">ustice </w:t>
            </w:r>
            <w:r w:rsidRPr="0099559F">
              <w:rPr>
                <w:color w:val="000000" w:themeColor="text1"/>
                <w:kern w:val="24"/>
                <w:sz w:val="20"/>
                <w:szCs w:val="20"/>
                <w:bdr w:val="none" w:sz="0" w:space="0" w:color="auto"/>
                <w:lang w:eastAsia="en-NZ"/>
              </w:rPr>
              <w:t>involvement</w:t>
            </w:r>
          </w:p>
        </w:tc>
        <w:tc>
          <w:tcPr>
            <w:tcW w:w="1588"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233</w:t>
            </w:r>
            <w:r w:rsidRPr="001F3FFC">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(0.016</w:t>
            </w:r>
            <w:r w:rsidRPr="001F3FFC">
              <w:rPr>
                <w:rFonts w:eastAsia="Times New Roman"/>
                <w:sz w:val="20"/>
                <w:szCs w:val="20"/>
                <w:bdr w:val="none" w:sz="0" w:space="0" w:color="auto"/>
                <w:lang w:val="en-NZ" w:eastAsia="en-NZ"/>
              </w:rPr>
              <w:t>)</w:t>
            </w:r>
          </w:p>
        </w:tc>
        <w:tc>
          <w:tcPr>
            <w:tcW w:w="1588"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312</w:t>
            </w:r>
            <w:r w:rsidRPr="001F3FFC">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(0.018</w:t>
            </w:r>
            <w:r w:rsidRPr="001F3FFC">
              <w:rPr>
                <w:rFonts w:eastAsia="Times New Roman"/>
                <w:sz w:val="20"/>
                <w:szCs w:val="20"/>
                <w:bdr w:val="none" w:sz="0" w:space="0" w:color="auto"/>
                <w:lang w:val="en-NZ" w:eastAsia="en-NZ"/>
              </w:rPr>
              <w:t>)</w:t>
            </w:r>
          </w:p>
        </w:tc>
      </w:tr>
      <w:tr w:rsidR="00BA21D9" w:rsidRPr="0043730F" w:rsidTr="0063534E">
        <w:trPr>
          <w:trHeight w:val="284"/>
          <w:jc w:val="center"/>
        </w:trPr>
        <w:tc>
          <w:tcPr>
            <w:tcW w:w="4876" w:type="dxa"/>
            <w:shd w:val="clear" w:color="auto" w:fill="auto"/>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sidRPr="0099559F">
              <w:rPr>
                <w:color w:val="000000" w:themeColor="text1"/>
                <w:kern w:val="24"/>
                <w:sz w:val="20"/>
                <w:szCs w:val="20"/>
                <w:bdr w:val="none" w:sz="0" w:space="0" w:color="auto"/>
                <w:lang w:eastAsia="en-NZ"/>
              </w:rPr>
              <w:t>School in bottom three deciles</w:t>
            </w:r>
          </w:p>
        </w:tc>
        <w:tc>
          <w:tcPr>
            <w:tcW w:w="1588"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121</w:t>
            </w:r>
            <w:r w:rsidRPr="001F3FFC">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(0.008</w:t>
            </w:r>
            <w:r w:rsidRPr="001F3FFC">
              <w:rPr>
                <w:rFonts w:eastAsia="Times New Roman"/>
                <w:sz w:val="20"/>
                <w:szCs w:val="20"/>
                <w:bdr w:val="none" w:sz="0" w:space="0" w:color="auto"/>
                <w:lang w:val="en-NZ" w:eastAsia="en-NZ"/>
              </w:rPr>
              <w:t>)</w:t>
            </w:r>
          </w:p>
        </w:tc>
        <w:tc>
          <w:tcPr>
            <w:tcW w:w="1588"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194</w:t>
            </w:r>
            <w:r w:rsidRPr="001F3FFC">
              <w:rPr>
                <w:color w:val="000000" w:themeColor="text1"/>
                <w:kern w:val="24"/>
                <w:sz w:val="20"/>
                <w:szCs w:val="20"/>
                <w:bdr w:val="none" w:sz="0" w:space="0" w:color="auto"/>
                <w:vertAlign w:val="superscript"/>
                <w:lang w:eastAsia="en-NZ"/>
              </w:rPr>
              <w:t>*</w:t>
            </w:r>
            <w:r>
              <w:rPr>
                <w:color w:val="000000" w:themeColor="text1"/>
                <w:kern w:val="24"/>
                <w:sz w:val="20"/>
                <w:szCs w:val="20"/>
                <w:bdr w:val="none" w:sz="0" w:space="0" w:color="auto"/>
                <w:vertAlign w:val="superscript"/>
                <w:lang w:eastAsia="en-NZ"/>
              </w:rPr>
              <w:t>*</w:t>
            </w:r>
            <w:r w:rsidRPr="001F3FFC">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(0.015</w:t>
            </w:r>
            <w:r w:rsidRPr="001F3FFC">
              <w:rPr>
                <w:rFonts w:eastAsia="Times New Roman"/>
                <w:sz w:val="20"/>
                <w:szCs w:val="20"/>
                <w:bdr w:val="none" w:sz="0" w:space="0" w:color="auto"/>
                <w:lang w:val="en-NZ" w:eastAsia="en-NZ"/>
              </w:rPr>
              <w:t>)</w:t>
            </w:r>
          </w:p>
        </w:tc>
      </w:tr>
      <w:tr w:rsidR="00BA21D9" w:rsidRPr="0043730F" w:rsidTr="0063534E">
        <w:trPr>
          <w:trHeight w:val="284"/>
          <w:jc w:val="center"/>
        </w:trPr>
        <w:tc>
          <w:tcPr>
            <w:tcW w:w="4876" w:type="dxa"/>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Pr>
                <w:rFonts w:eastAsia="Times New Roman"/>
                <w:color w:val="000000"/>
                <w:sz w:val="20"/>
                <w:szCs w:val="20"/>
                <w:bdr w:val="none" w:sz="0" w:space="0" w:color="auto"/>
                <w:lang w:val="en-NZ" w:eastAsia="en-NZ"/>
              </w:rPr>
              <w:t xml:space="preserve">South </w:t>
            </w:r>
            <w:r w:rsidRPr="0099559F">
              <w:rPr>
                <w:rFonts w:eastAsia="Times New Roman"/>
                <w:color w:val="000000"/>
                <w:sz w:val="20"/>
                <w:szCs w:val="20"/>
                <w:bdr w:val="none" w:sz="0" w:space="0" w:color="auto"/>
                <w:lang w:val="en-NZ" w:eastAsia="en-NZ"/>
              </w:rPr>
              <w:t xml:space="preserve">Auckland </w:t>
            </w:r>
            <w:r w:rsidR="008720EC">
              <w:rPr>
                <w:rFonts w:eastAsia="Times New Roman"/>
                <w:color w:val="000000"/>
                <w:sz w:val="20"/>
                <w:szCs w:val="20"/>
                <w:bdr w:val="none" w:sz="0" w:space="0" w:color="auto"/>
                <w:lang w:val="en-NZ" w:eastAsia="en-NZ"/>
              </w:rPr>
              <w:t>MoE</w:t>
            </w:r>
            <w:r w:rsidR="00DF661F">
              <w:rPr>
                <w:rFonts w:eastAsia="Times New Roman"/>
                <w:color w:val="000000"/>
                <w:sz w:val="20"/>
                <w:szCs w:val="20"/>
                <w:bdr w:val="none" w:sz="0" w:space="0" w:color="auto"/>
                <w:lang w:val="en-NZ" w:eastAsia="en-NZ"/>
              </w:rPr>
              <w:t xml:space="preserve"> </w:t>
            </w:r>
            <w:r w:rsidRPr="0099559F">
              <w:rPr>
                <w:rFonts w:eastAsia="Times New Roman"/>
                <w:color w:val="000000"/>
                <w:sz w:val="20"/>
                <w:szCs w:val="20"/>
                <w:bdr w:val="none" w:sz="0" w:space="0" w:color="auto"/>
                <w:lang w:val="en-NZ" w:eastAsia="en-NZ"/>
              </w:rPr>
              <w:t>office</w:t>
            </w:r>
          </w:p>
        </w:tc>
        <w:tc>
          <w:tcPr>
            <w:tcW w:w="1588"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025</w:t>
            </w:r>
            <w:r w:rsidRPr="001F3FFC">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(0.004</w:t>
            </w:r>
            <w:r w:rsidRPr="001F3FFC">
              <w:rPr>
                <w:rFonts w:eastAsia="Times New Roman"/>
                <w:sz w:val="20"/>
                <w:szCs w:val="20"/>
                <w:bdr w:val="none" w:sz="0" w:space="0" w:color="auto"/>
                <w:lang w:val="en-NZ" w:eastAsia="en-NZ"/>
              </w:rPr>
              <w:t>)</w:t>
            </w:r>
          </w:p>
        </w:tc>
        <w:tc>
          <w:tcPr>
            <w:tcW w:w="1588"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011</w:t>
            </w:r>
            <w:r>
              <w:rPr>
                <w:color w:val="000000" w:themeColor="text1"/>
                <w:kern w:val="24"/>
                <w:sz w:val="20"/>
                <w:szCs w:val="20"/>
                <w:bdr w:val="none" w:sz="0" w:space="0" w:color="auto"/>
                <w:vertAlign w:val="superscript"/>
                <w:lang w:eastAsia="en-NZ"/>
              </w:rPr>
              <w:t>**</w:t>
            </w:r>
          </w:p>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(0.005</w:t>
            </w:r>
            <w:r w:rsidRPr="001F3FFC">
              <w:rPr>
                <w:rFonts w:eastAsia="Times New Roman"/>
                <w:sz w:val="20"/>
                <w:szCs w:val="20"/>
                <w:bdr w:val="none" w:sz="0" w:space="0" w:color="auto"/>
                <w:lang w:val="en-NZ" w:eastAsia="en-NZ"/>
              </w:rPr>
              <w:t>)</w:t>
            </w:r>
          </w:p>
        </w:tc>
      </w:tr>
      <w:tr w:rsidR="00BA21D9" w:rsidRPr="0043730F" w:rsidTr="0063534E">
        <w:trPr>
          <w:trHeight w:val="284"/>
          <w:jc w:val="center"/>
        </w:trPr>
        <w:tc>
          <w:tcPr>
            <w:tcW w:w="4876" w:type="dxa"/>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sidRPr="0099559F">
              <w:rPr>
                <w:rFonts w:eastAsia="Times New Roman"/>
                <w:color w:val="000000"/>
                <w:sz w:val="20"/>
                <w:szCs w:val="20"/>
                <w:bdr w:val="none" w:sz="0" w:space="0" w:color="auto"/>
                <w:lang w:val="en-NZ" w:eastAsia="en-NZ"/>
              </w:rPr>
              <w:t xml:space="preserve">Christchurch </w:t>
            </w:r>
            <w:r w:rsidR="008720EC">
              <w:rPr>
                <w:rFonts w:eastAsia="Times New Roman"/>
                <w:color w:val="000000"/>
                <w:sz w:val="20"/>
                <w:szCs w:val="20"/>
                <w:bdr w:val="none" w:sz="0" w:space="0" w:color="auto"/>
                <w:lang w:val="en-NZ" w:eastAsia="en-NZ"/>
              </w:rPr>
              <w:t xml:space="preserve">MoE </w:t>
            </w:r>
            <w:r w:rsidRPr="0099559F">
              <w:rPr>
                <w:rFonts w:eastAsia="Times New Roman"/>
                <w:color w:val="000000"/>
                <w:sz w:val="20"/>
                <w:szCs w:val="20"/>
                <w:bdr w:val="none" w:sz="0" w:space="0" w:color="auto"/>
                <w:lang w:val="en-NZ" w:eastAsia="en-NZ"/>
              </w:rPr>
              <w:t>office</w:t>
            </w:r>
          </w:p>
        </w:tc>
        <w:tc>
          <w:tcPr>
            <w:tcW w:w="1588"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002</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(0.004</w:t>
            </w:r>
            <w:r w:rsidRPr="001F3FFC">
              <w:rPr>
                <w:rFonts w:eastAsia="Times New Roman"/>
                <w:sz w:val="20"/>
                <w:szCs w:val="20"/>
                <w:bdr w:val="none" w:sz="0" w:space="0" w:color="auto"/>
                <w:lang w:val="en-NZ" w:eastAsia="en-NZ"/>
              </w:rPr>
              <w:t>)</w:t>
            </w:r>
          </w:p>
        </w:tc>
        <w:tc>
          <w:tcPr>
            <w:tcW w:w="1588"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007</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(0.006</w:t>
            </w:r>
            <w:r w:rsidRPr="001F3FFC">
              <w:rPr>
                <w:rFonts w:eastAsia="Times New Roman"/>
                <w:sz w:val="20"/>
                <w:szCs w:val="20"/>
                <w:bdr w:val="none" w:sz="0" w:space="0" w:color="auto"/>
                <w:lang w:val="en-NZ" w:eastAsia="en-NZ"/>
              </w:rPr>
              <w:t>)</w:t>
            </w:r>
          </w:p>
        </w:tc>
      </w:tr>
      <w:tr w:rsidR="00BA21D9" w:rsidRPr="0043730F" w:rsidTr="0063534E">
        <w:trPr>
          <w:trHeight w:val="284"/>
          <w:jc w:val="center"/>
        </w:trPr>
        <w:tc>
          <w:tcPr>
            <w:tcW w:w="4876" w:type="dxa"/>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sidRPr="0099559F">
              <w:rPr>
                <w:rFonts w:eastAsia="Times New Roman"/>
                <w:color w:val="000000"/>
                <w:sz w:val="20"/>
                <w:szCs w:val="20"/>
                <w:bdr w:val="none" w:sz="0" w:space="0" w:color="auto"/>
                <w:lang w:val="en-NZ" w:eastAsia="en-NZ"/>
              </w:rPr>
              <w:t xml:space="preserve">Dunedin </w:t>
            </w:r>
            <w:r w:rsidR="008720EC">
              <w:rPr>
                <w:rFonts w:eastAsia="Times New Roman"/>
                <w:color w:val="000000"/>
                <w:sz w:val="20"/>
                <w:szCs w:val="20"/>
                <w:bdr w:val="none" w:sz="0" w:space="0" w:color="auto"/>
                <w:lang w:val="en-NZ" w:eastAsia="en-NZ"/>
              </w:rPr>
              <w:t xml:space="preserve">MoE </w:t>
            </w:r>
            <w:r w:rsidRPr="0099559F">
              <w:rPr>
                <w:rFonts w:eastAsia="Times New Roman"/>
                <w:color w:val="000000"/>
                <w:sz w:val="20"/>
                <w:szCs w:val="20"/>
                <w:bdr w:val="none" w:sz="0" w:space="0" w:color="auto"/>
                <w:lang w:val="en-NZ" w:eastAsia="en-NZ"/>
              </w:rPr>
              <w:t>office</w:t>
            </w:r>
          </w:p>
        </w:tc>
        <w:tc>
          <w:tcPr>
            <w:tcW w:w="1588"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022</w:t>
            </w:r>
            <w:r w:rsidRPr="001F3FFC">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(0.005</w:t>
            </w:r>
            <w:r w:rsidRPr="001F3FFC">
              <w:rPr>
                <w:rFonts w:eastAsia="Times New Roman"/>
                <w:sz w:val="20"/>
                <w:szCs w:val="20"/>
                <w:bdr w:val="none" w:sz="0" w:space="0" w:color="auto"/>
                <w:lang w:val="en-NZ" w:eastAsia="en-NZ"/>
              </w:rPr>
              <w:t>)</w:t>
            </w:r>
          </w:p>
        </w:tc>
        <w:tc>
          <w:tcPr>
            <w:tcW w:w="1588"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036</w:t>
            </w:r>
            <w:r w:rsidRPr="001F3FFC">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(0.007</w:t>
            </w:r>
            <w:r w:rsidRPr="001F3FFC">
              <w:rPr>
                <w:rFonts w:eastAsia="Times New Roman"/>
                <w:sz w:val="20"/>
                <w:szCs w:val="20"/>
                <w:bdr w:val="none" w:sz="0" w:space="0" w:color="auto"/>
                <w:lang w:val="en-NZ" w:eastAsia="en-NZ"/>
              </w:rPr>
              <w:t>)</w:t>
            </w:r>
          </w:p>
        </w:tc>
      </w:tr>
      <w:tr w:rsidR="00BA21D9" w:rsidRPr="0043730F" w:rsidTr="0063534E">
        <w:trPr>
          <w:trHeight w:val="284"/>
          <w:jc w:val="center"/>
        </w:trPr>
        <w:tc>
          <w:tcPr>
            <w:tcW w:w="4876" w:type="dxa"/>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sidRPr="0099559F">
              <w:rPr>
                <w:rFonts w:eastAsia="Times New Roman"/>
                <w:color w:val="000000"/>
                <w:sz w:val="20"/>
                <w:szCs w:val="20"/>
                <w:bdr w:val="none" w:sz="0" w:space="0" w:color="auto"/>
                <w:lang w:val="en-NZ" w:eastAsia="en-NZ"/>
              </w:rPr>
              <w:t xml:space="preserve">Hamilton </w:t>
            </w:r>
            <w:r w:rsidR="008720EC">
              <w:rPr>
                <w:rFonts w:eastAsia="Times New Roman"/>
                <w:color w:val="000000"/>
                <w:sz w:val="20"/>
                <w:szCs w:val="20"/>
                <w:bdr w:val="none" w:sz="0" w:space="0" w:color="auto"/>
                <w:lang w:val="en-NZ" w:eastAsia="en-NZ"/>
              </w:rPr>
              <w:t xml:space="preserve">MoE </w:t>
            </w:r>
            <w:r w:rsidRPr="0099559F">
              <w:rPr>
                <w:rFonts w:eastAsia="Times New Roman"/>
                <w:color w:val="000000"/>
                <w:sz w:val="20"/>
                <w:szCs w:val="20"/>
                <w:bdr w:val="none" w:sz="0" w:space="0" w:color="auto"/>
                <w:lang w:val="en-NZ" w:eastAsia="en-NZ"/>
              </w:rPr>
              <w:t>office</w:t>
            </w:r>
          </w:p>
        </w:tc>
        <w:tc>
          <w:tcPr>
            <w:tcW w:w="1588"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009</w:t>
            </w:r>
            <w:r>
              <w:rPr>
                <w:color w:val="000000" w:themeColor="text1"/>
                <w:kern w:val="24"/>
                <w:sz w:val="20"/>
                <w:szCs w:val="20"/>
                <w:bdr w:val="none" w:sz="0" w:space="0" w:color="auto"/>
                <w:vertAlign w:val="superscript"/>
                <w:lang w:eastAsia="en-NZ"/>
              </w:rPr>
              <w:t>**</w:t>
            </w:r>
          </w:p>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i/>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(0.004</w:t>
            </w:r>
            <w:r w:rsidRPr="001F3FFC">
              <w:rPr>
                <w:rFonts w:eastAsia="Times New Roman"/>
                <w:sz w:val="20"/>
                <w:szCs w:val="20"/>
                <w:bdr w:val="none" w:sz="0" w:space="0" w:color="auto"/>
                <w:lang w:val="en-NZ" w:eastAsia="en-NZ"/>
              </w:rPr>
              <w:t>)</w:t>
            </w:r>
          </w:p>
        </w:tc>
        <w:tc>
          <w:tcPr>
            <w:tcW w:w="1588"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017</w:t>
            </w:r>
            <w:r w:rsidRPr="001F3FFC">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(0.006</w:t>
            </w:r>
            <w:r w:rsidRPr="001F3FFC">
              <w:rPr>
                <w:rFonts w:eastAsia="Times New Roman"/>
                <w:sz w:val="20"/>
                <w:szCs w:val="20"/>
                <w:bdr w:val="none" w:sz="0" w:space="0" w:color="auto"/>
                <w:lang w:val="en-NZ" w:eastAsia="en-NZ"/>
              </w:rPr>
              <w:t>)</w:t>
            </w:r>
          </w:p>
        </w:tc>
      </w:tr>
    </w:tbl>
    <w:p w:rsidR="00BA21D9" w:rsidRDefault="00BA21D9" w:rsidP="00BA21D9">
      <w:pPr>
        <w:rPr>
          <w:color w:val="FF0000"/>
          <w:sz w:val="22"/>
          <w:szCs w:val="22"/>
        </w:rPr>
      </w:pPr>
    </w:p>
    <w:p w:rsidR="00BA21D9" w:rsidRDefault="00BA21D9" w:rsidP="00BA21D9">
      <w:pPr>
        <w:rPr>
          <w:i/>
          <w:sz w:val="20"/>
          <w:szCs w:val="20"/>
        </w:rPr>
      </w:pPr>
      <w:r>
        <w:rPr>
          <w:i/>
          <w:sz w:val="20"/>
          <w:szCs w:val="20"/>
        </w:rPr>
        <w:br w:type="page"/>
      </w:r>
    </w:p>
    <w:p w:rsidR="00BA21D9" w:rsidRPr="0099559F" w:rsidRDefault="00EB1E61" w:rsidP="00BA21D9">
      <w:pPr>
        <w:jc w:val="center"/>
        <w:rPr>
          <w:i/>
          <w:sz w:val="20"/>
          <w:szCs w:val="20"/>
        </w:rPr>
      </w:pPr>
      <w:r>
        <w:rPr>
          <w:i/>
          <w:sz w:val="20"/>
          <w:szCs w:val="20"/>
        </w:rPr>
        <w:t xml:space="preserve">Appendix </w:t>
      </w:r>
      <w:r w:rsidR="00BA21D9">
        <w:rPr>
          <w:i/>
          <w:sz w:val="20"/>
          <w:szCs w:val="20"/>
        </w:rPr>
        <w:t xml:space="preserve">Table </w:t>
      </w:r>
      <w:r>
        <w:rPr>
          <w:i/>
          <w:sz w:val="20"/>
          <w:szCs w:val="20"/>
        </w:rPr>
        <w:t>6</w:t>
      </w:r>
      <w:r w:rsidR="00BA21D9" w:rsidRPr="0099559F">
        <w:rPr>
          <w:i/>
          <w:sz w:val="20"/>
          <w:szCs w:val="20"/>
        </w:rPr>
        <w:t xml:space="preserve"> </w:t>
      </w:r>
      <w:r>
        <w:rPr>
          <w:i/>
          <w:sz w:val="20"/>
          <w:szCs w:val="20"/>
        </w:rPr>
        <w:t>c</w:t>
      </w:r>
      <w:r w:rsidR="00BA21D9" w:rsidRPr="0099559F">
        <w:rPr>
          <w:i/>
          <w:sz w:val="20"/>
          <w:szCs w:val="20"/>
        </w:rPr>
        <w:t>ontinued</w:t>
      </w:r>
    </w:p>
    <w:tbl>
      <w:tblPr>
        <w:tblW w:w="0" w:type="auto"/>
        <w:jc w:val="center"/>
        <w:tblBorders>
          <w:top w:val="single" w:sz="4" w:space="0" w:color="auto"/>
          <w:bottom w:val="single" w:sz="4" w:space="0" w:color="auto"/>
          <w:insideH w:val="single" w:sz="4" w:space="0" w:color="auto"/>
        </w:tblBorders>
        <w:tblLayout w:type="fixed"/>
        <w:tblCellMar>
          <w:left w:w="0" w:type="dxa"/>
          <w:right w:w="0" w:type="dxa"/>
        </w:tblCellMar>
        <w:tblLook w:val="0600" w:firstRow="0" w:lastRow="0" w:firstColumn="0" w:lastColumn="0" w:noHBand="1" w:noVBand="1"/>
      </w:tblPr>
      <w:tblGrid>
        <w:gridCol w:w="3006"/>
        <w:gridCol w:w="3007"/>
        <w:gridCol w:w="3007"/>
      </w:tblGrid>
      <w:tr w:rsidR="00BA21D9" w:rsidRPr="0043730F" w:rsidTr="008D7DED">
        <w:trPr>
          <w:trHeight w:val="284"/>
          <w:jc w:val="center"/>
        </w:trPr>
        <w:tc>
          <w:tcPr>
            <w:tcW w:w="3006" w:type="dxa"/>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br w:type="page"/>
            </w:r>
            <w:r w:rsidRPr="0099559F">
              <w:rPr>
                <w:rFonts w:eastAsia="Times New Roman"/>
                <w:color w:val="000000"/>
                <w:sz w:val="20"/>
                <w:szCs w:val="20"/>
                <w:bdr w:val="none" w:sz="0" w:space="0" w:color="auto"/>
                <w:lang w:val="en-NZ" w:eastAsia="en-NZ"/>
              </w:rPr>
              <w:t xml:space="preserve">Invercargill </w:t>
            </w:r>
            <w:r w:rsidR="008720EC">
              <w:rPr>
                <w:rFonts w:eastAsia="Times New Roman"/>
                <w:color w:val="000000"/>
                <w:sz w:val="20"/>
                <w:szCs w:val="20"/>
                <w:bdr w:val="none" w:sz="0" w:space="0" w:color="auto"/>
                <w:lang w:val="en-NZ" w:eastAsia="en-NZ"/>
              </w:rPr>
              <w:t xml:space="preserve">MoE </w:t>
            </w:r>
            <w:r w:rsidRPr="0099559F">
              <w:rPr>
                <w:rFonts w:eastAsia="Times New Roman"/>
                <w:color w:val="000000"/>
                <w:sz w:val="20"/>
                <w:szCs w:val="20"/>
                <w:bdr w:val="none" w:sz="0" w:space="0" w:color="auto"/>
                <w:lang w:val="en-NZ" w:eastAsia="en-NZ"/>
              </w:rPr>
              <w:t>office</w:t>
            </w:r>
          </w:p>
        </w:tc>
        <w:tc>
          <w:tcPr>
            <w:tcW w:w="3007"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005</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(0.007</w:t>
            </w:r>
            <w:r w:rsidRPr="001F3FFC">
              <w:rPr>
                <w:rFonts w:eastAsia="Times New Roman"/>
                <w:sz w:val="20"/>
                <w:szCs w:val="20"/>
                <w:bdr w:val="none" w:sz="0" w:space="0" w:color="auto"/>
                <w:lang w:val="en-NZ" w:eastAsia="en-NZ"/>
              </w:rPr>
              <w:t>)</w:t>
            </w:r>
          </w:p>
        </w:tc>
        <w:tc>
          <w:tcPr>
            <w:tcW w:w="3007"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003</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(0.010</w:t>
            </w:r>
            <w:r w:rsidRPr="001F3FFC">
              <w:rPr>
                <w:rFonts w:eastAsia="Times New Roman"/>
                <w:sz w:val="20"/>
                <w:szCs w:val="20"/>
                <w:bdr w:val="none" w:sz="0" w:space="0" w:color="auto"/>
                <w:lang w:val="en-NZ" w:eastAsia="en-NZ"/>
              </w:rPr>
              <w:t>)</w:t>
            </w:r>
          </w:p>
        </w:tc>
      </w:tr>
      <w:tr w:rsidR="00BA21D9" w:rsidRPr="0043730F" w:rsidTr="008D7DED">
        <w:trPr>
          <w:trHeight w:val="284"/>
          <w:jc w:val="center"/>
        </w:trPr>
        <w:tc>
          <w:tcPr>
            <w:tcW w:w="3006" w:type="dxa"/>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sidRPr="0099559F">
              <w:rPr>
                <w:rFonts w:eastAsia="Times New Roman"/>
                <w:color w:val="000000"/>
                <w:sz w:val="20"/>
                <w:szCs w:val="20"/>
                <w:bdr w:val="none" w:sz="0" w:space="0" w:color="auto"/>
                <w:lang w:val="en-NZ" w:eastAsia="en-NZ"/>
              </w:rPr>
              <w:t xml:space="preserve">Napier </w:t>
            </w:r>
            <w:r w:rsidR="008720EC">
              <w:rPr>
                <w:rFonts w:eastAsia="Times New Roman"/>
                <w:color w:val="000000"/>
                <w:sz w:val="20"/>
                <w:szCs w:val="20"/>
                <w:bdr w:val="none" w:sz="0" w:space="0" w:color="auto"/>
                <w:lang w:val="en-NZ" w:eastAsia="en-NZ"/>
              </w:rPr>
              <w:t xml:space="preserve">MoE </w:t>
            </w:r>
            <w:r w:rsidRPr="0099559F">
              <w:rPr>
                <w:rFonts w:eastAsia="Times New Roman"/>
                <w:color w:val="000000"/>
                <w:sz w:val="20"/>
                <w:szCs w:val="20"/>
                <w:bdr w:val="none" w:sz="0" w:space="0" w:color="auto"/>
                <w:lang w:val="en-NZ" w:eastAsia="en-NZ"/>
              </w:rPr>
              <w:t>office</w:t>
            </w:r>
          </w:p>
        </w:tc>
        <w:tc>
          <w:tcPr>
            <w:tcW w:w="3007"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008</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(0.005</w:t>
            </w:r>
            <w:r w:rsidRPr="001F3FFC">
              <w:rPr>
                <w:rFonts w:eastAsia="Times New Roman"/>
                <w:sz w:val="20"/>
                <w:szCs w:val="20"/>
                <w:bdr w:val="none" w:sz="0" w:space="0" w:color="auto"/>
                <w:lang w:val="en-NZ" w:eastAsia="en-NZ"/>
              </w:rPr>
              <w:t>)</w:t>
            </w:r>
          </w:p>
        </w:tc>
        <w:tc>
          <w:tcPr>
            <w:tcW w:w="3007"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027</w:t>
            </w:r>
            <w:r w:rsidRPr="001F3FFC">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(0.007</w:t>
            </w:r>
            <w:r w:rsidRPr="001F3FFC">
              <w:rPr>
                <w:rFonts w:eastAsia="Times New Roman"/>
                <w:sz w:val="20"/>
                <w:szCs w:val="20"/>
                <w:bdr w:val="none" w:sz="0" w:space="0" w:color="auto"/>
                <w:lang w:val="en-NZ" w:eastAsia="en-NZ"/>
              </w:rPr>
              <w:t>)</w:t>
            </w:r>
          </w:p>
        </w:tc>
      </w:tr>
      <w:tr w:rsidR="00BA21D9" w:rsidRPr="0043730F" w:rsidTr="008D7DED">
        <w:trPr>
          <w:trHeight w:val="284"/>
          <w:jc w:val="center"/>
        </w:trPr>
        <w:tc>
          <w:tcPr>
            <w:tcW w:w="3006" w:type="dxa"/>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sidRPr="0099559F">
              <w:rPr>
                <w:rFonts w:eastAsia="Times New Roman"/>
                <w:color w:val="000000"/>
                <w:sz w:val="20"/>
                <w:szCs w:val="20"/>
                <w:bdr w:val="none" w:sz="0" w:space="0" w:color="auto"/>
                <w:lang w:val="en-NZ" w:eastAsia="en-NZ"/>
              </w:rPr>
              <w:t xml:space="preserve">Nelson </w:t>
            </w:r>
            <w:r w:rsidR="008720EC">
              <w:rPr>
                <w:rFonts w:eastAsia="Times New Roman"/>
                <w:color w:val="000000"/>
                <w:sz w:val="20"/>
                <w:szCs w:val="20"/>
                <w:bdr w:val="none" w:sz="0" w:space="0" w:color="auto"/>
                <w:lang w:val="en-NZ" w:eastAsia="en-NZ"/>
              </w:rPr>
              <w:t xml:space="preserve">MoE </w:t>
            </w:r>
            <w:r w:rsidRPr="0099559F">
              <w:rPr>
                <w:rFonts w:eastAsia="Times New Roman"/>
                <w:color w:val="000000"/>
                <w:sz w:val="20"/>
                <w:szCs w:val="20"/>
                <w:bdr w:val="none" w:sz="0" w:space="0" w:color="auto"/>
                <w:lang w:val="en-NZ" w:eastAsia="en-NZ"/>
              </w:rPr>
              <w:t>office</w:t>
            </w:r>
          </w:p>
        </w:tc>
        <w:tc>
          <w:tcPr>
            <w:tcW w:w="3007"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012</w:t>
            </w:r>
            <w:r w:rsidRPr="001F3FFC">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(0.007</w:t>
            </w:r>
            <w:r w:rsidRPr="001F3FFC">
              <w:rPr>
                <w:rFonts w:eastAsia="Times New Roman"/>
                <w:sz w:val="20"/>
                <w:szCs w:val="20"/>
                <w:bdr w:val="none" w:sz="0" w:space="0" w:color="auto"/>
                <w:lang w:val="en-NZ" w:eastAsia="en-NZ"/>
              </w:rPr>
              <w:t>)</w:t>
            </w:r>
          </w:p>
        </w:tc>
        <w:tc>
          <w:tcPr>
            <w:tcW w:w="3007"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009</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(0.009</w:t>
            </w:r>
            <w:r w:rsidRPr="001F3FFC">
              <w:rPr>
                <w:rFonts w:eastAsia="Times New Roman"/>
                <w:sz w:val="20"/>
                <w:szCs w:val="20"/>
                <w:bdr w:val="none" w:sz="0" w:space="0" w:color="auto"/>
                <w:lang w:val="en-NZ" w:eastAsia="en-NZ"/>
              </w:rPr>
              <w:t>)</w:t>
            </w:r>
          </w:p>
        </w:tc>
      </w:tr>
      <w:tr w:rsidR="00BA21D9" w:rsidRPr="0043730F" w:rsidTr="008D7DED">
        <w:trPr>
          <w:trHeight w:val="284"/>
          <w:jc w:val="center"/>
        </w:trPr>
        <w:tc>
          <w:tcPr>
            <w:tcW w:w="3006" w:type="dxa"/>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sidRPr="0099559F">
              <w:rPr>
                <w:rFonts w:eastAsia="Times New Roman"/>
                <w:color w:val="000000"/>
                <w:sz w:val="20"/>
                <w:szCs w:val="20"/>
                <w:bdr w:val="none" w:sz="0" w:space="0" w:color="auto"/>
                <w:lang w:val="en-NZ" w:eastAsia="en-NZ"/>
              </w:rPr>
              <w:t xml:space="preserve">Rotorua </w:t>
            </w:r>
            <w:r w:rsidR="008720EC">
              <w:rPr>
                <w:rFonts w:eastAsia="Times New Roman"/>
                <w:color w:val="000000"/>
                <w:sz w:val="20"/>
                <w:szCs w:val="20"/>
                <w:bdr w:val="none" w:sz="0" w:space="0" w:color="auto"/>
                <w:lang w:val="en-NZ" w:eastAsia="en-NZ"/>
              </w:rPr>
              <w:t xml:space="preserve">MoE </w:t>
            </w:r>
            <w:r w:rsidRPr="0099559F">
              <w:rPr>
                <w:rFonts w:eastAsia="Times New Roman"/>
                <w:color w:val="000000"/>
                <w:sz w:val="20"/>
                <w:szCs w:val="20"/>
                <w:bdr w:val="none" w:sz="0" w:space="0" w:color="auto"/>
                <w:lang w:val="en-NZ" w:eastAsia="en-NZ"/>
              </w:rPr>
              <w:t>office</w:t>
            </w:r>
          </w:p>
        </w:tc>
        <w:tc>
          <w:tcPr>
            <w:tcW w:w="3007"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011</w:t>
            </w:r>
            <w:r>
              <w:rPr>
                <w:color w:val="000000" w:themeColor="text1"/>
                <w:kern w:val="24"/>
                <w:sz w:val="20"/>
                <w:szCs w:val="20"/>
                <w:bdr w:val="none" w:sz="0" w:space="0" w:color="auto"/>
                <w:vertAlign w:val="superscript"/>
                <w:lang w:eastAsia="en-NZ"/>
              </w:rPr>
              <w:t>*</w:t>
            </w:r>
            <w:r w:rsidRPr="001F3FFC">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(0.005</w:t>
            </w:r>
            <w:r w:rsidRPr="001F3FFC">
              <w:rPr>
                <w:rFonts w:eastAsia="Times New Roman"/>
                <w:sz w:val="20"/>
                <w:szCs w:val="20"/>
                <w:bdr w:val="none" w:sz="0" w:space="0" w:color="auto"/>
                <w:lang w:val="en-NZ" w:eastAsia="en-NZ"/>
              </w:rPr>
              <w:t>)</w:t>
            </w:r>
          </w:p>
        </w:tc>
        <w:tc>
          <w:tcPr>
            <w:tcW w:w="3007"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032</w:t>
            </w:r>
            <w:r w:rsidRPr="001F3FFC">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(0.006</w:t>
            </w:r>
            <w:r w:rsidRPr="001F3FFC">
              <w:rPr>
                <w:rFonts w:eastAsia="Times New Roman"/>
                <w:sz w:val="20"/>
                <w:szCs w:val="20"/>
                <w:bdr w:val="none" w:sz="0" w:space="0" w:color="auto"/>
                <w:lang w:val="en-NZ" w:eastAsia="en-NZ"/>
              </w:rPr>
              <w:t>)</w:t>
            </w:r>
          </w:p>
        </w:tc>
      </w:tr>
      <w:tr w:rsidR="00BA21D9" w:rsidRPr="0043730F" w:rsidTr="008D7DED">
        <w:trPr>
          <w:trHeight w:val="284"/>
          <w:jc w:val="center"/>
        </w:trPr>
        <w:tc>
          <w:tcPr>
            <w:tcW w:w="3006" w:type="dxa"/>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sidRPr="0099559F">
              <w:rPr>
                <w:rFonts w:eastAsia="Times New Roman"/>
                <w:color w:val="000000"/>
                <w:sz w:val="20"/>
                <w:szCs w:val="20"/>
                <w:bdr w:val="none" w:sz="0" w:space="0" w:color="auto"/>
                <w:lang w:val="en-NZ" w:eastAsia="en-NZ"/>
              </w:rPr>
              <w:t xml:space="preserve">Wellington </w:t>
            </w:r>
            <w:r w:rsidR="008720EC">
              <w:rPr>
                <w:rFonts w:eastAsia="Times New Roman"/>
                <w:color w:val="000000"/>
                <w:sz w:val="20"/>
                <w:szCs w:val="20"/>
                <w:bdr w:val="none" w:sz="0" w:space="0" w:color="auto"/>
                <w:lang w:val="en-NZ" w:eastAsia="en-NZ"/>
              </w:rPr>
              <w:t xml:space="preserve">MoE </w:t>
            </w:r>
            <w:r w:rsidRPr="0099559F">
              <w:rPr>
                <w:rFonts w:eastAsia="Times New Roman"/>
                <w:color w:val="000000"/>
                <w:sz w:val="20"/>
                <w:szCs w:val="20"/>
                <w:bdr w:val="none" w:sz="0" w:space="0" w:color="auto"/>
                <w:lang w:val="en-NZ" w:eastAsia="en-NZ"/>
              </w:rPr>
              <w:t>office</w:t>
            </w:r>
          </w:p>
        </w:tc>
        <w:tc>
          <w:tcPr>
            <w:tcW w:w="3007"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016</w:t>
            </w:r>
            <w:r w:rsidRPr="001F3FFC">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(0.004</w:t>
            </w:r>
            <w:r w:rsidRPr="001F3FFC">
              <w:rPr>
                <w:rFonts w:eastAsia="Times New Roman"/>
                <w:sz w:val="20"/>
                <w:szCs w:val="20"/>
                <w:bdr w:val="none" w:sz="0" w:space="0" w:color="auto"/>
                <w:lang w:val="en-NZ" w:eastAsia="en-NZ"/>
              </w:rPr>
              <w:t>)</w:t>
            </w:r>
          </w:p>
        </w:tc>
        <w:tc>
          <w:tcPr>
            <w:tcW w:w="3007"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028</w:t>
            </w:r>
            <w:r w:rsidRPr="001F3FFC">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(0.005</w:t>
            </w:r>
            <w:r w:rsidRPr="001F3FFC">
              <w:rPr>
                <w:rFonts w:eastAsia="Times New Roman"/>
                <w:sz w:val="20"/>
                <w:szCs w:val="20"/>
                <w:bdr w:val="none" w:sz="0" w:space="0" w:color="auto"/>
                <w:lang w:val="en-NZ" w:eastAsia="en-NZ"/>
              </w:rPr>
              <w:t>)</w:t>
            </w:r>
          </w:p>
        </w:tc>
      </w:tr>
      <w:tr w:rsidR="00BA21D9" w:rsidRPr="0043730F" w:rsidTr="008D7DED">
        <w:trPr>
          <w:trHeight w:val="284"/>
          <w:jc w:val="center"/>
        </w:trPr>
        <w:tc>
          <w:tcPr>
            <w:tcW w:w="3006" w:type="dxa"/>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sidRPr="0099559F">
              <w:rPr>
                <w:rFonts w:eastAsia="Times New Roman"/>
                <w:color w:val="000000"/>
                <w:sz w:val="20"/>
                <w:szCs w:val="20"/>
                <w:bdr w:val="none" w:sz="0" w:space="0" w:color="auto"/>
                <w:lang w:val="en-NZ" w:eastAsia="en-NZ"/>
              </w:rPr>
              <w:t xml:space="preserve">Whanganui </w:t>
            </w:r>
            <w:r w:rsidR="008720EC">
              <w:rPr>
                <w:rFonts w:eastAsia="Times New Roman"/>
                <w:color w:val="000000"/>
                <w:sz w:val="20"/>
                <w:szCs w:val="20"/>
                <w:bdr w:val="none" w:sz="0" w:space="0" w:color="auto"/>
                <w:lang w:val="en-NZ" w:eastAsia="en-NZ"/>
              </w:rPr>
              <w:t xml:space="preserve">MoE </w:t>
            </w:r>
            <w:r w:rsidRPr="0099559F">
              <w:rPr>
                <w:rFonts w:eastAsia="Times New Roman"/>
                <w:color w:val="000000"/>
                <w:sz w:val="20"/>
                <w:szCs w:val="20"/>
                <w:bdr w:val="none" w:sz="0" w:space="0" w:color="auto"/>
                <w:lang w:val="en-NZ" w:eastAsia="en-NZ"/>
              </w:rPr>
              <w:t>office</w:t>
            </w:r>
          </w:p>
        </w:tc>
        <w:tc>
          <w:tcPr>
            <w:tcW w:w="3007" w:type="dxa"/>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016</w:t>
            </w:r>
            <w:r w:rsidRPr="001F3FFC">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(0.005</w:t>
            </w:r>
            <w:r w:rsidRPr="001F3FFC">
              <w:rPr>
                <w:rFonts w:eastAsia="Times New Roman"/>
                <w:sz w:val="20"/>
                <w:szCs w:val="20"/>
                <w:bdr w:val="none" w:sz="0" w:space="0" w:color="auto"/>
                <w:lang w:val="en-NZ" w:eastAsia="en-NZ"/>
              </w:rPr>
              <w:t>)</w:t>
            </w:r>
          </w:p>
        </w:tc>
        <w:tc>
          <w:tcPr>
            <w:tcW w:w="3007" w:type="dxa"/>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016</w:t>
            </w:r>
            <w:r>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(0.007</w:t>
            </w:r>
            <w:r w:rsidRPr="001F3FFC">
              <w:rPr>
                <w:rFonts w:eastAsia="Times New Roman"/>
                <w:sz w:val="20"/>
                <w:szCs w:val="20"/>
                <w:bdr w:val="none" w:sz="0" w:space="0" w:color="auto"/>
                <w:lang w:val="en-NZ" w:eastAsia="en-NZ"/>
              </w:rPr>
              <w:t>)</w:t>
            </w:r>
          </w:p>
        </w:tc>
      </w:tr>
      <w:tr w:rsidR="00BA21D9" w:rsidRPr="0043730F" w:rsidTr="008D7DED">
        <w:trPr>
          <w:trHeight w:val="284"/>
          <w:jc w:val="center"/>
        </w:trPr>
        <w:tc>
          <w:tcPr>
            <w:tcW w:w="3006" w:type="dxa"/>
            <w:tcBorders>
              <w:bottom w:val="single" w:sz="4" w:space="0" w:color="auto"/>
            </w:tcBorders>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eastAsia="en-NZ"/>
              </w:rPr>
            </w:pPr>
            <w:r w:rsidRPr="0099559F">
              <w:rPr>
                <w:rFonts w:eastAsia="Times New Roman"/>
                <w:color w:val="000000"/>
                <w:sz w:val="20"/>
                <w:szCs w:val="20"/>
                <w:bdr w:val="none" w:sz="0" w:space="0" w:color="auto"/>
                <w:lang w:val="en-NZ" w:eastAsia="en-NZ"/>
              </w:rPr>
              <w:t xml:space="preserve">Whangarei </w:t>
            </w:r>
            <w:r w:rsidR="008720EC">
              <w:rPr>
                <w:rFonts w:eastAsia="Times New Roman"/>
                <w:color w:val="000000"/>
                <w:sz w:val="20"/>
                <w:szCs w:val="20"/>
                <w:bdr w:val="none" w:sz="0" w:space="0" w:color="auto"/>
                <w:lang w:val="en-NZ" w:eastAsia="en-NZ"/>
              </w:rPr>
              <w:t xml:space="preserve">MoE </w:t>
            </w:r>
            <w:r w:rsidRPr="0099559F">
              <w:rPr>
                <w:rFonts w:eastAsia="Times New Roman"/>
                <w:color w:val="000000"/>
                <w:sz w:val="20"/>
                <w:szCs w:val="20"/>
                <w:bdr w:val="none" w:sz="0" w:space="0" w:color="auto"/>
                <w:lang w:val="en-NZ" w:eastAsia="en-NZ"/>
              </w:rPr>
              <w:t>office</w:t>
            </w:r>
          </w:p>
        </w:tc>
        <w:tc>
          <w:tcPr>
            <w:tcW w:w="3007" w:type="dxa"/>
            <w:tcBorders>
              <w:bottom w:val="single" w:sz="4" w:space="0" w:color="auto"/>
            </w:tcBorders>
            <w:shd w:val="clear" w:color="auto" w:fill="auto"/>
            <w:tcMar>
              <w:top w:w="28" w:type="dxa"/>
              <w:left w:w="108" w:type="dxa"/>
              <w:bottom w:w="28" w:type="dxa"/>
              <w:right w:w="108" w:type="dxa"/>
            </w:tcMar>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003</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(0.006</w:t>
            </w:r>
            <w:r w:rsidRPr="001F3FFC">
              <w:rPr>
                <w:rFonts w:eastAsia="Times New Roman"/>
                <w:sz w:val="20"/>
                <w:szCs w:val="20"/>
                <w:bdr w:val="none" w:sz="0" w:space="0" w:color="auto"/>
                <w:lang w:val="en-NZ" w:eastAsia="en-NZ"/>
              </w:rPr>
              <w:t>)</w:t>
            </w:r>
          </w:p>
        </w:tc>
        <w:tc>
          <w:tcPr>
            <w:tcW w:w="3007" w:type="dxa"/>
            <w:tcBorders>
              <w:bottom w:val="single" w:sz="4" w:space="0" w:color="auto"/>
            </w:tcBorders>
            <w:shd w:val="clear" w:color="auto" w:fill="auto"/>
            <w:vAlign w:val="cente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color w:val="000000" w:themeColor="text1"/>
                <w:kern w:val="24"/>
                <w:sz w:val="20"/>
                <w:szCs w:val="20"/>
                <w:bdr w:val="none" w:sz="0" w:space="0" w:color="auto"/>
                <w:lang w:eastAsia="en-NZ"/>
              </w:rPr>
              <w:t xml:space="preserve"> </w:t>
            </w:r>
            <w:r w:rsidRPr="004F4C26">
              <w:rPr>
                <w:color w:val="000000" w:themeColor="text1"/>
                <w:kern w:val="24"/>
                <w:sz w:val="20"/>
                <w:szCs w:val="20"/>
                <w:bdr w:val="none" w:sz="0" w:space="0" w:color="auto"/>
                <w:lang w:eastAsia="en-NZ"/>
              </w:rPr>
              <w:t>0.</w:t>
            </w:r>
            <w:r>
              <w:rPr>
                <w:color w:val="000000" w:themeColor="text1"/>
                <w:kern w:val="24"/>
                <w:sz w:val="20"/>
                <w:szCs w:val="20"/>
                <w:bdr w:val="none" w:sz="0" w:space="0" w:color="auto"/>
                <w:lang w:eastAsia="en-NZ"/>
              </w:rPr>
              <w:t>015</w:t>
            </w:r>
            <w:r>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rFonts w:eastAsia="Times New Roman"/>
                <w:sz w:val="20"/>
                <w:szCs w:val="20"/>
                <w:bdr w:val="none" w:sz="0" w:space="0" w:color="auto"/>
                <w:lang w:val="en-NZ" w:eastAsia="en-NZ"/>
              </w:rPr>
              <w:t>(0.008</w:t>
            </w:r>
            <w:r w:rsidRPr="001F3FFC">
              <w:rPr>
                <w:rFonts w:eastAsia="Times New Roman"/>
                <w:sz w:val="20"/>
                <w:szCs w:val="20"/>
                <w:bdr w:val="none" w:sz="0" w:space="0" w:color="auto"/>
                <w:lang w:val="en-NZ" w:eastAsia="en-NZ"/>
              </w:rPr>
              <w:t>)</w:t>
            </w:r>
          </w:p>
        </w:tc>
      </w:tr>
      <w:tr w:rsidR="00BA21D9" w:rsidRPr="0043730F" w:rsidTr="008D7DED">
        <w:trPr>
          <w:trHeight w:val="284"/>
          <w:jc w:val="center"/>
        </w:trPr>
        <w:tc>
          <w:tcPr>
            <w:tcW w:w="3006" w:type="dxa"/>
            <w:tcBorders>
              <w:bottom w:val="single" w:sz="4" w:space="0" w:color="auto"/>
            </w:tcBorders>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lang w:val="en-NZ" w:eastAsia="en-NZ"/>
              </w:rPr>
            </w:pPr>
            <w:r>
              <w:rPr>
                <w:rFonts w:eastAsia="Times New Roman"/>
                <w:color w:val="000000"/>
                <w:sz w:val="20"/>
                <w:szCs w:val="20"/>
                <w:bdr w:val="none" w:sz="0" w:space="0" w:color="auto"/>
                <w:lang w:val="en-NZ" w:eastAsia="en-NZ"/>
              </w:rPr>
              <w:t>Decile 2 school at age 14</w:t>
            </w:r>
          </w:p>
        </w:tc>
        <w:tc>
          <w:tcPr>
            <w:tcW w:w="3007" w:type="dxa"/>
            <w:tcBorders>
              <w:bottom w:val="single" w:sz="4" w:space="0" w:color="auto"/>
            </w:tcBorders>
            <w:shd w:val="clear" w:color="auto" w:fill="auto"/>
            <w:tcMar>
              <w:top w:w="28" w:type="dxa"/>
              <w:left w:w="108" w:type="dxa"/>
              <w:bottom w:w="28" w:type="dxa"/>
              <w:right w:w="108" w:type="dxa"/>
            </w:tcMar>
            <w:vAlign w:val="cente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 xml:space="preserve">  -0.013</w:t>
            </w:r>
            <w:r>
              <w:rPr>
                <w:color w:val="000000" w:themeColor="text1"/>
                <w:kern w:val="24"/>
                <w:sz w:val="20"/>
                <w:szCs w:val="20"/>
                <w:bdr w:val="none" w:sz="0" w:space="0" w:color="auto"/>
                <w:vertAlign w:val="superscript"/>
                <w:lang w:eastAsia="en-NZ"/>
              </w:rPr>
              <w:t>*</w:t>
            </w:r>
            <w:r w:rsidRPr="001F3FFC">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(0.006)</w:t>
            </w:r>
          </w:p>
        </w:tc>
        <w:tc>
          <w:tcPr>
            <w:tcW w:w="3007" w:type="dxa"/>
            <w:tcBorders>
              <w:bottom w:val="single" w:sz="4" w:space="0" w:color="auto"/>
            </w:tcBorders>
            <w:shd w:val="clear" w:color="auto" w:fill="auto"/>
            <w:vAlign w:val="cente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 xml:space="preserve">   -0.023</w:t>
            </w:r>
            <w:r w:rsidRPr="001F3FFC">
              <w:rPr>
                <w:color w:val="000000" w:themeColor="text1"/>
                <w:kern w:val="24"/>
                <w:sz w:val="20"/>
                <w:szCs w:val="20"/>
                <w:bdr w:val="none" w:sz="0" w:space="0" w:color="auto"/>
                <w:vertAlign w:val="superscript"/>
                <w:lang w:eastAsia="en-NZ"/>
              </w:rPr>
              <w:t>*</w:t>
            </w:r>
            <w:r>
              <w:rPr>
                <w:color w:val="000000" w:themeColor="text1"/>
                <w:kern w:val="24"/>
                <w:sz w:val="20"/>
                <w:szCs w:val="20"/>
                <w:bdr w:val="none" w:sz="0" w:space="0" w:color="auto"/>
                <w:vertAlign w:val="superscript"/>
                <w:lang w:eastAsia="en-NZ"/>
              </w:rPr>
              <w:t>*</w:t>
            </w:r>
            <w:r w:rsidRPr="001F3FFC">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(0.009)</w:t>
            </w:r>
          </w:p>
        </w:tc>
      </w:tr>
      <w:tr w:rsidR="00BA21D9" w:rsidRPr="0043730F" w:rsidTr="008D7DED">
        <w:trPr>
          <w:trHeight w:val="284"/>
          <w:jc w:val="center"/>
        </w:trPr>
        <w:tc>
          <w:tcPr>
            <w:tcW w:w="3006" w:type="dxa"/>
            <w:tcBorders>
              <w:bottom w:val="single" w:sz="4" w:space="0" w:color="auto"/>
            </w:tcBorders>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lang w:val="en-NZ" w:eastAsia="en-NZ"/>
              </w:rPr>
            </w:pPr>
            <w:r w:rsidRPr="00012C33">
              <w:rPr>
                <w:rFonts w:eastAsia="Times New Roman"/>
                <w:color w:val="000000"/>
                <w:sz w:val="20"/>
                <w:szCs w:val="20"/>
                <w:bdr w:val="none" w:sz="0" w:space="0" w:color="auto"/>
                <w:lang w:val="en-NZ" w:eastAsia="en-NZ"/>
              </w:rPr>
              <w:t xml:space="preserve">Decile </w:t>
            </w:r>
            <w:r>
              <w:rPr>
                <w:rFonts w:eastAsia="Times New Roman"/>
                <w:color w:val="000000"/>
                <w:sz w:val="20"/>
                <w:szCs w:val="20"/>
                <w:bdr w:val="none" w:sz="0" w:space="0" w:color="auto"/>
                <w:lang w:val="en-NZ" w:eastAsia="en-NZ"/>
              </w:rPr>
              <w:t>3</w:t>
            </w:r>
            <w:r w:rsidRPr="00012C33">
              <w:rPr>
                <w:rFonts w:eastAsia="Times New Roman"/>
                <w:color w:val="000000"/>
                <w:sz w:val="20"/>
                <w:szCs w:val="20"/>
                <w:bdr w:val="none" w:sz="0" w:space="0" w:color="auto"/>
                <w:lang w:val="en-NZ" w:eastAsia="en-NZ"/>
              </w:rPr>
              <w:t xml:space="preserve"> school at age 14</w:t>
            </w:r>
          </w:p>
        </w:tc>
        <w:tc>
          <w:tcPr>
            <w:tcW w:w="3007" w:type="dxa"/>
            <w:tcBorders>
              <w:bottom w:val="single" w:sz="4" w:space="0" w:color="auto"/>
            </w:tcBorders>
            <w:shd w:val="clear" w:color="auto" w:fill="auto"/>
            <w:tcMar>
              <w:top w:w="28" w:type="dxa"/>
              <w:left w:w="108" w:type="dxa"/>
              <w:bottom w:w="28" w:type="dxa"/>
              <w:right w:w="108" w:type="dxa"/>
            </w:tcMar>
            <w:vAlign w:val="cente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-0.004</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(0.006)</w:t>
            </w:r>
          </w:p>
        </w:tc>
        <w:tc>
          <w:tcPr>
            <w:tcW w:w="3007" w:type="dxa"/>
            <w:tcBorders>
              <w:bottom w:val="single" w:sz="4" w:space="0" w:color="auto"/>
            </w:tcBorders>
            <w:shd w:val="clear" w:color="auto" w:fill="auto"/>
            <w:vAlign w:val="cente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-0.010</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(0.008)</w:t>
            </w:r>
          </w:p>
        </w:tc>
      </w:tr>
      <w:tr w:rsidR="00BA21D9" w:rsidRPr="0043730F" w:rsidTr="008D7DED">
        <w:trPr>
          <w:trHeight w:val="284"/>
          <w:jc w:val="center"/>
        </w:trPr>
        <w:tc>
          <w:tcPr>
            <w:tcW w:w="3006" w:type="dxa"/>
            <w:tcBorders>
              <w:bottom w:val="single" w:sz="4" w:space="0" w:color="auto"/>
            </w:tcBorders>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lang w:val="en-NZ" w:eastAsia="en-NZ"/>
              </w:rPr>
            </w:pPr>
            <w:r w:rsidRPr="00012C33">
              <w:rPr>
                <w:rFonts w:eastAsia="Times New Roman"/>
                <w:color w:val="000000"/>
                <w:sz w:val="20"/>
                <w:szCs w:val="20"/>
                <w:bdr w:val="none" w:sz="0" w:space="0" w:color="auto"/>
                <w:lang w:val="en-NZ" w:eastAsia="en-NZ"/>
              </w:rPr>
              <w:t xml:space="preserve">Decile </w:t>
            </w:r>
            <w:r>
              <w:rPr>
                <w:rFonts w:eastAsia="Times New Roman"/>
                <w:color w:val="000000"/>
                <w:sz w:val="20"/>
                <w:szCs w:val="20"/>
                <w:bdr w:val="none" w:sz="0" w:space="0" w:color="auto"/>
                <w:lang w:val="en-NZ" w:eastAsia="en-NZ"/>
              </w:rPr>
              <w:t>4</w:t>
            </w:r>
            <w:r w:rsidRPr="00012C33">
              <w:rPr>
                <w:rFonts w:eastAsia="Times New Roman"/>
                <w:color w:val="000000"/>
                <w:sz w:val="20"/>
                <w:szCs w:val="20"/>
                <w:bdr w:val="none" w:sz="0" w:space="0" w:color="auto"/>
                <w:lang w:val="en-NZ" w:eastAsia="en-NZ"/>
              </w:rPr>
              <w:t xml:space="preserve"> school at age 14</w:t>
            </w:r>
          </w:p>
        </w:tc>
        <w:tc>
          <w:tcPr>
            <w:tcW w:w="3007" w:type="dxa"/>
            <w:tcBorders>
              <w:bottom w:val="single" w:sz="4" w:space="0" w:color="auto"/>
            </w:tcBorders>
            <w:shd w:val="clear" w:color="auto" w:fill="auto"/>
            <w:tcMar>
              <w:top w:w="28" w:type="dxa"/>
              <w:left w:w="108" w:type="dxa"/>
              <w:bottom w:w="28" w:type="dxa"/>
              <w:right w:w="108" w:type="dxa"/>
            </w:tcMar>
            <w:vAlign w:val="cente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 xml:space="preserve">   0.101</w:t>
            </w:r>
            <w:r w:rsidRPr="001F3FFC">
              <w:rPr>
                <w:color w:val="000000" w:themeColor="text1"/>
                <w:kern w:val="24"/>
                <w:sz w:val="20"/>
                <w:szCs w:val="20"/>
                <w:bdr w:val="none" w:sz="0" w:space="0" w:color="auto"/>
                <w:vertAlign w:val="superscript"/>
                <w:lang w:eastAsia="en-NZ"/>
              </w:rPr>
              <w:t>*</w:t>
            </w:r>
            <w:r>
              <w:rPr>
                <w:color w:val="000000" w:themeColor="text1"/>
                <w:kern w:val="24"/>
                <w:sz w:val="20"/>
                <w:szCs w:val="20"/>
                <w:bdr w:val="none" w:sz="0" w:space="0" w:color="auto"/>
                <w:vertAlign w:val="superscript"/>
                <w:lang w:eastAsia="en-NZ"/>
              </w:rPr>
              <w:t>*</w:t>
            </w:r>
            <w:r w:rsidRPr="001F3FFC">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(0.005)</w:t>
            </w:r>
          </w:p>
        </w:tc>
        <w:tc>
          <w:tcPr>
            <w:tcW w:w="3007" w:type="dxa"/>
            <w:tcBorders>
              <w:bottom w:val="single" w:sz="4" w:space="0" w:color="auto"/>
            </w:tcBorders>
            <w:shd w:val="clear" w:color="auto" w:fill="auto"/>
            <w:vAlign w:val="cente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 xml:space="preserve">   0.174</w:t>
            </w:r>
            <w:r w:rsidRPr="001F3FFC">
              <w:rPr>
                <w:color w:val="000000" w:themeColor="text1"/>
                <w:kern w:val="24"/>
                <w:sz w:val="20"/>
                <w:szCs w:val="20"/>
                <w:bdr w:val="none" w:sz="0" w:space="0" w:color="auto"/>
                <w:vertAlign w:val="superscript"/>
                <w:lang w:eastAsia="en-NZ"/>
              </w:rPr>
              <w:t>*</w:t>
            </w:r>
            <w:r>
              <w:rPr>
                <w:color w:val="000000" w:themeColor="text1"/>
                <w:kern w:val="24"/>
                <w:sz w:val="20"/>
                <w:szCs w:val="20"/>
                <w:bdr w:val="none" w:sz="0" w:space="0" w:color="auto"/>
                <w:vertAlign w:val="superscript"/>
                <w:lang w:eastAsia="en-NZ"/>
              </w:rPr>
              <w:t>*</w:t>
            </w:r>
            <w:r w:rsidRPr="001F3FFC">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(0.011)</w:t>
            </w:r>
          </w:p>
        </w:tc>
      </w:tr>
      <w:tr w:rsidR="00BA21D9" w:rsidRPr="0043730F" w:rsidTr="008D7DED">
        <w:trPr>
          <w:trHeight w:val="284"/>
          <w:jc w:val="center"/>
        </w:trPr>
        <w:tc>
          <w:tcPr>
            <w:tcW w:w="3006" w:type="dxa"/>
            <w:tcBorders>
              <w:bottom w:val="single" w:sz="4" w:space="0" w:color="auto"/>
            </w:tcBorders>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lang w:val="en-NZ" w:eastAsia="en-NZ"/>
              </w:rPr>
            </w:pPr>
            <w:r w:rsidRPr="00012C33">
              <w:rPr>
                <w:rFonts w:eastAsia="Times New Roman"/>
                <w:color w:val="000000"/>
                <w:sz w:val="20"/>
                <w:szCs w:val="20"/>
                <w:bdr w:val="none" w:sz="0" w:space="0" w:color="auto"/>
                <w:lang w:val="en-NZ" w:eastAsia="en-NZ"/>
              </w:rPr>
              <w:t xml:space="preserve">Decile </w:t>
            </w:r>
            <w:r>
              <w:rPr>
                <w:rFonts w:eastAsia="Times New Roman"/>
                <w:color w:val="000000"/>
                <w:sz w:val="20"/>
                <w:szCs w:val="20"/>
                <w:bdr w:val="none" w:sz="0" w:space="0" w:color="auto"/>
                <w:lang w:val="en-NZ" w:eastAsia="en-NZ"/>
              </w:rPr>
              <w:t>5</w:t>
            </w:r>
            <w:r w:rsidRPr="00012C33">
              <w:rPr>
                <w:rFonts w:eastAsia="Times New Roman"/>
                <w:color w:val="000000"/>
                <w:sz w:val="20"/>
                <w:szCs w:val="20"/>
                <w:bdr w:val="none" w:sz="0" w:space="0" w:color="auto"/>
                <w:lang w:val="en-NZ" w:eastAsia="en-NZ"/>
              </w:rPr>
              <w:t xml:space="preserve"> school at age 14</w:t>
            </w:r>
          </w:p>
        </w:tc>
        <w:tc>
          <w:tcPr>
            <w:tcW w:w="3007" w:type="dxa"/>
            <w:tcBorders>
              <w:bottom w:val="single" w:sz="4" w:space="0" w:color="auto"/>
            </w:tcBorders>
            <w:shd w:val="clear" w:color="auto" w:fill="auto"/>
            <w:tcMar>
              <w:top w:w="28" w:type="dxa"/>
              <w:left w:w="108" w:type="dxa"/>
              <w:bottom w:w="28" w:type="dxa"/>
              <w:right w:w="108" w:type="dxa"/>
            </w:tcMar>
            <w:vAlign w:val="cente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 xml:space="preserve">   0.106</w:t>
            </w:r>
            <w:r w:rsidRPr="001F3FFC">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(0.005)</w:t>
            </w:r>
          </w:p>
        </w:tc>
        <w:tc>
          <w:tcPr>
            <w:tcW w:w="3007" w:type="dxa"/>
            <w:tcBorders>
              <w:bottom w:val="single" w:sz="4" w:space="0" w:color="auto"/>
            </w:tcBorders>
            <w:shd w:val="clear" w:color="auto" w:fill="auto"/>
            <w:vAlign w:val="cente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 xml:space="preserve">   0.182</w:t>
            </w:r>
            <w:r w:rsidRPr="001F3FFC">
              <w:rPr>
                <w:color w:val="000000" w:themeColor="text1"/>
                <w:kern w:val="24"/>
                <w:sz w:val="20"/>
                <w:szCs w:val="20"/>
                <w:bdr w:val="none" w:sz="0" w:space="0" w:color="auto"/>
                <w:vertAlign w:val="superscript"/>
                <w:lang w:eastAsia="en-NZ"/>
              </w:rPr>
              <w:t>*</w:t>
            </w:r>
            <w:r>
              <w:rPr>
                <w:color w:val="000000" w:themeColor="text1"/>
                <w:kern w:val="24"/>
                <w:sz w:val="20"/>
                <w:szCs w:val="20"/>
                <w:bdr w:val="none" w:sz="0" w:space="0" w:color="auto"/>
                <w:vertAlign w:val="superscript"/>
                <w:lang w:eastAsia="en-NZ"/>
              </w:rPr>
              <w:t>*</w:t>
            </w:r>
            <w:r w:rsidRPr="001F3FFC">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(0.012)</w:t>
            </w:r>
          </w:p>
        </w:tc>
      </w:tr>
      <w:tr w:rsidR="00BA21D9" w:rsidRPr="0043730F" w:rsidTr="008D7DED">
        <w:trPr>
          <w:trHeight w:val="284"/>
          <w:jc w:val="center"/>
        </w:trPr>
        <w:tc>
          <w:tcPr>
            <w:tcW w:w="3006" w:type="dxa"/>
            <w:tcBorders>
              <w:bottom w:val="single" w:sz="4" w:space="0" w:color="auto"/>
            </w:tcBorders>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lang w:val="en-NZ" w:eastAsia="en-NZ"/>
              </w:rPr>
            </w:pPr>
            <w:r w:rsidRPr="00012C33">
              <w:rPr>
                <w:rFonts w:eastAsia="Times New Roman"/>
                <w:color w:val="000000"/>
                <w:sz w:val="20"/>
                <w:szCs w:val="20"/>
                <w:bdr w:val="none" w:sz="0" w:space="0" w:color="auto"/>
                <w:lang w:val="en-NZ" w:eastAsia="en-NZ"/>
              </w:rPr>
              <w:t xml:space="preserve">Decile </w:t>
            </w:r>
            <w:r>
              <w:rPr>
                <w:rFonts w:eastAsia="Times New Roman"/>
                <w:color w:val="000000"/>
                <w:sz w:val="20"/>
                <w:szCs w:val="20"/>
                <w:bdr w:val="none" w:sz="0" w:space="0" w:color="auto"/>
                <w:lang w:val="en-NZ" w:eastAsia="en-NZ"/>
              </w:rPr>
              <w:t>6</w:t>
            </w:r>
            <w:r w:rsidRPr="00012C33">
              <w:rPr>
                <w:rFonts w:eastAsia="Times New Roman"/>
                <w:color w:val="000000"/>
                <w:sz w:val="20"/>
                <w:szCs w:val="20"/>
                <w:bdr w:val="none" w:sz="0" w:space="0" w:color="auto"/>
                <w:lang w:val="en-NZ" w:eastAsia="en-NZ"/>
              </w:rPr>
              <w:t xml:space="preserve"> school at age 14</w:t>
            </w:r>
          </w:p>
        </w:tc>
        <w:tc>
          <w:tcPr>
            <w:tcW w:w="3007" w:type="dxa"/>
            <w:tcBorders>
              <w:bottom w:val="single" w:sz="4" w:space="0" w:color="auto"/>
            </w:tcBorders>
            <w:shd w:val="clear" w:color="auto" w:fill="auto"/>
            <w:tcMar>
              <w:top w:w="28" w:type="dxa"/>
              <w:left w:w="108" w:type="dxa"/>
              <w:bottom w:w="28" w:type="dxa"/>
              <w:right w:w="108" w:type="dxa"/>
            </w:tcMar>
            <w:vAlign w:val="cente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 xml:space="preserve">   0.112</w:t>
            </w:r>
            <w:r w:rsidRPr="001F3FFC">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(0.005)</w:t>
            </w:r>
          </w:p>
        </w:tc>
        <w:tc>
          <w:tcPr>
            <w:tcW w:w="3007" w:type="dxa"/>
            <w:tcBorders>
              <w:bottom w:val="single" w:sz="4" w:space="0" w:color="auto"/>
            </w:tcBorders>
            <w:shd w:val="clear" w:color="auto" w:fill="auto"/>
            <w:vAlign w:val="cente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 xml:space="preserve">   0.190</w:t>
            </w:r>
            <w:r w:rsidRPr="001F3FFC">
              <w:rPr>
                <w:color w:val="000000" w:themeColor="text1"/>
                <w:kern w:val="24"/>
                <w:sz w:val="20"/>
                <w:szCs w:val="20"/>
                <w:bdr w:val="none" w:sz="0" w:space="0" w:color="auto"/>
                <w:vertAlign w:val="superscript"/>
                <w:lang w:eastAsia="en-NZ"/>
              </w:rPr>
              <w:t>*</w:t>
            </w:r>
            <w:r>
              <w:rPr>
                <w:color w:val="000000" w:themeColor="text1"/>
                <w:kern w:val="24"/>
                <w:sz w:val="20"/>
                <w:szCs w:val="20"/>
                <w:bdr w:val="none" w:sz="0" w:space="0" w:color="auto"/>
                <w:vertAlign w:val="superscript"/>
                <w:lang w:eastAsia="en-NZ"/>
              </w:rPr>
              <w:t>*</w:t>
            </w:r>
            <w:r w:rsidRPr="001F3FFC">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(0.012)</w:t>
            </w:r>
          </w:p>
        </w:tc>
      </w:tr>
      <w:tr w:rsidR="00BA21D9" w:rsidRPr="0043730F" w:rsidTr="008D7DED">
        <w:trPr>
          <w:trHeight w:val="284"/>
          <w:jc w:val="center"/>
        </w:trPr>
        <w:tc>
          <w:tcPr>
            <w:tcW w:w="3006" w:type="dxa"/>
            <w:tcBorders>
              <w:bottom w:val="single" w:sz="4" w:space="0" w:color="auto"/>
            </w:tcBorders>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lang w:val="en-NZ" w:eastAsia="en-NZ"/>
              </w:rPr>
            </w:pPr>
            <w:r w:rsidRPr="00012C33">
              <w:rPr>
                <w:rFonts w:eastAsia="Times New Roman"/>
                <w:color w:val="000000"/>
                <w:sz w:val="20"/>
                <w:szCs w:val="20"/>
                <w:bdr w:val="none" w:sz="0" w:space="0" w:color="auto"/>
                <w:lang w:val="en-NZ" w:eastAsia="en-NZ"/>
              </w:rPr>
              <w:t xml:space="preserve">Decile </w:t>
            </w:r>
            <w:r>
              <w:rPr>
                <w:rFonts w:eastAsia="Times New Roman"/>
                <w:color w:val="000000"/>
                <w:sz w:val="20"/>
                <w:szCs w:val="20"/>
                <w:bdr w:val="none" w:sz="0" w:space="0" w:color="auto"/>
                <w:lang w:val="en-NZ" w:eastAsia="en-NZ"/>
              </w:rPr>
              <w:t>7</w:t>
            </w:r>
            <w:r w:rsidRPr="00012C33">
              <w:rPr>
                <w:rFonts w:eastAsia="Times New Roman"/>
                <w:color w:val="000000"/>
                <w:sz w:val="20"/>
                <w:szCs w:val="20"/>
                <w:bdr w:val="none" w:sz="0" w:space="0" w:color="auto"/>
                <w:lang w:val="en-NZ" w:eastAsia="en-NZ"/>
              </w:rPr>
              <w:t xml:space="preserve"> school at age 14</w:t>
            </w:r>
          </w:p>
        </w:tc>
        <w:tc>
          <w:tcPr>
            <w:tcW w:w="3007" w:type="dxa"/>
            <w:tcBorders>
              <w:bottom w:val="single" w:sz="4" w:space="0" w:color="auto"/>
            </w:tcBorders>
            <w:shd w:val="clear" w:color="auto" w:fill="auto"/>
            <w:tcMar>
              <w:top w:w="28" w:type="dxa"/>
              <w:left w:w="108" w:type="dxa"/>
              <w:bottom w:w="28" w:type="dxa"/>
              <w:right w:w="108" w:type="dxa"/>
            </w:tcMar>
            <w:vAlign w:val="cente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 xml:space="preserve">   0.111</w:t>
            </w:r>
            <w:r w:rsidRPr="001F3FFC">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(0.004)</w:t>
            </w:r>
          </w:p>
        </w:tc>
        <w:tc>
          <w:tcPr>
            <w:tcW w:w="3007" w:type="dxa"/>
            <w:tcBorders>
              <w:bottom w:val="single" w:sz="4" w:space="0" w:color="auto"/>
            </w:tcBorders>
            <w:shd w:val="clear" w:color="auto" w:fill="auto"/>
            <w:vAlign w:val="cente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 xml:space="preserve">   0.194</w:t>
            </w:r>
            <w:r w:rsidRPr="001F3FFC">
              <w:rPr>
                <w:color w:val="000000" w:themeColor="text1"/>
                <w:kern w:val="24"/>
                <w:sz w:val="20"/>
                <w:szCs w:val="20"/>
                <w:bdr w:val="none" w:sz="0" w:space="0" w:color="auto"/>
                <w:vertAlign w:val="superscript"/>
                <w:lang w:eastAsia="en-NZ"/>
              </w:rPr>
              <w:t>*</w:t>
            </w:r>
            <w:r>
              <w:rPr>
                <w:color w:val="000000" w:themeColor="text1"/>
                <w:kern w:val="24"/>
                <w:sz w:val="20"/>
                <w:szCs w:val="20"/>
                <w:bdr w:val="none" w:sz="0" w:space="0" w:color="auto"/>
                <w:vertAlign w:val="superscript"/>
                <w:lang w:eastAsia="en-NZ"/>
              </w:rPr>
              <w:t>*</w:t>
            </w:r>
            <w:r w:rsidRPr="001F3FFC">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(0.009)</w:t>
            </w:r>
          </w:p>
        </w:tc>
      </w:tr>
      <w:tr w:rsidR="00BA21D9" w:rsidRPr="0043730F" w:rsidTr="008D7DED">
        <w:trPr>
          <w:trHeight w:val="284"/>
          <w:jc w:val="center"/>
        </w:trPr>
        <w:tc>
          <w:tcPr>
            <w:tcW w:w="3006" w:type="dxa"/>
            <w:tcBorders>
              <w:bottom w:val="single" w:sz="4" w:space="0" w:color="auto"/>
            </w:tcBorders>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lang w:val="en-NZ" w:eastAsia="en-NZ"/>
              </w:rPr>
            </w:pPr>
            <w:r w:rsidRPr="00012C33">
              <w:rPr>
                <w:rFonts w:eastAsia="Times New Roman"/>
                <w:color w:val="000000"/>
                <w:sz w:val="20"/>
                <w:szCs w:val="20"/>
                <w:bdr w:val="none" w:sz="0" w:space="0" w:color="auto"/>
                <w:lang w:val="en-NZ" w:eastAsia="en-NZ"/>
              </w:rPr>
              <w:t xml:space="preserve">Decile </w:t>
            </w:r>
            <w:r>
              <w:rPr>
                <w:rFonts w:eastAsia="Times New Roman"/>
                <w:color w:val="000000"/>
                <w:sz w:val="20"/>
                <w:szCs w:val="20"/>
                <w:bdr w:val="none" w:sz="0" w:space="0" w:color="auto"/>
                <w:lang w:val="en-NZ" w:eastAsia="en-NZ"/>
              </w:rPr>
              <w:t>8</w:t>
            </w:r>
            <w:r w:rsidRPr="00012C33">
              <w:rPr>
                <w:rFonts w:eastAsia="Times New Roman"/>
                <w:color w:val="000000"/>
                <w:sz w:val="20"/>
                <w:szCs w:val="20"/>
                <w:bdr w:val="none" w:sz="0" w:space="0" w:color="auto"/>
                <w:lang w:val="en-NZ" w:eastAsia="en-NZ"/>
              </w:rPr>
              <w:t xml:space="preserve"> school at age 14</w:t>
            </w:r>
          </w:p>
        </w:tc>
        <w:tc>
          <w:tcPr>
            <w:tcW w:w="3007" w:type="dxa"/>
            <w:tcBorders>
              <w:bottom w:val="single" w:sz="4" w:space="0" w:color="auto"/>
            </w:tcBorders>
            <w:shd w:val="clear" w:color="auto" w:fill="auto"/>
            <w:tcMar>
              <w:top w:w="28" w:type="dxa"/>
              <w:left w:w="108" w:type="dxa"/>
              <w:bottom w:w="28" w:type="dxa"/>
              <w:right w:w="108" w:type="dxa"/>
            </w:tcMar>
            <w:vAlign w:val="cente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 xml:space="preserve">   0.114</w:t>
            </w:r>
            <w:r w:rsidRPr="001F3FFC">
              <w:rPr>
                <w:color w:val="000000" w:themeColor="text1"/>
                <w:kern w:val="24"/>
                <w:sz w:val="20"/>
                <w:szCs w:val="20"/>
                <w:bdr w:val="none" w:sz="0" w:space="0" w:color="auto"/>
                <w:vertAlign w:val="superscript"/>
                <w:lang w:eastAsia="en-NZ"/>
              </w:rPr>
              <w:t>***</w:t>
            </w:r>
            <w:r>
              <w:rPr>
                <w:color w:val="000000" w:themeColor="text1"/>
                <w:kern w:val="24"/>
                <w:sz w:val="20"/>
                <w:szCs w:val="20"/>
                <w:bdr w:val="none" w:sz="0" w:space="0" w:color="auto"/>
                <w:lang w:eastAsia="en-NZ"/>
              </w:rPr>
              <w:br/>
              <w:t>(0.005)</w:t>
            </w:r>
          </w:p>
        </w:tc>
        <w:tc>
          <w:tcPr>
            <w:tcW w:w="3007" w:type="dxa"/>
            <w:tcBorders>
              <w:bottom w:val="single" w:sz="4" w:space="0" w:color="auto"/>
            </w:tcBorders>
            <w:shd w:val="clear" w:color="auto" w:fill="auto"/>
            <w:vAlign w:val="cente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 xml:space="preserve">   0.199</w:t>
            </w:r>
            <w:r w:rsidRPr="001F3FFC">
              <w:rPr>
                <w:color w:val="000000" w:themeColor="text1"/>
                <w:kern w:val="24"/>
                <w:sz w:val="20"/>
                <w:szCs w:val="20"/>
                <w:bdr w:val="none" w:sz="0" w:space="0" w:color="auto"/>
                <w:vertAlign w:val="superscript"/>
                <w:lang w:eastAsia="en-NZ"/>
              </w:rPr>
              <w:t>***</w:t>
            </w:r>
            <w:r>
              <w:rPr>
                <w:color w:val="000000" w:themeColor="text1"/>
                <w:kern w:val="24"/>
                <w:sz w:val="20"/>
                <w:szCs w:val="20"/>
                <w:bdr w:val="none" w:sz="0" w:space="0" w:color="auto"/>
                <w:lang w:eastAsia="en-NZ"/>
              </w:rPr>
              <w:br/>
              <w:t>(0.010)</w:t>
            </w:r>
          </w:p>
        </w:tc>
      </w:tr>
      <w:tr w:rsidR="00BA21D9" w:rsidRPr="0043730F" w:rsidTr="008D7DED">
        <w:trPr>
          <w:trHeight w:val="284"/>
          <w:jc w:val="center"/>
        </w:trPr>
        <w:tc>
          <w:tcPr>
            <w:tcW w:w="3006" w:type="dxa"/>
            <w:tcBorders>
              <w:bottom w:val="single" w:sz="4" w:space="0" w:color="auto"/>
            </w:tcBorders>
            <w:tcMar>
              <w:top w:w="28" w:type="dxa"/>
              <w:left w:w="108" w:type="dxa"/>
              <w:bottom w:w="28" w:type="dxa"/>
              <w:right w:w="108" w:type="dxa"/>
            </w:tcMar>
            <w:vAlign w:val="center"/>
          </w:tcPr>
          <w:p w:rsidR="00BA21D9" w:rsidRPr="0099559F"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lang w:val="en-NZ" w:eastAsia="en-NZ"/>
              </w:rPr>
            </w:pPr>
            <w:r w:rsidRPr="00012C33">
              <w:rPr>
                <w:rFonts w:eastAsia="Times New Roman"/>
                <w:color w:val="000000"/>
                <w:sz w:val="20"/>
                <w:szCs w:val="20"/>
                <w:bdr w:val="none" w:sz="0" w:space="0" w:color="auto"/>
                <w:lang w:val="en-NZ" w:eastAsia="en-NZ"/>
              </w:rPr>
              <w:t xml:space="preserve">Decile </w:t>
            </w:r>
            <w:r>
              <w:rPr>
                <w:rFonts w:eastAsia="Times New Roman"/>
                <w:color w:val="000000"/>
                <w:sz w:val="20"/>
                <w:szCs w:val="20"/>
                <w:bdr w:val="none" w:sz="0" w:space="0" w:color="auto"/>
                <w:lang w:val="en-NZ" w:eastAsia="en-NZ"/>
              </w:rPr>
              <w:t>9</w:t>
            </w:r>
            <w:r w:rsidRPr="00012C33">
              <w:rPr>
                <w:rFonts w:eastAsia="Times New Roman"/>
                <w:color w:val="000000"/>
                <w:sz w:val="20"/>
                <w:szCs w:val="20"/>
                <w:bdr w:val="none" w:sz="0" w:space="0" w:color="auto"/>
                <w:lang w:val="en-NZ" w:eastAsia="en-NZ"/>
              </w:rPr>
              <w:t xml:space="preserve"> school at age 14</w:t>
            </w:r>
          </w:p>
        </w:tc>
        <w:tc>
          <w:tcPr>
            <w:tcW w:w="3007" w:type="dxa"/>
            <w:tcBorders>
              <w:bottom w:val="single" w:sz="4" w:space="0" w:color="auto"/>
            </w:tcBorders>
            <w:shd w:val="clear" w:color="auto" w:fill="auto"/>
            <w:tcMar>
              <w:top w:w="28" w:type="dxa"/>
              <w:left w:w="108" w:type="dxa"/>
              <w:bottom w:w="28" w:type="dxa"/>
              <w:right w:w="108" w:type="dxa"/>
            </w:tcMar>
            <w:vAlign w:val="cente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 xml:space="preserve">   0.117</w:t>
            </w:r>
            <w:r>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(0.005)</w:t>
            </w:r>
          </w:p>
        </w:tc>
        <w:tc>
          <w:tcPr>
            <w:tcW w:w="3007" w:type="dxa"/>
            <w:tcBorders>
              <w:bottom w:val="single" w:sz="4" w:space="0" w:color="auto"/>
            </w:tcBorders>
            <w:shd w:val="clear" w:color="auto" w:fill="auto"/>
            <w:vAlign w:val="cente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 xml:space="preserve">   0.207</w:t>
            </w:r>
            <w:r>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(0.009)</w:t>
            </w:r>
          </w:p>
        </w:tc>
      </w:tr>
      <w:tr w:rsidR="00BA21D9" w:rsidRPr="0043730F" w:rsidTr="008D7DED">
        <w:trPr>
          <w:trHeight w:val="284"/>
          <w:jc w:val="center"/>
        </w:trPr>
        <w:tc>
          <w:tcPr>
            <w:tcW w:w="3006" w:type="dxa"/>
            <w:tcBorders>
              <w:top w:val="single" w:sz="4" w:space="0" w:color="auto"/>
              <w:bottom w:val="single" w:sz="8" w:space="0" w:color="auto"/>
            </w:tcBorders>
            <w:tcMar>
              <w:top w:w="28" w:type="dxa"/>
              <w:left w:w="108" w:type="dxa"/>
              <w:bottom w:w="28" w:type="dxa"/>
              <w:right w:w="108" w:type="dxa"/>
            </w:tcMar>
            <w:vAlign w:val="center"/>
          </w:tcPr>
          <w:p w:rsidR="00BA21D9" w:rsidRPr="002D1DB0"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lang w:eastAsia="en-NZ"/>
              </w:rPr>
            </w:pPr>
            <w:r w:rsidRPr="00012C33">
              <w:rPr>
                <w:rFonts w:eastAsia="Times New Roman"/>
                <w:color w:val="000000"/>
                <w:sz w:val="20"/>
                <w:szCs w:val="20"/>
                <w:bdr w:val="none" w:sz="0" w:space="0" w:color="auto"/>
                <w:lang w:val="en-NZ" w:eastAsia="en-NZ"/>
              </w:rPr>
              <w:t xml:space="preserve">Decile </w:t>
            </w:r>
            <w:r>
              <w:rPr>
                <w:rFonts w:eastAsia="Times New Roman"/>
                <w:color w:val="000000"/>
                <w:sz w:val="20"/>
                <w:szCs w:val="20"/>
                <w:bdr w:val="none" w:sz="0" w:space="0" w:color="auto"/>
                <w:lang w:val="en-NZ" w:eastAsia="en-NZ"/>
              </w:rPr>
              <w:t>10</w:t>
            </w:r>
            <w:r w:rsidRPr="00012C33">
              <w:rPr>
                <w:rFonts w:eastAsia="Times New Roman"/>
                <w:color w:val="000000"/>
                <w:sz w:val="20"/>
                <w:szCs w:val="20"/>
                <w:bdr w:val="none" w:sz="0" w:space="0" w:color="auto"/>
                <w:lang w:val="en-NZ" w:eastAsia="en-NZ"/>
              </w:rPr>
              <w:t xml:space="preserve"> school at age 14</w:t>
            </w:r>
          </w:p>
        </w:tc>
        <w:tc>
          <w:tcPr>
            <w:tcW w:w="3007" w:type="dxa"/>
            <w:tcBorders>
              <w:bottom w:val="single" w:sz="8" w:space="0" w:color="auto"/>
            </w:tcBorders>
            <w:shd w:val="clear" w:color="auto" w:fill="auto"/>
            <w:tcMar>
              <w:top w:w="28" w:type="dxa"/>
              <w:left w:w="108" w:type="dxa"/>
              <w:bottom w:w="28" w:type="dxa"/>
              <w:right w:w="108" w:type="dxa"/>
            </w:tcMar>
            <w:vAlign w:val="cente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 xml:space="preserve">   0.112</w:t>
            </w:r>
            <w:r w:rsidRPr="001F3FFC">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(0.006)</w:t>
            </w:r>
          </w:p>
        </w:tc>
        <w:tc>
          <w:tcPr>
            <w:tcW w:w="3007" w:type="dxa"/>
            <w:tcBorders>
              <w:bottom w:val="single" w:sz="8" w:space="0" w:color="auto"/>
            </w:tcBorders>
            <w:shd w:val="clear" w:color="auto" w:fill="auto"/>
            <w:vAlign w:val="cente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 xml:space="preserve">   0.191</w:t>
            </w:r>
            <w:r w:rsidRPr="001F3FFC">
              <w:rPr>
                <w:color w:val="000000" w:themeColor="text1"/>
                <w:kern w:val="24"/>
                <w:sz w:val="20"/>
                <w:szCs w:val="20"/>
                <w:bdr w:val="none" w:sz="0" w:space="0" w:color="auto"/>
                <w:vertAlign w:val="superscript"/>
                <w:lang w:eastAsia="en-NZ"/>
              </w:rPr>
              <w:t>***</w:t>
            </w:r>
          </w:p>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kern w:val="24"/>
                <w:sz w:val="20"/>
                <w:szCs w:val="20"/>
                <w:bdr w:val="none" w:sz="0" w:space="0" w:color="auto"/>
                <w:lang w:eastAsia="en-NZ"/>
              </w:rPr>
            </w:pPr>
            <w:r>
              <w:rPr>
                <w:color w:val="000000" w:themeColor="text1"/>
                <w:kern w:val="24"/>
                <w:sz w:val="20"/>
                <w:szCs w:val="20"/>
                <w:bdr w:val="none" w:sz="0" w:space="0" w:color="auto"/>
                <w:lang w:eastAsia="en-NZ"/>
              </w:rPr>
              <w:t>(0.013)</w:t>
            </w:r>
          </w:p>
        </w:tc>
      </w:tr>
      <w:tr w:rsidR="00BA21D9" w:rsidRPr="0043730F" w:rsidTr="008D7DED">
        <w:trPr>
          <w:trHeight w:val="227"/>
          <w:jc w:val="center"/>
        </w:trPr>
        <w:tc>
          <w:tcPr>
            <w:tcW w:w="3006" w:type="dxa"/>
            <w:tcBorders>
              <w:top w:val="single" w:sz="8" w:space="0" w:color="auto"/>
              <w:bottom w:val="nil"/>
            </w:tcBorders>
            <w:shd w:val="clear" w:color="auto" w:fill="auto"/>
            <w:tcMar>
              <w:top w:w="28" w:type="dxa"/>
              <w:left w:w="108" w:type="dxa"/>
              <w:bottom w:w="28" w:type="dxa"/>
              <w:right w:w="108" w:type="dxa"/>
            </w:tcMar>
            <w:hideMark/>
          </w:tcPr>
          <w:p w:rsidR="00BA21D9" w:rsidRPr="004B26AA"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i/>
                <w:sz w:val="20"/>
                <w:szCs w:val="20"/>
                <w:bdr w:val="none" w:sz="0" w:space="0" w:color="auto"/>
                <w:lang w:val="en-NZ" w:eastAsia="en-NZ"/>
              </w:rPr>
            </w:pPr>
            <w:r w:rsidRPr="004B26AA">
              <w:rPr>
                <w:i/>
                <w:color w:val="000000" w:themeColor="text1"/>
                <w:kern w:val="24"/>
                <w:sz w:val="20"/>
                <w:szCs w:val="20"/>
                <w:bdr w:val="none" w:sz="0" w:space="0" w:color="auto"/>
                <w:lang w:val="en-NZ" w:eastAsia="en-NZ"/>
              </w:rPr>
              <w:t>n</w:t>
            </w:r>
          </w:p>
        </w:tc>
        <w:tc>
          <w:tcPr>
            <w:tcW w:w="3007" w:type="dxa"/>
            <w:tcBorders>
              <w:top w:val="single" w:sz="8" w:space="0" w:color="auto"/>
              <w:bottom w:val="nil"/>
            </w:tcBorders>
            <w:shd w:val="clear" w:color="auto" w:fill="auto"/>
            <w:tcMar>
              <w:top w:w="28" w:type="dxa"/>
              <w:left w:w="108" w:type="dxa"/>
              <w:bottom w:w="28" w:type="dxa"/>
              <w:right w:w="108" w:type="dxa"/>
            </w:tcMar>
            <w:hideMark/>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n-NZ" w:eastAsia="en-NZ"/>
              </w:rPr>
            </w:pPr>
            <w:r>
              <w:rPr>
                <w:rFonts w:eastAsiaTheme="minorEastAsia"/>
                <w:color w:val="000000" w:themeColor="text1"/>
                <w:kern w:val="24"/>
                <w:sz w:val="20"/>
                <w:szCs w:val="20"/>
                <w:bdr w:val="none" w:sz="0" w:space="0" w:color="auto"/>
                <w:lang w:val="en-NZ" w:eastAsia="en-NZ"/>
              </w:rPr>
              <w:t>77,826</w:t>
            </w:r>
          </w:p>
        </w:tc>
        <w:tc>
          <w:tcPr>
            <w:tcW w:w="3007" w:type="dxa"/>
            <w:tcBorders>
              <w:top w:val="single" w:sz="8" w:space="0" w:color="auto"/>
              <w:bottom w:val="nil"/>
            </w:tcBorders>
            <w:shd w:val="clear" w:color="auto" w:fill="auto"/>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EastAsia"/>
                <w:color w:val="000000" w:themeColor="text1"/>
                <w:kern w:val="24"/>
                <w:sz w:val="20"/>
                <w:szCs w:val="20"/>
                <w:bdr w:val="none" w:sz="0" w:space="0" w:color="auto"/>
                <w:lang w:val="en-NZ" w:eastAsia="en-NZ"/>
              </w:rPr>
            </w:pPr>
            <w:r>
              <w:rPr>
                <w:rFonts w:eastAsiaTheme="minorEastAsia"/>
                <w:color w:val="000000" w:themeColor="text1"/>
                <w:kern w:val="24"/>
                <w:sz w:val="20"/>
                <w:szCs w:val="20"/>
                <w:bdr w:val="none" w:sz="0" w:space="0" w:color="auto"/>
                <w:lang w:val="en-NZ" w:eastAsia="en-NZ"/>
              </w:rPr>
              <w:t>77,826</w:t>
            </w:r>
          </w:p>
        </w:tc>
      </w:tr>
      <w:tr w:rsidR="00BA21D9" w:rsidRPr="0043730F" w:rsidTr="008D7DED">
        <w:trPr>
          <w:trHeight w:val="227"/>
          <w:jc w:val="center"/>
        </w:trPr>
        <w:tc>
          <w:tcPr>
            <w:tcW w:w="3006" w:type="dxa"/>
            <w:tcBorders>
              <w:top w:val="nil"/>
              <w:bottom w:val="nil"/>
            </w:tcBorders>
            <w:shd w:val="clear" w:color="auto" w:fill="auto"/>
            <w:tcMar>
              <w:top w:w="28" w:type="dxa"/>
              <w:left w:w="108" w:type="dxa"/>
              <w:bottom w:w="28" w:type="dxa"/>
              <w:right w:w="108" w:type="dxa"/>
            </w:tcMa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val="en-NZ" w:eastAsia="en-NZ"/>
              </w:rPr>
            </w:pPr>
            <w:r>
              <w:rPr>
                <w:color w:val="000000" w:themeColor="text1"/>
                <w:kern w:val="24"/>
                <w:sz w:val="20"/>
                <w:szCs w:val="20"/>
                <w:bdr w:val="none" w:sz="0" w:space="0" w:color="auto"/>
                <w:lang w:val="en-NZ" w:eastAsia="en-NZ"/>
              </w:rPr>
              <w:t>Log-Likelihood Function</w:t>
            </w:r>
          </w:p>
        </w:tc>
        <w:tc>
          <w:tcPr>
            <w:tcW w:w="3007" w:type="dxa"/>
            <w:tcBorders>
              <w:top w:val="nil"/>
              <w:bottom w:val="nil"/>
            </w:tcBorders>
            <w:shd w:val="clear" w:color="auto" w:fill="auto"/>
            <w:tcMar>
              <w:top w:w="28" w:type="dxa"/>
              <w:left w:w="108" w:type="dxa"/>
              <w:bottom w:w="28" w:type="dxa"/>
              <w:right w:w="108" w:type="dxa"/>
            </w:tcMa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EastAsia"/>
                <w:color w:val="000000" w:themeColor="text1"/>
                <w:kern w:val="24"/>
                <w:sz w:val="20"/>
                <w:szCs w:val="20"/>
                <w:bdr w:val="none" w:sz="0" w:space="0" w:color="auto"/>
                <w:lang w:val="en-NZ" w:eastAsia="en-NZ"/>
              </w:rPr>
            </w:pPr>
            <w:r>
              <w:rPr>
                <w:rFonts w:eastAsiaTheme="minorEastAsia"/>
                <w:color w:val="000000" w:themeColor="text1"/>
                <w:kern w:val="24"/>
                <w:sz w:val="20"/>
                <w:szCs w:val="20"/>
                <w:bdr w:val="none" w:sz="0" w:space="0" w:color="auto"/>
                <w:lang w:val="en-NZ" w:eastAsia="en-NZ"/>
              </w:rPr>
              <w:t>-22,871.3</w:t>
            </w:r>
          </w:p>
        </w:tc>
        <w:tc>
          <w:tcPr>
            <w:tcW w:w="3007" w:type="dxa"/>
            <w:tcBorders>
              <w:top w:val="nil"/>
              <w:bottom w:val="nil"/>
            </w:tcBorders>
            <w:shd w:val="clear" w:color="auto" w:fill="auto"/>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EastAsia"/>
                <w:color w:val="000000" w:themeColor="text1"/>
                <w:kern w:val="24"/>
                <w:sz w:val="20"/>
                <w:szCs w:val="20"/>
                <w:bdr w:val="none" w:sz="0" w:space="0" w:color="auto"/>
                <w:lang w:val="en-NZ" w:eastAsia="en-NZ"/>
              </w:rPr>
            </w:pPr>
            <w:r>
              <w:rPr>
                <w:rFonts w:eastAsiaTheme="minorEastAsia"/>
                <w:color w:val="000000" w:themeColor="text1"/>
                <w:kern w:val="24"/>
                <w:sz w:val="20"/>
                <w:szCs w:val="20"/>
                <w:bdr w:val="none" w:sz="0" w:space="0" w:color="auto"/>
                <w:lang w:val="en-NZ" w:eastAsia="en-NZ"/>
              </w:rPr>
              <w:t>-34,692.4</w:t>
            </w:r>
          </w:p>
        </w:tc>
      </w:tr>
      <w:tr w:rsidR="00BA21D9" w:rsidRPr="0043730F" w:rsidTr="008D7DED">
        <w:trPr>
          <w:trHeight w:val="227"/>
          <w:jc w:val="center"/>
        </w:trPr>
        <w:tc>
          <w:tcPr>
            <w:tcW w:w="3006" w:type="dxa"/>
            <w:tcBorders>
              <w:top w:val="nil"/>
              <w:bottom w:val="single" w:sz="8" w:space="0" w:color="auto"/>
            </w:tcBorders>
            <w:shd w:val="clear" w:color="auto" w:fill="auto"/>
            <w:tcMar>
              <w:top w:w="28" w:type="dxa"/>
              <w:left w:w="108" w:type="dxa"/>
              <w:bottom w:w="28" w:type="dxa"/>
              <w:right w:w="108" w:type="dxa"/>
            </w:tcMar>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kern w:val="24"/>
                <w:sz w:val="20"/>
                <w:szCs w:val="20"/>
                <w:bdr w:val="none" w:sz="0" w:space="0" w:color="auto"/>
                <w:lang w:val="en-NZ" w:eastAsia="en-NZ"/>
              </w:rPr>
            </w:pPr>
            <w:r>
              <w:rPr>
                <w:color w:val="000000" w:themeColor="text1"/>
                <w:kern w:val="24"/>
                <w:sz w:val="20"/>
                <w:szCs w:val="20"/>
                <w:bdr w:val="none" w:sz="0" w:space="0" w:color="auto"/>
                <w:lang w:val="en-NZ" w:eastAsia="en-NZ"/>
              </w:rPr>
              <w:t>Pseudo R</w:t>
            </w:r>
            <w:r w:rsidRPr="001F3FFC">
              <w:rPr>
                <w:color w:val="000000" w:themeColor="text1"/>
                <w:kern w:val="24"/>
                <w:sz w:val="20"/>
                <w:szCs w:val="20"/>
                <w:bdr w:val="none" w:sz="0" w:space="0" w:color="auto"/>
                <w:vertAlign w:val="superscript"/>
                <w:lang w:val="en-NZ" w:eastAsia="en-NZ"/>
              </w:rPr>
              <w:t>2</w:t>
            </w:r>
            <w:r>
              <w:rPr>
                <w:color w:val="000000" w:themeColor="text1"/>
                <w:kern w:val="24"/>
                <w:sz w:val="20"/>
                <w:szCs w:val="20"/>
                <w:bdr w:val="none" w:sz="0" w:space="0" w:color="auto"/>
                <w:lang w:val="en-NZ" w:eastAsia="en-NZ"/>
              </w:rPr>
              <w:t xml:space="preserve"> Statistic</w:t>
            </w:r>
          </w:p>
        </w:tc>
        <w:tc>
          <w:tcPr>
            <w:tcW w:w="3007" w:type="dxa"/>
            <w:tcBorders>
              <w:top w:val="nil"/>
              <w:bottom w:val="single" w:sz="8" w:space="0" w:color="auto"/>
            </w:tcBorders>
            <w:shd w:val="clear" w:color="auto" w:fill="auto"/>
            <w:tcMar>
              <w:top w:w="28" w:type="dxa"/>
              <w:left w:w="108" w:type="dxa"/>
              <w:bottom w:w="28" w:type="dxa"/>
              <w:right w:w="108" w:type="dxa"/>
            </w:tcMar>
          </w:tcPr>
          <w:p w:rsidR="00BA21D9" w:rsidRPr="004F4C26"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EastAsia"/>
                <w:color w:val="000000" w:themeColor="text1"/>
                <w:kern w:val="24"/>
                <w:sz w:val="20"/>
                <w:szCs w:val="20"/>
                <w:bdr w:val="none" w:sz="0" w:space="0" w:color="auto"/>
                <w:lang w:val="en-NZ" w:eastAsia="en-NZ"/>
              </w:rPr>
            </w:pPr>
            <w:r>
              <w:rPr>
                <w:rFonts w:eastAsiaTheme="minorEastAsia"/>
                <w:color w:val="000000" w:themeColor="text1"/>
                <w:kern w:val="24"/>
                <w:sz w:val="20"/>
                <w:szCs w:val="20"/>
                <w:bdr w:val="none" w:sz="0" w:space="0" w:color="auto"/>
                <w:lang w:val="en-NZ" w:eastAsia="en-NZ"/>
              </w:rPr>
              <w:t>0.0666</w:t>
            </w:r>
          </w:p>
        </w:tc>
        <w:tc>
          <w:tcPr>
            <w:tcW w:w="3007" w:type="dxa"/>
            <w:tcBorders>
              <w:top w:val="nil"/>
              <w:bottom w:val="single" w:sz="8" w:space="0" w:color="auto"/>
            </w:tcBorders>
            <w:shd w:val="clear" w:color="auto" w:fill="auto"/>
          </w:tcPr>
          <w:p w:rsidR="00BA21D9" w:rsidRDefault="00BA21D9" w:rsidP="0063534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EastAsia"/>
                <w:color w:val="000000" w:themeColor="text1"/>
                <w:kern w:val="24"/>
                <w:sz w:val="20"/>
                <w:szCs w:val="20"/>
                <w:bdr w:val="none" w:sz="0" w:space="0" w:color="auto"/>
                <w:lang w:val="en-NZ" w:eastAsia="en-NZ"/>
              </w:rPr>
            </w:pPr>
            <w:r>
              <w:rPr>
                <w:rFonts w:eastAsiaTheme="minorEastAsia"/>
                <w:color w:val="000000" w:themeColor="text1"/>
                <w:kern w:val="24"/>
                <w:sz w:val="20"/>
                <w:szCs w:val="20"/>
                <w:bdr w:val="none" w:sz="0" w:space="0" w:color="auto"/>
                <w:lang w:val="en-NZ" w:eastAsia="en-NZ"/>
              </w:rPr>
              <w:t>0.0562</w:t>
            </w:r>
          </w:p>
        </w:tc>
      </w:tr>
    </w:tbl>
    <w:p w:rsidR="00BA21D9" w:rsidRDefault="00BA21D9" w:rsidP="00BA21D9">
      <w:pPr>
        <w:widowControl w:val="0"/>
        <w:autoSpaceDE w:val="0"/>
        <w:autoSpaceDN w:val="0"/>
        <w:adjustRightInd w:val="0"/>
        <w:spacing w:before="80" w:after="80"/>
        <w:jc w:val="both"/>
        <w:rPr>
          <w:sz w:val="20"/>
          <w:szCs w:val="20"/>
        </w:rPr>
      </w:pPr>
      <w:r w:rsidRPr="000C6A33">
        <w:rPr>
          <w:sz w:val="20"/>
          <w:szCs w:val="20"/>
        </w:rPr>
        <w:t>Notes</w:t>
      </w:r>
      <w:r>
        <w:rPr>
          <w:sz w:val="20"/>
          <w:szCs w:val="20"/>
        </w:rPr>
        <w:t>:</w:t>
      </w:r>
    </w:p>
    <w:p w:rsidR="00013C88" w:rsidRDefault="00BA21D9" w:rsidP="00013C88">
      <w:pPr>
        <w:widowControl w:val="0"/>
        <w:autoSpaceDE w:val="0"/>
        <w:autoSpaceDN w:val="0"/>
        <w:adjustRightInd w:val="0"/>
        <w:jc w:val="both"/>
        <w:rPr>
          <w:sz w:val="20"/>
          <w:szCs w:val="20"/>
        </w:rPr>
      </w:pPr>
      <w:r>
        <w:rPr>
          <w:sz w:val="20"/>
          <w:szCs w:val="20"/>
        </w:rPr>
        <w:t>Full sets of regression results.  See the notes at the bottom of Table 11 in the main body of this report for more information on these estimation procedures.</w:t>
      </w:r>
      <w:r w:rsidR="00013C88">
        <w:rPr>
          <w:sz w:val="20"/>
          <w:szCs w:val="20"/>
        </w:rPr>
        <w:t xml:space="preserve"> Excluded categories are birth cohort =1991, urban area = Main Urban Area </w:t>
      </w:r>
      <w:r w:rsidR="00D070E9">
        <w:rPr>
          <w:sz w:val="20"/>
          <w:szCs w:val="20"/>
        </w:rPr>
        <w:t xml:space="preserve">, </w:t>
      </w:r>
      <w:r w:rsidR="008720EC">
        <w:rPr>
          <w:sz w:val="20"/>
          <w:szCs w:val="20"/>
        </w:rPr>
        <w:t>MoE</w:t>
      </w:r>
      <w:r w:rsidR="00DF661F">
        <w:rPr>
          <w:sz w:val="20"/>
          <w:szCs w:val="20"/>
        </w:rPr>
        <w:t xml:space="preserve"> </w:t>
      </w:r>
      <w:r w:rsidR="00013C88">
        <w:rPr>
          <w:sz w:val="20"/>
          <w:szCs w:val="20"/>
        </w:rPr>
        <w:t>Office = Auckland North</w:t>
      </w:r>
      <w:r w:rsidR="00D070E9">
        <w:rPr>
          <w:sz w:val="20"/>
          <w:szCs w:val="20"/>
        </w:rPr>
        <w:t xml:space="preserve"> and Decile school = 1</w:t>
      </w:r>
      <w:r w:rsidR="00013C88">
        <w:rPr>
          <w:sz w:val="20"/>
          <w:szCs w:val="20"/>
        </w:rPr>
        <w:t xml:space="preserve">. </w:t>
      </w:r>
    </w:p>
    <w:p w:rsidR="00BA21D9" w:rsidRDefault="00BA21D9" w:rsidP="00BA21D9">
      <w:pPr>
        <w:widowControl w:val="0"/>
        <w:autoSpaceDE w:val="0"/>
        <w:autoSpaceDN w:val="0"/>
        <w:adjustRightInd w:val="0"/>
        <w:jc w:val="both"/>
        <w:rPr>
          <w:sz w:val="20"/>
          <w:szCs w:val="20"/>
        </w:rPr>
      </w:pPr>
    </w:p>
    <w:p w:rsidR="00BA21D9" w:rsidRDefault="00BA21D9" w:rsidP="00BA21D9">
      <w:pPr>
        <w:widowControl w:val="0"/>
        <w:autoSpaceDE w:val="0"/>
        <w:autoSpaceDN w:val="0"/>
        <w:adjustRightInd w:val="0"/>
        <w:jc w:val="both"/>
        <w:rPr>
          <w:sz w:val="20"/>
          <w:szCs w:val="20"/>
        </w:rPr>
      </w:pPr>
    </w:p>
    <w:p w:rsidR="00BA21D9" w:rsidRDefault="00BA21D9" w:rsidP="00BA21D9">
      <w:pPr>
        <w:widowControl w:val="0"/>
        <w:autoSpaceDE w:val="0"/>
        <w:autoSpaceDN w:val="0"/>
        <w:adjustRightInd w:val="0"/>
        <w:jc w:val="both"/>
        <w:rPr>
          <w:sz w:val="20"/>
          <w:szCs w:val="20"/>
        </w:rPr>
      </w:pPr>
      <w:r w:rsidRPr="000C6A33">
        <w:rPr>
          <w:sz w:val="20"/>
          <w:szCs w:val="20"/>
          <w:vertAlign w:val="superscript"/>
        </w:rPr>
        <w:t>***</w:t>
      </w:r>
      <w:r>
        <w:rPr>
          <w:sz w:val="20"/>
          <w:szCs w:val="20"/>
        </w:rPr>
        <w:t xml:space="preserve"> Estimated partial derivative significantly different from zero</w:t>
      </w:r>
      <w:r w:rsidRPr="004B26AA">
        <w:rPr>
          <w:sz w:val="20"/>
          <w:szCs w:val="20"/>
        </w:rPr>
        <w:t xml:space="preserve"> </w:t>
      </w:r>
      <w:r>
        <w:rPr>
          <w:sz w:val="20"/>
          <w:szCs w:val="20"/>
        </w:rPr>
        <w:t xml:space="preserve">at a 1% level using a </w:t>
      </w:r>
      <w:r w:rsidRPr="000C6A33">
        <w:rPr>
          <w:i/>
          <w:sz w:val="20"/>
          <w:szCs w:val="20"/>
        </w:rPr>
        <w:t xml:space="preserve">t </w:t>
      </w:r>
      <w:r>
        <w:rPr>
          <w:sz w:val="20"/>
          <w:szCs w:val="20"/>
        </w:rPr>
        <w:t>test</w:t>
      </w:r>
    </w:p>
    <w:p w:rsidR="00BA21D9" w:rsidRDefault="00BA21D9" w:rsidP="00BA21D9">
      <w:pPr>
        <w:widowControl w:val="0"/>
        <w:autoSpaceDE w:val="0"/>
        <w:autoSpaceDN w:val="0"/>
        <w:adjustRightInd w:val="0"/>
        <w:jc w:val="both"/>
        <w:rPr>
          <w:sz w:val="20"/>
          <w:szCs w:val="20"/>
        </w:rPr>
      </w:pPr>
      <w:r w:rsidRPr="000C6A33">
        <w:rPr>
          <w:sz w:val="20"/>
          <w:szCs w:val="20"/>
          <w:vertAlign w:val="superscript"/>
        </w:rPr>
        <w:t>**</w:t>
      </w:r>
      <w:r>
        <w:rPr>
          <w:sz w:val="20"/>
          <w:szCs w:val="20"/>
          <w:vertAlign w:val="superscript"/>
        </w:rPr>
        <w:t xml:space="preserve">  </w:t>
      </w:r>
      <w:r>
        <w:rPr>
          <w:sz w:val="20"/>
          <w:szCs w:val="20"/>
        </w:rPr>
        <w:t xml:space="preserve"> Estimated partial derivative significantly different from zero</w:t>
      </w:r>
      <w:r w:rsidRPr="004B26AA">
        <w:rPr>
          <w:sz w:val="20"/>
          <w:szCs w:val="20"/>
        </w:rPr>
        <w:t xml:space="preserve"> </w:t>
      </w:r>
      <w:r>
        <w:rPr>
          <w:sz w:val="20"/>
          <w:szCs w:val="20"/>
        </w:rPr>
        <w:t xml:space="preserve">at a 5% level using a </w:t>
      </w:r>
      <w:r w:rsidRPr="000C6A33">
        <w:rPr>
          <w:i/>
          <w:sz w:val="20"/>
          <w:szCs w:val="20"/>
        </w:rPr>
        <w:t xml:space="preserve">t </w:t>
      </w:r>
      <w:r>
        <w:rPr>
          <w:sz w:val="20"/>
          <w:szCs w:val="20"/>
        </w:rPr>
        <w:t>test</w:t>
      </w:r>
    </w:p>
    <w:p w:rsidR="00BA21D9" w:rsidRPr="002C2AD9" w:rsidRDefault="00BA21D9" w:rsidP="00BA21D9">
      <w:pPr>
        <w:widowControl w:val="0"/>
        <w:autoSpaceDE w:val="0"/>
        <w:autoSpaceDN w:val="0"/>
        <w:adjustRightInd w:val="0"/>
        <w:jc w:val="both"/>
        <w:rPr>
          <w:color w:val="000000"/>
          <w:sz w:val="22"/>
          <w:szCs w:val="22"/>
          <w:u w:color="000000"/>
          <w:lang w:val="en-NZ" w:eastAsia="en-SG"/>
        </w:rPr>
      </w:pPr>
      <w:r>
        <w:rPr>
          <w:sz w:val="20"/>
          <w:szCs w:val="20"/>
          <w:vertAlign w:val="superscript"/>
        </w:rPr>
        <w:t>*</w:t>
      </w:r>
      <w:r>
        <w:rPr>
          <w:sz w:val="20"/>
          <w:szCs w:val="20"/>
        </w:rPr>
        <w:t xml:space="preserve">    Estimated partial derivative significantly different from zero</w:t>
      </w:r>
      <w:r w:rsidRPr="004B26AA">
        <w:rPr>
          <w:sz w:val="20"/>
          <w:szCs w:val="20"/>
        </w:rPr>
        <w:t xml:space="preserve"> </w:t>
      </w:r>
      <w:r>
        <w:rPr>
          <w:sz w:val="20"/>
          <w:szCs w:val="20"/>
        </w:rPr>
        <w:t xml:space="preserve">at a 10% level using a </w:t>
      </w:r>
      <w:r w:rsidRPr="000C6A33">
        <w:rPr>
          <w:i/>
          <w:sz w:val="20"/>
          <w:szCs w:val="20"/>
        </w:rPr>
        <w:t xml:space="preserve">t </w:t>
      </w:r>
      <w:r>
        <w:rPr>
          <w:sz w:val="20"/>
          <w:szCs w:val="20"/>
        </w:rPr>
        <w:t>test</w:t>
      </w:r>
    </w:p>
    <w:sectPr w:rsidR="00BA21D9" w:rsidRPr="002C2AD9" w:rsidSect="005C680A">
      <w:footerReference w:type="default" r:id="rId13"/>
      <w:pgSz w:w="11900" w:h="16840"/>
      <w:pgMar w:top="1440" w:right="1440" w:bottom="1440" w:left="1440" w:header="708" w:footer="708" w:gutter="0"/>
      <w:cols w:space="720"/>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5D14133" w15:done="0"/>
  <w15:commentEx w15:paraId="4136681A" w15:done="0"/>
  <w15:commentEx w15:paraId="5FD97108" w15:done="0"/>
  <w15:commentEx w15:paraId="488EA9A7" w15:done="0"/>
  <w15:commentEx w15:paraId="19FA03BB" w15:done="0"/>
  <w15:commentEx w15:paraId="4186F2E4" w15:done="0"/>
  <w15:commentEx w15:paraId="0FCDD3EC" w15:done="0"/>
  <w15:commentEx w15:paraId="3C37E7D2" w15:done="0"/>
  <w15:commentEx w15:paraId="3FDD4C3E" w15:done="0"/>
  <w15:commentEx w15:paraId="0443157A" w15:done="0"/>
  <w15:commentEx w15:paraId="5CB5D03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701" w:rsidRDefault="00E86701">
      <w:r>
        <w:separator/>
      </w:r>
    </w:p>
  </w:endnote>
  <w:endnote w:type="continuationSeparator" w:id="0">
    <w:p w:rsidR="00E86701" w:rsidRDefault="00E86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altName w:val="Cambria"/>
    <w:panose1 w:val="02040503050406030204"/>
    <w:charset w:val="00"/>
    <w:family w:val="roman"/>
    <w:pitch w:val="variable"/>
    <w:sig w:usb0="E00002FF" w:usb1="400004FF" w:usb2="00000000" w:usb3="00000000" w:csb0="0000019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BEC" w:rsidRDefault="00AD4BEC">
    <w:pPr>
      <w:pStyle w:val="Footer"/>
      <w:tabs>
        <w:tab w:val="clear" w:pos="9026"/>
        <w:tab w:val="right" w:pos="9000"/>
      </w:tabs>
      <w:jc w:val="right"/>
    </w:pPr>
    <w:r>
      <w:rPr>
        <w:sz w:val="20"/>
        <w:szCs w:val="20"/>
      </w:rPr>
      <w:fldChar w:fldCharType="begin"/>
    </w:r>
    <w:r>
      <w:rPr>
        <w:sz w:val="20"/>
        <w:szCs w:val="20"/>
      </w:rPr>
      <w:instrText xml:space="preserve"> PAGE </w:instrText>
    </w:r>
    <w:r>
      <w:rPr>
        <w:sz w:val="20"/>
        <w:szCs w:val="20"/>
      </w:rPr>
      <w:fldChar w:fldCharType="separate"/>
    </w:r>
    <w:r w:rsidR="00FA5AC7">
      <w:rPr>
        <w:noProof/>
        <w:sz w:val="20"/>
        <w:szCs w:val="20"/>
      </w:rPr>
      <w:t>34</w:t>
    </w:r>
    <w:r>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BEC" w:rsidRDefault="00AD4BEC">
    <w:pPr>
      <w:pStyle w:val="Footer"/>
      <w:tabs>
        <w:tab w:val="clear" w:pos="9026"/>
        <w:tab w:val="right" w:pos="9000"/>
      </w:tabs>
      <w:jc w:val="right"/>
    </w:pPr>
    <w:r>
      <w:rPr>
        <w:sz w:val="20"/>
        <w:szCs w:val="20"/>
      </w:rPr>
      <w:fldChar w:fldCharType="begin"/>
    </w:r>
    <w:r>
      <w:rPr>
        <w:sz w:val="20"/>
        <w:szCs w:val="20"/>
      </w:rPr>
      <w:instrText xml:space="preserve"> PAGE </w:instrText>
    </w:r>
    <w:r>
      <w:rPr>
        <w:sz w:val="20"/>
        <w:szCs w:val="20"/>
      </w:rPr>
      <w:fldChar w:fldCharType="separate"/>
    </w:r>
    <w:r w:rsidR="00FA5AC7">
      <w:rPr>
        <w:noProof/>
        <w:sz w:val="20"/>
        <w:szCs w:val="20"/>
      </w:rPr>
      <w:t>41</w:t>
    </w:r>
    <w:r>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701" w:rsidRDefault="00E86701">
      <w:r>
        <w:separator/>
      </w:r>
    </w:p>
  </w:footnote>
  <w:footnote w:type="continuationSeparator" w:id="0">
    <w:p w:rsidR="00E86701" w:rsidRDefault="00E86701">
      <w:r>
        <w:continuationSeparator/>
      </w:r>
    </w:p>
  </w:footnote>
  <w:footnote w:type="continuationNotice" w:id="1">
    <w:p w:rsidR="00E86701" w:rsidRDefault="00E86701"/>
  </w:footnote>
  <w:footnote w:id="2">
    <w:p w:rsidR="00AD4BEC" w:rsidRDefault="00AD4BEC" w:rsidP="004F4C26">
      <w:pPr>
        <w:pStyle w:val="FootnoteText"/>
        <w:tabs>
          <w:tab w:val="left" w:pos="1440"/>
        </w:tabs>
        <w:jc w:val="both"/>
      </w:pPr>
      <w:r>
        <w:rPr>
          <w:rStyle w:val="FootnoteReference"/>
        </w:rPr>
        <w:footnoteRef/>
      </w:r>
      <w:r>
        <w:rPr>
          <w:rFonts w:ascii="Cambria" w:eastAsia="Cambria" w:hAnsi="Cambria" w:cs="Cambria"/>
          <w:sz w:val="18"/>
          <w:szCs w:val="18"/>
        </w:rPr>
        <w:t xml:space="preserve"> </w:t>
      </w:r>
      <w:r>
        <w:rPr>
          <w:rFonts w:eastAsia="Arial Unicode MS" w:cs="Arial Unicode MS"/>
        </w:rPr>
        <w:t xml:space="preserve">Please send correspondence to: </w:t>
      </w:r>
      <w:hyperlink r:id="rId1" w:history="1">
        <w:r w:rsidRPr="00156203">
          <w:rPr>
            <w:rStyle w:val="Hyperlink"/>
            <w:rFonts w:eastAsia="Arial Unicode MS" w:cs="Arial Unicode MS"/>
          </w:rPr>
          <w:t>rhema.vaithianathan@aut.ac.nz</w:t>
        </w:r>
      </w:hyperlink>
      <w:r>
        <w:rPr>
          <w:rFonts w:eastAsia="Arial Unicode MS" w:cs="Arial Unicode MS"/>
        </w:rPr>
        <w:t xml:space="preserve">. </w:t>
      </w:r>
    </w:p>
  </w:footnote>
  <w:footnote w:id="3">
    <w:p w:rsidR="00AD4BEC" w:rsidRDefault="00AD4BEC">
      <w:pPr>
        <w:pStyle w:val="FootnoteText"/>
      </w:pPr>
      <w:r>
        <w:rPr>
          <w:rStyle w:val="FootnoteReference"/>
        </w:rPr>
        <w:footnoteRef/>
      </w:r>
      <w:r>
        <w:rPr>
          <w:rFonts w:eastAsia="Arial Unicode MS" w:cs="Arial Unicode MS"/>
        </w:rPr>
        <w:t xml:space="preserve"> While teen fathers are also able to enrol, in practice few attend</w:t>
      </w:r>
      <w:r>
        <w:t xml:space="preserve"> these units (Families Commission, 2011).</w:t>
      </w:r>
    </w:p>
  </w:footnote>
  <w:footnote w:id="4">
    <w:p w:rsidR="00AD4BEC" w:rsidRDefault="00AD4BEC" w:rsidP="00B27BC6">
      <w:pPr>
        <w:pStyle w:val="FootnoteText"/>
      </w:pPr>
      <w:r>
        <w:rPr>
          <w:rStyle w:val="FootnoteReference"/>
        </w:rPr>
        <w:footnoteRef/>
      </w:r>
      <w:r>
        <w:t xml:space="preserve"> See Appendix Table 1 for details of the locations of these units.</w:t>
      </w:r>
    </w:p>
  </w:footnote>
  <w:footnote w:id="5">
    <w:p w:rsidR="00AD4BEC" w:rsidRPr="00460CD0" w:rsidRDefault="00AD4BEC" w:rsidP="0054753C">
      <w:pPr>
        <w:pStyle w:val="FootnoteText"/>
        <w:spacing w:before="0"/>
        <w:jc w:val="both"/>
        <w:rPr>
          <w:rFonts w:eastAsia="Arial Unicode MS" w:cs="Arial Unicode MS"/>
        </w:rPr>
      </w:pPr>
      <w:r>
        <w:rPr>
          <w:rStyle w:val="FootnoteReference"/>
        </w:rPr>
        <w:footnoteRef/>
      </w:r>
      <w:r>
        <w:t xml:space="preserve"> </w:t>
      </w:r>
      <w:r w:rsidRPr="00460CD0">
        <w:rPr>
          <w:rFonts w:eastAsia="Arial Unicode MS" w:cs="Arial Unicode MS"/>
        </w:rPr>
        <w:t>This linkage is held in the St</w:t>
      </w:r>
      <w:r>
        <w:rPr>
          <w:rFonts w:eastAsia="Arial Unicode MS" w:cs="Arial Unicode MS"/>
        </w:rPr>
        <w:t xml:space="preserve">atistics New Zealand Data Lab. </w:t>
      </w:r>
      <w:r w:rsidRPr="00460CD0">
        <w:rPr>
          <w:rFonts w:eastAsia="Arial Unicode MS" w:cs="Arial Unicode MS"/>
        </w:rPr>
        <w:t>It is not part of the Statistics New Zealand Integrated Data</w:t>
      </w:r>
      <w:r>
        <w:rPr>
          <w:rFonts w:eastAsia="Arial Unicode MS" w:cs="Arial Unicode MS"/>
        </w:rPr>
        <w:t xml:space="preserve"> </w:t>
      </w:r>
      <w:r w:rsidRPr="00460CD0">
        <w:rPr>
          <w:rFonts w:eastAsia="Arial Unicode MS" w:cs="Arial Unicode MS"/>
        </w:rPr>
        <w:t>Infrastructure.</w:t>
      </w:r>
    </w:p>
  </w:footnote>
  <w:footnote w:id="6">
    <w:p w:rsidR="00AD4BEC" w:rsidRDefault="00AD4BEC" w:rsidP="0054753C">
      <w:pPr>
        <w:pStyle w:val="FootnoteText"/>
        <w:spacing w:before="0"/>
        <w:jc w:val="both"/>
      </w:pPr>
      <w:r>
        <w:rPr>
          <w:rStyle w:val="FootnoteReference"/>
        </w:rPr>
        <w:footnoteRef/>
      </w:r>
      <w:r>
        <w:rPr>
          <w:rFonts w:eastAsia="Arial Unicode MS" w:cs="Arial Unicode MS"/>
        </w:rPr>
        <w:t xml:space="preserve"> Children and young people in home education are not included in the data set.</w:t>
      </w:r>
    </w:p>
  </w:footnote>
  <w:footnote w:id="7">
    <w:p w:rsidR="00AD4BEC" w:rsidRDefault="00AD4BEC" w:rsidP="0054753C">
      <w:pPr>
        <w:pStyle w:val="FootnoteText"/>
        <w:spacing w:before="0"/>
        <w:jc w:val="both"/>
      </w:pPr>
      <w:r>
        <w:rPr>
          <w:rStyle w:val="FootnoteReference"/>
        </w:rPr>
        <w:footnoteRef/>
      </w:r>
      <w:r>
        <w:rPr>
          <w:rFonts w:eastAsia="Arial Unicode MS" w:cs="Arial Unicode MS"/>
        </w:rPr>
        <w:t xml:space="preserve"> We drop women whose first enrolment record is after 1 January 2008 because we assume these young women were immigrants and we therefore cannot tell if they have given birth prior to entering the country. </w:t>
      </w:r>
    </w:p>
  </w:footnote>
  <w:footnote w:id="8">
    <w:p w:rsidR="00AD4BEC" w:rsidRDefault="00AD4BEC" w:rsidP="00D65B1A">
      <w:pPr>
        <w:pStyle w:val="FootnoteText"/>
        <w:spacing w:before="0"/>
      </w:pPr>
      <w:r>
        <w:rPr>
          <w:rStyle w:val="FootnoteReference"/>
        </w:rPr>
        <w:footnoteRef/>
      </w:r>
      <w:r>
        <w:rPr>
          <w:rFonts w:eastAsia="Arial Unicode MS" w:cs="Arial Unicode MS"/>
        </w:rPr>
        <w:t xml:space="preserve"> Based on Statistics New Zealand </w:t>
      </w:r>
      <w:r>
        <w:rPr>
          <w:rFonts w:eastAsia="Arial Unicode MS" w:cs="Arial Unicode MS"/>
          <w:i/>
          <w:iCs/>
        </w:rPr>
        <w:t>Infoshare</w:t>
      </w:r>
      <w:r>
        <w:rPr>
          <w:rFonts w:eastAsia="Arial Unicode MS" w:cs="Arial Unicode MS"/>
        </w:rPr>
        <w:t xml:space="preserve"> downloaded on 20/01/16. Table reference DPE058AA. </w:t>
      </w:r>
    </w:p>
  </w:footnote>
  <w:footnote w:id="9">
    <w:p w:rsidR="00AD4BEC" w:rsidRPr="009D0EAE" w:rsidRDefault="00AD4BEC">
      <w:pPr>
        <w:pStyle w:val="FootnoteText"/>
        <w:rPr>
          <w:lang w:val="en-NZ"/>
        </w:rPr>
      </w:pPr>
      <w:r>
        <w:rPr>
          <w:rStyle w:val="FootnoteReference"/>
        </w:rPr>
        <w:footnoteRef/>
      </w:r>
      <w:r>
        <w:t xml:space="preserve">  </w:t>
      </w:r>
      <w:r w:rsidRPr="009D0EAE">
        <w:t>Numbers with a birth before age 13 were too small to include in the analysis.  We include all women who had at least one birth at age 13-18 and restrict attention to the first birth (ie. each woman appears once in the analysis and the birth of interest is the first birth). Small numbers have a second or subsequent birth before age 19.</w:t>
      </w:r>
    </w:p>
  </w:footnote>
  <w:footnote w:id="10">
    <w:p w:rsidR="00AD4BEC" w:rsidRPr="009D0EAE" w:rsidRDefault="00AD4BEC" w:rsidP="00433745">
      <w:pPr>
        <w:pStyle w:val="FootnoteText"/>
        <w:jc w:val="both"/>
        <w:rPr>
          <w:lang w:val="en-NZ"/>
        </w:rPr>
      </w:pPr>
      <w:r w:rsidRPr="009D0EAE">
        <w:rPr>
          <w:rStyle w:val="FootnoteReference"/>
        </w:rPr>
        <w:footnoteRef/>
      </w:r>
      <w:r w:rsidRPr="009D0EAE">
        <w:t xml:space="preserve"> See </w:t>
      </w:r>
      <w:hyperlink r:id="rId2" w:history="1">
        <w:r w:rsidRPr="009D0EAE">
          <w:rPr>
            <w:rStyle w:val="Hyperlink"/>
          </w:rPr>
          <w:t>http://www.educationcounts.govt.nz/indicators/main/student-engagement-participation/1955</w:t>
        </w:r>
      </w:hyperlink>
      <w:r w:rsidRPr="009D0EAE">
        <w:t>.</w:t>
      </w:r>
    </w:p>
  </w:footnote>
  <w:footnote w:id="11">
    <w:p w:rsidR="00AD4BEC" w:rsidRPr="00DF661F" w:rsidRDefault="00AD4BEC" w:rsidP="00DF661F">
      <w:pPr>
        <w:pStyle w:val="FootnoteText"/>
        <w:rPr>
          <w:b/>
          <w:bCs/>
        </w:rPr>
      </w:pPr>
      <w:r w:rsidRPr="009D0EAE">
        <w:rPr>
          <w:rStyle w:val="FootnoteReference"/>
        </w:rPr>
        <w:footnoteRef/>
      </w:r>
      <w:r w:rsidRPr="009D0EAE">
        <w:t xml:space="preserve"> We estimate that NCEA</w:t>
      </w:r>
      <w:r w:rsidRPr="003E1211">
        <w:t xml:space="preserve"> Level 1 has been attained where the young person has gained at least 80 credits at Level 1 or above</w:t>
      </w:r>
      <w:r>
        <w:t xml:space="preserve">. </w:t>
      </w:r>
      <w:r w:rsidRPr="003E1211">
        <w:t xml:space="preserve">We estimate that NCEA Level 2 has been attained where the young person gained at least 80 credits at Level 1 or above of which at least 60 were at Level 2 or above.  Note these measures are proxies for </w:t>
      </w:r>
      <w:r>
        <w:t>attainment of</w:t>
      </w:r>
      <w:r w:rsidRPr="003E1211">
        <w:t xml:space="preserve"> NCEA qualifications because: (i) we do not consider literacy and numeracy credit requirements (so as to avoid the discontinuity created by the change in literacy and numeracy credit requirements in 2013); (ii) some students may have the required credits, but may not have been officially given the qualification; and (iii) some credits gained by students would be excluded when credit exclusion rules are applied to ensure that credits from similar standard assessing similar skills are excluded.</w:t>
      </w:r>
    </w:p>
  </w:footnote>
  <w:footnote w:id="12">
    <w:p w:rsidR="00AD4BEC" w:rsidRPr="00364BBF" w:rsidRDefault="00AD4BEC" w:rsidP="00357AA2">
      <w:pPr>
        <w:pStyle w:val="FootnoteText"/>
        <w:jc w:val="both"/>
        <w:rPr>
          <w:lang w:val="en-NZ"/>
        </w:rPr>
      </w:pPr>
      <w:r>
        <w:rPr>
          <w:rStyle w:val="FootnoteReference"/>
        </w:rPr>
        <w:footnoteRef/>
      </w:r>
      <w:r>
        <w:t xml:space="preserve"> Vaithianathan et al. (2016) </w:t>
      </w:r>
      <w:r w:rsidRPr="00CE6994">
        <w:t>Appendix B provides more detail on the data linkage and clerical checks on accuracy.</w:t>
      </w:r>
    </w:p>
  </w:footnote>
  <w:footnote w:id="13">
    <w:p w:rsidR="00AD4BEC" w:rsidRPr="00884459" w:rsidRDefault="00AD4BEC" w:rsidP="0051468F">
      <w:pPr>
        <w:pStyle w:val="FootnoteText"/>
        <w:rPr>
          <w:lang w:val="en-NZ"/>
        </w:rPr>
      </w:pPr>
      <w:r>
        <w:rPr>
          <w:rStyle w:val="FootnoteReference"/>
        </w:rPr>
        <w:footnoteRef/>
      </w:r>
      <w:r>
        <w:t xml:space="preserve"> </w:t>
      </w:r>
      <w:r>
        <w:rPr>
          <w:lang w:val="en-NZ"/>
        </w:rPr>
        <w:t xml:space="preserve">Recall that we are not able to see if a woman is enrolled in and attending the TPU, only that she is enrolled at a governing school for a TPU. </w:t>
      </w:r>
    </w:p>
  </w:footnote>
  <w:footnote w:id="14">
    <w:p w:rsidR="00AD4BEC" w:rsidRDefault="00AD4BEC" w:rsidP="0051468F">
      <w:pPr>
        <w:pStyle w:val="FootnoteText"/>
      </w:pPr>
      <w:r>
        <w:rPr>
          <w:rStyle w:val="FootnoteReference"/>
        </w:rPr>
        <w:footnoteRef/>
      </w:r>
      <w:r>
        <w:t xml:space="preserve"> </w:t>
      </w:r>
      <w:r w:rsidRPr="00E607F0">
        <w:t xml:space="preserve">We recalculated these rates for those young women who conceived in 2008 or later, and we can confirm that the results in Table 5 are not due to the censoring problem we </w:t>
      </w:r>
      <w:r w:rsidRPr="000F57FE">
        <w:t>discussed earlier.</w:t>
      </w:r>
    </w:p>
  </w:footnote>
  <w:footnote w:id="15">
    <w:p w:rsidR="00AD4BEC" w:rsidRPr="008C70DA" w:rsidRDefault="00AD4BEC" w:rsidP="008C70DA">
      <w:pPr>
        <w:pStyle w:val="FootnoteText"/>
        <w:jc w:val="both"/>
        <w:rPr>
          <w:lang w:val="en-NZ"/>
        </w:rPr>
      </w:pPr>
      <w:r>
        <w:rPr>
          <w:rStyle w:val="FootnoteReference"/>
        </w:rPr>
        <w:footnoteRef/>
      </w:r>
      <w:r>
        <w:t xml:space="preserve"> </w:t>
      </w:r>
      <w:r>
        <w:rPr>
          <w:lang w:val="en-NZ"/>
        </w:rPr>
        <w:t>Most governing schools had begun hosting TPUs before 2006</w:t>
      </w:r>
      <w:r w:rsidR="00B96616">
        <w:rPr>
          <w:lang w:val="en-NZ"/>
        </w:rPr>
        <w:t xml:space="preserve">, </w:t>
      </w:r>
      <w:r>
        <w:rPr>
          <w:lang w:val="en-NZ"/>
        </w:rPr>
        <w:t xml:space="preserve">except </w:t>
      </w:r>
      <w:r w:rsidR="00B96616" w:rsidRPr="00B96616">
        <w:rPr>
          <w:lang w:val="en-NZ"/>
        </w:rPr>
        <w:t>Flaxmere College</w:t>
      </w:r>
      <w:r w:rsidR="00B96616">
        <w:rPr>
          <w:lang w:val="en-NZ"/>
        </w:rPr>
        <w:t xml:space="preserve"> (2014), </w:t>
      </w:r>
      <w:r>
        <w:rPr>
          <w:lang w:val="en-NZ"/>
        </w:rPr>
        <w:t xml:space="preserve">Nelson College for Girls (2013), Tokoroa High School, James Hargest College (2011), Waiopehu College (2013) and Henderson High School (2008). These schools that became TPU governing schools after 2006 are treated as schools without a TPU. </w:t>
      </w:r>
    </w:p>
  </w:footnote>
  <w:footnote w:id="16">
    <w:p w:rsidR="00AD4BEC" w:rsidRPr="00F66F9E" w:rsidRDefault="00AD4BEC">
      <w:pPr>
        <w:pStyle w:val="FootnoteText"/>
        <w:rPr>
          <w:lang w:val="en-NZ"/>
        </w:rPr>
      </w:pPr>
      <w:r>
        <w:rPr>
          <w:rStyle w:val="FootnoteReference"/>
        </w:rPr>
        <w:footnoteRef/>
      </w:r>
      <w:r>
        <w:t xml:space="preserve"> </w:t>
      </w:r>
      <w:r>
        <w:rPr>
          <w:lang w:val="en-NZ"/>
        </w:rPr>
        <w:t xml:space="preserve">The TPU is generally located either within or close to the governing school, and has a close relationship with the governing school.  </w:t>
      </w:r>
    </w:p>
  </w:footnote>
  <w:footnote w:id="17">
    <w:p w:rsidR="00AD4BEC" w:rsidRPr="00584FD4" w:rsidRDefault="00AD4BEC">
      <w:pPr>
        <w:pStyle w:val="FootnoteText"/>
        <w:rPr>
          <w:lang w:val="en-NZ"/>
        </w:rPr>
      </w:pPr>
      <w:r w:rsidRPr="009D0EAE">
        <w:rPr>
          <w:rStyle w:val="FootnoteReference"/>
        </w:rPr>
        <w:footnoteRef/>
      </w:r>
      <w:r w:rsidRPr="009D0EAE">
        <w:t xml:space="preserve"> </w:t>
      </w:r>
      <w:r w:rsidRPr="009D0EAE">
        <w:rPr>
          <w:lang w:val="en-NZ"/>
        </w:rPr>
        <w:t>20 km was considered the upper range of a reasonable commuting distance.</w:t>
      </w:r>
    </w:p>
  </w:footnote>
  <w:footnote w:id="18">
    <w:p w:rsidR="00AD4BEC" w:rsidRDefault="00AD4BEC" w:rsidP="0069353A">
      <w:pPr>
        <w:pStyle w:val="FootnoteText"/>
        <w:jc w:val="both"/>
      </w:pPr>
      <w:r>
        <w:rPr>
          <w:rStyle w:val="FootnoteReference"/>
        </w:rPr>
        <w:footnoteRef/>
      </w:r>
      <w:r>
        <w:t xml:space="preserve"> We used a ‘macro’ that Google Searches the origin and destination and returns the corresponding distance between the TPU governing school and conception school locations in km. Where the physical address of the governing school was different to the physical address of the TPU, we use the physical address of the TPU. </w:t>
      </w:r>
    </w:p>
  </w:footnote>
  <w:footnote w:id="19">
    <w:p w:rsidR="00AD4BEC" w:rsidRPr="008E18FC" w:rsidRDefault="00AD4BEC" w:rsidP="00FA4612">
      <w:pPr>
        <w:pStyle w:val="FootnoteText"/>
        <w:jc w:val="both"/>
        <w:rPr>
          <w:lang w:val="en-NZ"/>
        </w:rPr>
      </w:pPr>
      <w:r>
        <w:rPr>
          <w:rStyle w:val="FootnoteReference"/>
        </w:rPr>
        <w:footnoteRef/>
      </w:r>
      <w:r>
        <w:t xml:space="preserve"> </w:t>
      </w:r>
      <w:r>
        <w:rPr>
          <w:lang w:val="en-NZ"/>
        </w:rPr>
        <w:t xml:space="preserve">There are 954 individuals with missing data on distance between pre-conception school and the nearest TPU, which represents 14.2 percent of the sample. </w:t>
      </w:r>
      <w:r>
        <w:t xml:space="preserve">These observations were excluded from our regression analysis because of this key missing covariate. </w:t>
      </w:r>
    </w:p>
  </w:footnote>
  <w:footnote w:id="20">
    <w:p w:rsidR="00AD4BEC" w:rsidRPr="006817EC" w:rsidRDefault="00AD4BEC">
      <w:pPr>
        <w:pStyle w:val="FootnoteText"/>
      </w:pPr>
      <w:r>
        <w:rPr>
          <w:rStyle w:val="FootnoteReference"/>
        </w:rPr>
        <w:footnoteRef/>
      </w:r>
      <w:r>
        <w:t xml:space="preserve"> Complete sets of all regression results are available in the Appendix to this report.   </w:t>
      </w:r>
    </w:p>
  </w:footnote>
  <w:footnote w:id="21">
    <w:p w:rsidR="00AD4BEC" w:rsidRPr="00673FB8" w:rsidRDefault="00AD4BEC">
      <w:pPr>
        <w:pStyle w:val="FootnoteText"/>
        <w:rPr>
          <w:lang w:val="en-NZ"/>
        </w:rPr>
      </w:pPr>
      <w:r>
        <w:rPr>
          <w:rStyle w:val="FootnoteReference"/>
        </w:rPr>
        <w:footnoteRef/>
      </w:r>
      <w:r>
        <w:t xml:space="preserve"> </w:t>
      </w:r>
      <w:r w:rsidRPr="00B12C8E">
        <w:t xml:space="preserve">We are unable to estimate attainment prior to the </w:t>
      </w:r>
      <w:r w:rsidRPr="00673FB8">
        <w:rPr>
          <w:i/>
        </w:rPr>
        <w:t>exact date</w:t>
      </w:r>
      <w:r w:rsidRPr="00B12C8E">
        <w:t xml:space="preserve"> of first birth </w:t>
      </w:r>
      <w:r>
        <w:t xml:space="preserve">because </w:t>
      </w:r>
      <w:r w:rsidRPr="00B12C8E">
        <w:t>we only have information about the calendar year in which credits</w:t>
      </w:r>
      <w:r>
        <w:t xml:space="preserve"> were awarded</w:t>
      </w:r>
      <w:r w:rsidRPr="00B12C8E">
        <w:t>.</w:t>
      </w:r>
    </w:p>
  </w:footnote>
  <w:footnote w:id="22">
    <w:p w:rsidR="00AD4BEC" w:rsidRPr="00C04C77" w:rsidRDefault="00AD4BEC">
      <w:pPr>
        <w:pStyle w:val="FootnoteText"/>
        <w:rPr>
          <w:lang w:val="en-NZ"/>
        </w:rPr>
      </w:pPr>
      <w:r>
        <w:rPr>
          <w:rStyle w:val="FootnoteReference"/>
        </w:rPr>
        <w:footnoteRef/>
      </w:r>
      <w:r>
        <w:t xml:space="preserve"> </w:t>
      </w:r>
      <w:r>
        <w:rPr>
          <w:lang w:val="en-NZ"/>
        </w:rPr>
        <w:t xml:space="preserve">Even when we restrict attention to those young women born between 1992 and 1993, we find similar large effect sizes on the impact of having been enrolled during conception, on NCEA qualifications.  </w:t>
      </w:r>
    </w:p>
  </w:footnote>
  <w:footnote w:id="23">
    <w:p w:rsidR="00AD4BEC" w:rsidRPr="00FB6CC6" w:rsidRDefault="00AD4BEC" w:rsidP="004F4C26">
      <w:pPr>
        <w:pStyle w:val="Body"/>
        <w:spacing w:before="0" w:after="0" w:line="240" w:lineRule="auto"/>
        <w:jc w:val="both"/>
        <w:rPr>
          <w:rFonts w:eastAsia="Times New Roman" w:cs="Times New Roman"/>
          <w:sz w:val="20"/>
          <w:szCs w:val="20"/>
          <w:lang w:val="en-US"/>
        </w:rPr>
      </w:pPr>
      <w:r>
        <w:rPr>
          <w:rStyle w:val="FootnoteReference"/>
        </w:rPr>
        <w:footnoteRef/>
      </w:r>
      <w:r>
        <w:t xml:space="preserve"> </w:t>
      </w:r>
      <w:r w:rsidRPr="00FB6CC6">
        <w:rPr>
          <w:rFonts w:eastAsia="Times New Roman" w:cs="Times New Roman"/>
          <w:sz w:val="20"/>
          <w:szCs w:val="20"/>
          <w:lang w:val="en-US"/>
        </w:rPr>
        <w:t xml:space="preserve">The set of controls are only a subset of the controls used in the previous regressions. The reason is that we have richer set of controls for young women who give birth compared to all who are in the enrolment data because we are able to draw on </w:t>
      </w:r>
      <w:r>
        <w:rPr>
          <w:rFonts w:eastAsia="Times New Roman" w:cs="Times New Roman"/>
          <w:sz w:val="20"/>
          <w:szCs w:val="20"/>
          <w:lang w:val="en-US"/>
        </w:rPr>
        <w:t xml:space="preserve">MoH </w:t>
      </w:r>
      <w:r w:rsidRPr="00FB6CC6">
        <w:rPr>
          <w:rFonts w:eastAsia="Times New Roman" w:cs="Times New Roman"/>
          <w:sz w:val="20"/>
          <w:szCs w:val="20"/>
          <w:lang w:val="en-US"/>
        </w:rPr>
        <w:t>maternity data</w:t>
      </w:r>
      <w:r>
        <w:rPr>
          <w:rFonts w:eastAsia="Times New Roman" w:cs="Times New Roman"/>
          <w:sz w:val="20"/>
          <w:szCs w:val="20"/>
          <w:lang w:val="en-US"/>
        </w:rPr>
        <w:t xml:space="preserve"> for young women who give birth</w:t>
      </w:r>
      <w:r w:rsidRPr="00FB6CC6">
        <w:rPr>
          <w:rFonts w:eastAsia="Times New Roman" w:cs="Times New Roman"/>
          <w:sz w:val="20"/>
          <w:szCs w:val="20"/>
          <w:lang w:val="en-US"/>
        </w:rPr>
        <w:t>.</w:t>
      </w:r>
    </w:p>
    <w:p w:rsidR="00AD4BEC" w:rsidRPr="00341460" w:rsidRDefault="00AD4BEC" w:rsidP="00FB6CC6">
      <w:pPr>
        <w:pStyle w:val="FootnoteText"/>
        <w:rPr>
          <w:lang w:val="en-NZ"/>
        </w:rPr>
      </w:pPr>
    </w:p>
  </w:footnote>
  <w:footnote w:id="24">
    <w:p w:rsidR="00AD4BEC" w:rsidRPr="004F4C26" w:rsidRDefault="00AD4BEC">
      <w:pPr>
        <w:pStyle w:val="FootnoteText"/>
      </w:pPr>
      <w:r>
        <w:rPr>
          <w:rStyle w:val="FootnoteReference"/>
        </w:rPr>
        <w:footnoteRef/>
      </w:r>
      <w:r>
        <w:t xml:space="preserve"> An instrumental variable must be correlated with the regressor (TPU), but uncorrelated with the disturbance term. A valid instrument would be something that influences the propensity to be enrolled in a TPU governing school post-birth, but is statistically unrelated to the unmeasured factors that influence the propensity to complete NCEA qualifications.  We argue that distance to the nearest TPU governing school prior to conception meets these criteria.</w:t>
      </w:r>
    </w:p>
  </w:footnote>
  <w:footnote w:id="25">
    <w:p w:rsidR="00AD4BEC" w:rsidRPr="007D17E4" w:rsidRDefault="00AD4BEC" w:rsidP="007D17E4">
      <w:pPr>
        <w:pStyle w:val="FootnoteText"/>
        <w:jc w:val="both"/>
        <w:rPr>
          <w:lang w:val="en-NZ"/>
        </w:rPr>
      </w:pPr>
      <w:r>
        <w:rPr>
          <w:rStyle w:val="FootnoteReference"/>
        </w:rPr>
        <w:footnoteRef/>
      </w:r>
      <w:r>
        <w:t xml:space="preserve"> </w:t>
      </w:r>
      <w:r>
        <w:rPr>
          <w:lang w:val="en-NZ"/>
        </w:rPr>
        <w:t xml:space="preserve">We include the 1991 cohort. However, the MoE ENROL data start at the beginning of 2006 when members of this cohort were aged 14-15. Young women in this cohort who gave birth at 13 or 14, and left school before the beginning of 2006, or before their school came on to the ENROL system (which could be in 2007), are absent from our study.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F342A"/>
    <w:multiLevelType w:val="hybridMultilevel"/>
    <w:tmpl w:val="1856E9DC"/>
    <w:lvl w:ilvl="0" w:tplc="6156A700">
      <w:start w:val="1"/>
      <w:numFmt w:val="bullet"/>
      <w:lvlText w:val="-"/>
      <w:lvlJc w:val="left"/>
      <w:pPr>
        <w:ind w:left="720" w:hanging="360"/>
      </w:pPr>
      <w:rPr>
        <w:rFonts w:ascii="Times New Roman" w:eastAsiaTheme="minorHAnsi"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53152527"/>
    <w:multiLevelType w:val="hybridMultilevel"/>
    <w:tmpl w:val="8C36884C"/>
    <w:lvl w:ilvl="0" w:tplc="B1AE06CE">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620645CE"/>
    <w:multiLevelType w:val="multilevel"/>
    <w:tmpl w:val="8C76095A"/>
    <w:lvl w:ilvl="0">
      <w:start w:val="1"/>
      <w:numFmt w:val="decimal"/>
      <w:pStyle w:val="Heading1"/>
      <w:lvlText w:val="%1"/>
      <w:lvlJc w:val="left"/>
      <w:pPr>
        <w:ind w:left="4827" w:hanging="432"/>
      </w:pPr>
      <w:rPr>
        <w:rFonts w:ascii="Times New Roman" w:hAnsi="Times New Roman" w:cs="Times New Roman" w:hint="default"/>
        <w:sz w:val="32"/>
        <w:szCs w:val="32"/>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64A14AA6"/>
    <w:multiLevelType w:val="multilevel"/>
    <w:tmpl w:val="B906979E"/>
    <w:styleLink w:val="ImportedStyle1"/>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44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44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80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180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80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658A3BE9"/>
    <w:multiLevelType w:val="hybridMultilevel"/>
    <w:tmpl w:val="66D2122C"/>
    <w:lvl w:ilvl="0" w:tplc="4176B7EC">
      <w:start w:val="1"/>
      <w:numFmt w:val="lowerRoman"/>
      <w:lvlText w:val="(%1)"/>
      <w:lvlJc w:val="left"/>
      <w:pPr>
        <w:ind w:left="1004"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6E1868FD"/>
    <w:multiLevelType w:val="multilevel"/>
    <w:tmpl w:val="B906979E"/>
    <w:numStyleLink w:val="ImportedStyle1"/>
  </w:abstractNum>
  <w:num w:numId="1">
    <w:abstractNumId w:val="3"/>
  </w:num>
  <w:num w:numId="2">
    <w:abstractNumId w:val="5"/>
  </w:num>
  <w:num w:numId="3">
    <w:abstractNumId w:val="2"/>
  </w:num>
  <w:num w:numId="4">
    <w:abstractNumId w:val="4"/>
  </w:num>
  <w:num w:numId="5">
    <w:abstractNumId w:val="2"/>
  </w:num>
  <w:num w:numId="6">
    <w:abstractNumId w:val="1"/>
  </w:num>
  <w:num w:numId="7">
    <w:abstractNumId w:val="0"/>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imee Wilkins">
    <w15:presenceInfo w15:providerId="AD" w15:userId="S-1-5-21-117586760-2556223787-3220543774-903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en-US" w:vendorID="64" w:dllVersion="131078" w:nlCheck="1" w:checkStyle="0"/>
  <w:activeWritingStyle w:appName="MSWord" w:lang="fr-FR" w:vendorID="64" w:dllVersion="131078" w:nlCheck="1" w:checkStyle="0"/>
  <w:activeWritingStyle w:appName="MSWord" w:lang="en-SG" w:vendorID="64" w:dllVersion="131078" w:nlCheck="1" w:checkStyle="0"/>
  <w:activeWritingStyle w:appName="MSWord" w:lang="en-NZ" w:vendorID="64" w:dllVersion="131078" w:nlCheck="1" w:checkStyle="0"/>
  <w:activeWritingStyle w:appName="MSWord" w:lang="en-GB" w:vendorID="64" w:dllVersion="131078" w:nlCheck="1" w:checkStyle="0"/>
  <w:revisionView w:inkAnnotations="0"/>
  <w:defaultTabStop w:val="720"/>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949"/>
    <w:rsid w:val="00000377"/>
    <w:rsid w:val="000016D3"/>
    <w:rsid w:val="00002747"/>
    <w:rsid w:val="000027C4"/>
    <w:rsid w:val="00003FDD"/>
    <w:rsid w:val="000042BB"/>
    <w:rsid w:val="00005023"/>
    <w:rsid w:val="00005A01"/>
    <w:rsid w:val="00006338"/>
    <w:rsid w:val="00007139"/>
    <w:rsid w:val="00007321"/>
    <w:rsid w:val="000076CD"/>
    <w:rsid w:val="00007B27"/>
    <w:rsid w:val="000100D3"/>
    <w:rsid w:val="0001014D"/>
    <w:rsid w:val="0001018F"/>
    <w:rsid w:val="00010226"/>
    <w:rsid w:val="00011FFB"/>
    <w:rsid w:val="00013C88"/>
    <w:rsid w:val="00013EBB"/>
    <w:rsid w:val="000146EC"/>
    <w:rsid w:val="00015133"/>
    <w:rsid w:val="00015742"/>
    <w:rsid w:val="00016042"/>
    <w:rsid w:val="00016923"/>
    <w:rsid w:val="00016C19"/>
    <w:rsid w:val="00017136"/>
    <w:rsid w:val="000172A6"/>
    <w:rsid w:val="0001796E"/>
    <w:rsid w:val="0002009F"/>
    <w:rsid w:val="00020922"/>
    <w:rsid w:val="00020E42"/>
    <w:rsid w:val="0002130B"/>
    <w:rsid w:val="00021B41"/>
    <w:rsid w:val="00021F2A"/>
    <w:rsid w:val="000221BB"/>
    <w:rsid w:val="00022EA3"/>
    <w:rsid w:val="00024C61"/>
    <w:rsid w:val="00026876"/>
    <w:rsid w:val="000271D6"/>
    <w:rsid w:val="000278E3"/>
    <w:rsid w:val="0002790E"/>
    <w:rsid w:val="00027BE9"/>
    <w:rsid w:val="00030668"/>
    <w:rsid w:val="0003107D"/>
    <w:rsid w:val="00031483"/>
    <w:rsid w:val="00031C88"/>
    <w:rsid w:val="00032859"/>
    <w:rsid w:val="00032EAE"/>
    <w:rsid w:val="00033610"/>
    <w:rsid w:val="0003395E"/>
    <w:rsid w:val="00034D6C"/>
    <w:rsid w:val="0003540E"/>
    <w:rsid w:val="00035D36"/>
    <w:rsid w:val="00035DB7"/>
    <w:rsid w:val="0003629D"/>
    <w:rsid w:val="00036AC2"/>
    <w:rsid w:val="00036E58"/>
    <w:rsid w:val="00037CB8"/>
    <w:rsid w:val="00040DC1"/>
    <w:rsid w:val="00041308"/>
    <w:rsid w:val="000418EC"/>
    <w:rsid w:val="00041C2E"/>
    <w:rsid w:val="00041EEB"/>
    <w:rsid w:val="00042DDC"/>
    <w:rsid w:val="00043454"/>
    <w:rsid w:val="00043A5D"/>
    <w:rsid w:val="00045178"/>
    <w:rsid w:val="00045889"/>
    <w:rsid w:val="00045DED"/>
    <w:rsid w:val="000471D0"/>
    <w:rsid w:val="000475B8"/>
    <w:rsid w:val="000475C7"/>
    <w:rsid w:val="00047D02"/>
    <w:rsid w:val="00047DEA"/>
    <w:rsid w:val="00051682"/>
    <w:rsid w:val="00052572"/>
    <w:rsid w:val="00052F83"/>
    <w:rsid w:val="00053837"/>
    <w:rsid w:val="000538B3"/>
    <w:rsid w:val="0005470D"/>
    <w:rsid w:val="000560D1"/>
    <w:rsid w:val="000573F9"/>
    <w:rsid w:val="000579F4"/>
    <w:rsid w:val="000610C0"/>
    <w:rsid w:val="00061B97"/>
    <w:rsid w:val="00062A42"/>
    <w:rsid w:val="00062E5C"/>
    <w:rsid w:val="00063A9F"/>
    <w:rsid w:val="00063D55"/>
    <w:rsid w:val="00064098"/>
    <w:rsid w:val="00064099"/>
    <w:rsid w:val="000645D3"/>
    <w:rsid w:val="00064ED3"/>
    <w:rsid w:val="00067813"/>
    <w:rsid w:val="0007006B"/>
    <w:rsid w:val="000709F3"/>
    <w:rsid w:val="000712F4"/>
    <w:rsid w:val="0007505F"/>
    <w:rsid w:val="00076C2B"/>
    <w:rsid w:val="00077284"/>
    <w:rsid w:val="00077710"/>
    <w:rsid w:val="00077A99"/>
    <w:rsid w:val="00077B2F"/>
    <w:rsid w:val="00080136"/>
    <w:rsid w:val="00080A71"/>
    <w:rsid w:val="00081E3C"/>
    <w:rsid w:val="000828DE"/>
    <w:rsid w:val="0008318B"/>
    <w:rsid w:val="00083230"/>
    <w:rsid w:val="00083D5A"/>
    <w:rsid w:val="00083D95"/>
    <w:rsid w:val="0008400B"/>
    <w:rsid w:val="0008400F"/>
    <w:rsid w:val="000843A9"/>
    <w:rsid w:val="00085D40"/>
    <w:rsid w:val="00085DE0"/>
    <w:rsid w:val="00086265"/>
    <w:rsid w:val="000863A3"/>
    <w:rsid w:val="000871E8"/>
    <w:rsid w:val="00087C4D"/>
    <w:rsid w:val="00087EEC"/>
    <w:rsid w:val="00090562"/>
    <w:rsid w:val="0009060A"/>
    <w:rsid w:val="00091611"/>
    <w:rsid w:val="00091F8E"/>
    <w:rsid w:val="00092E86"/>
    <w:rsid w:val="00093A69"/>
    <w:rsid w:val="00094782"/>
    <w:rsid w:val="000951B2"/>
    <w:rsid w:val="000962A9"/>
    <w:rsid w:val="000971C9"/>
    <w:rsid w:val="000979DB"/>
    <w:rsid w:val="000A01F6"/>
    <w:rsid w:val="000A07EF"/>
    <w:rsid w:val="000A0A43"/>
    <w:rsid w:val="000A2224"/>
    <w:rsid w:val="000A2B61"/>
    <w:rsid w:val="000A326D"/>
    <w:rsid w:val="000A3534"/>
    <w:rsid w:val="000A43BF"/>
    <w:rsid w:val="000A4BC0"/>
    <w:rsid w:val="000A5749"/>
    <w:rsid w:val="000A57BE"/>
    <w:rsid w:val="000A6271"/>
    <w:rsid w:val="000A6C59"/>
    <w:rsid w:val="000A70DD"/>
    <w:rsid w:val="000B24EC"/>
    <w:rsid w:val="000B31BC"/>
    <w:rsid w:val="000B3C60"/>
    <w:rsid w:val="000B4A84"/>
    <w:rsid w:val="000B4E12"/>
    <w:rsid w:val="000B51FF"/>
    <w:rsid w:val="000B674C"/>
    <w:rsid w:val="000B69FB"/>
    <w:rsid w:val="000C13A5"/>
    <w:rsid w:val="000C1835"/>
    <w:rsid w:val="000C236C"/>
    <w:rsid w:val="000C246E"/>
    <w:rsid w:val="000C2803"/>
    <w:rsid w:val="000C3CED"/>
    <w:rsid w:val="000C47BB"/>
    <w:rsid w:val="000C489F"/>
    <w:rsid w:val="000C4FB6"/>
    <w:rsid w:val="000C5633"/>
    <w:rsid w:val="000C584B"/>
    <w:rsid w:val="000C6994"/>
    <w:rsid w:val="000C7BD9"/>
    <w:rsid w:val="000C7C6C"/>
    <w:rsid w:val="000D01B3"/>
    <w:rsid w:val="000D0B88"/>
    <w:rsid w:val="000D14C4"/>
    <w:rsid w:val="000D2E5A"/>
    <w:rsid w:val="000D3073"/>
    <w:rsid w:val="000D3F33"/>
    <w:rsid w:val="000D453C"/>
    <w:rsid w:val="000D4656"/>
    <w:rsid w:val="000D4C41"/>
    <w:rsid w:val="000D4C9A"/>
    <w:rsid w:val="000D545B"/>
    <w:rsid w:val="000D5BEB"/>
    <w:rsid w:val="000D6628"/>
    <w:rsid w:val="000D6B68"/>
    <w:rsid w:val="000E06B5"/>
    <w:rsid w:val="000E1312"/>
    <w:rsid w:val="000E150C"/>
    <w:rsid w:val="000E1753"/>
    <w:rsid w:val="000E19F1"/>
    <w:rsid w:val="000E26B2"/>
    <w:rsid w:val="000E2946"/>
    <w:rsid w:val="000E3DB8"/>
    <w:rsid w:val="000E48C2"/>
    <w:rsid w:val="000E5053"/>
    <w:rsid w:val="000E5581"/>
    <w:rsid w:val="000E65D6"/>
    <w:rsid w:val="000E6DF8"/>
    <w:rsid w:val="000E738C"/>
    <w:rsid w:val="000E73D8"/>
    <w:rsid w:val="000E744D"/>
    <w:rsid w:val="000E7D30"/>
    <w:rsid w:val="000E7F9D"/>
    <w:rsid w:val="000F0936"/>
    <w:rsid w:val="000F3ED8"/>
    <w:rsid w:val="000F435C"/>
    <w:rsid w:val="000F4DE6"/>
    <w:rsid w:val="000F4F3A"/>
    <w:rsid w:val="000F5328"/>
    <w:rsid w:val="000F57FE"/>
    <w:rsid w:val="000F6EFB"/>
    <w:rsid w:val="000F783B"/>
    <w:rsid w:val="0010055F"/>
    <w:rsid w:val="00101605"/>
    <w:rsid w:val="00101C34"/>
    <w:rsid w:val="00102AF5"/>
    <w:rsid w:val="00102B47"/>
    <w:rsid w:val="001043F0"/>
    <w:rsid w:val="0010554A"/>
    <w:rsid w:val="001055EF"/>
    <w:rsid w:val="0010581E"/>
    <w:rsid w:val="00106E3C"/>
    <w:rsid w:val="0011090A"/>
    <w:rsid w:val="00110CF3"/>
    <w:rsid w:val="001115D0"/>
    <w:rsid w:val="001121AE"/>
    <w:rsid w:val="00112C92"/>
    <w:rsid w:val="00112CCA"/>
    <w:rsid w:val="00113D1D"/>
    <w:rsid w:val="00114406"/>
    <w:rsid w:val="00114ABA"/>
    <w:rsid w:val="001150FC"/>
    <w:rsid w:val="0011665E"/>
    <w:rsid w:val="001166C8"/>
    <w:rsid w:val="00121269"/>
    <w:rsid w:val="001217F5"/>
    <w:rsid w:val="001220AD"/>
    <w:rsid w:val="00123BFA"/>
    <w:rsid w:val="001265BA"/>
    <w:rsid w:val="001308D1"/>
    <w:rsid w:val="001315D7"/>
    <w:rsid w:val="001328D4"/>
    <w:rsid w:val="001332A4"/>
    <w:rsid w:val="00134C93"/>
    <w:rsid w:val="00134E52"/>
    <w:rsid w:val="00134FCA"/>
    <w:rsid w:val="0013611A"/>
    <w:rsid w:val="00136704"/>
    <w:rsid w:val="00140568"/>
    <w:rsid w:val="001415AA"/>
    <w:rsid w:val="00141C46"/>
    <w:rsid w:val="00141FCA"/>
    <w:rsid w:val="00142A9D"/>
    <w:rsid w:val="00143962"/>
    <w:rsid w:val="00143E27"/>
    <w:rsid w:val="001444C8"/>
    <w:rsid w:val="00144554"/>
    <w:rsid w:val="00144996"/>
    <w:rsid w:val="00144FAE"/>
    <w:rsid w:val="001457B8"/>
    <w:rsid w:val="00145CFD"/>
    <w:rsid w:val="00147413"/>
    <w:rsid w:val="00150D33"/>
    <w:rsid w:val="00150EEA"/>
    <w:rsid w:val="00151AFE"/>
    <w:rsid w:val="00152162"/>
    <w:rsid w:val="0015216F"/>
    <w:rsid w:val="00152302"/>
    <w:rsid w:val="001523FF"/>
    <w:rsid w:val="001524DD"/>
    <w:rsid w:val="001529A3"/>
    <w:rsid w:val="00152BF5"/>
    <w:rsid w:val="00154C57"/>
    <w:rsid w:val="001553D8"/>
    <w:rsid w:val="001559C7"/>
    <w:rsid w:val="00155F4C"/>
    <w:rsid w:val="00156483"/>
    <w:rsid w:val="00156AA6"/>
    <w:rsid w:val="001577A1"/>
    <w:rsid w:val="00160132"/>
    <w:rsid w:val="0016115C"/>
    <w:rsid w:val="00161304"/>
    <w:rsid w:val="0016302A"/>
    <w:rsid w:val="00163821"/>
    <w:rsid w:val="00163932"/>
    <w:rsid w:val="00163B8D"/>
    <w:rsid w:val="00164958"/>
    <w:rsid w:val="00165129"/>
    <w:rsid w:val="0017029B"/>
    <w:rsid w:val="00171267"/>
    <w:rsid w:val="001712EF"/>
    <w:rsid w:val="00171B37"/>
    <w:rsid w:val="00172146"/>
    <w:rsid w:val="001726AA"/>
    <w:rsid w:val="00173960"/>
    <w:rsid w:val="00173D7E"/>
    <w:rsid w:val="00174DBF"/>
    <w:rsid w:val="001760F2"/>
    <w:rsid w:val="0017799E"/>
    <w:rsid w:val="00180727"/>
    <w:rsid w:val="0018099F"/>
    <w:rsid w:val="00180B41"/>
    <w:rsid w:val="001815F1"/>
    <w:rsid w:val="001816D2"/>
    <w:rsid w:val="00181AAE"/>
    <w:rsid w:val="00181F54"/>
    <w:rsid w:val="00183BE7"/>
    <w:rsid w:val="00184F08"/>
    <w:rsid w:val="00185F57"/>
    <w:rsid w:val="00186AC2"/>
    <w:rsid w:val="00186B44"/>
    <w:rsid w:val="00186D03"/>
    <w:rsid w:val="00187315"/>
    <w:rsid w:val="00190F51"/>
    <w:rsid w:val="00191023"/>
    <w:rsid w:val="00192437"/>
    <w:rsid w:val="00193776"/>
    <w:rsid w:val="001938F4"/>
    <w:rsid w:val="001943F9"/>
    <w:rsid w:val="00195194"/>
    <w:rsid w:val="00195A81"/>
    <w:rsid w:val="0019611D"/>
    <w:rsid w:val="00196C66"/>
    <w:rsid w:val="00197006"/>
    <w:rsid w:val="001A031B"/>
    <w:rsid w:val="001A12A6"/>
    <w:rsid w:val="001A1727"/>
    <w:rsid w:val="001A1943"/>
    <w:rsid w:val="001A269E"/>
    <w:rsid w:val="001A343E"/>
    <w:rsid w:val="001A4576"/>
    <w:rsid w:val="001A5743"/>
    <w:rsid w:val="001A5998"/>
    <w:rsid w:val="001A5CD2"/>
    <w:rsid w:val="001A6155"/>
    <w:rsid w:val="001A6AFE"/>
    <w:rsid w:val="001B0D69"/>
    <w:rsid w:val="001B0F65"/>
    <w:rsid w:val="001B1A01"/>
    <w:rsid w:val="001B33D7"/>
    <w:rsid w:val="001B433E"/>
    <w:rsid w:val="001B49C2"/>
    <w:rsid w:val="001B55F1"/>
    <w:rsid w:val="001B57CE"/>
    <w:rsid w:val="001B7278"/>
    <w:rsid w:val="001B72D0"/>
    <w:rsid w:val="001C0755"/>
    <w:rsid w:val="001C0AB9"/>
    <w:rsid w:val="001C13CF"/>
    <w:rsid w:val="001C5247"/>
    <w:rsid w:val="001C6158"/>
    <w:rsid w:val="001C62F9"/>
    <w:rsid w:val="001C68C1"/>
    <w:rsid w:val="001C6999"/>
    <w:rsid w:val="001C7385"/>
    <w:rsid w:val="001D06F9"/>
    <w:rsid w:val="001D0932"/>
    <w:rsid w:val="001D0EC7"/>
    <w:rsid w:val="001D1AB0"/>
    <w:rsid w:val="001D2F32"/>
    <w:rsid w:val="001D4A40"/>
    <w:rsid w:val="001D5BB4"/>
    <w:rsid w:val="001D64A9"/>
    <w:rsid w:val="001D684B"/>
    <w:rsid w:val="001D7E9C"/>
    <w:rsid w:val="001E0344"/>
    <w:rsid w:val="001E1E9F"/>
    <w:rsid w:val="001E22AD"/>
    <w:rsid w:val="001E2B56"/>
    <w:rsid w:val="001E393C"/>
    <w:rsid w:val="001E3EDF"/>
    <w:rsid w:val="001E46C5"/>
    <w:rsid w:val="001E4AF0"/>
    <w:rsid w:val="001E4AF2"/>
    <w:rsid w:val="001E4B10"/>
    <w:rsid w:val="001E69D2"/>
    <w:rsid w:val="001E7744"/>
    <w:rsid w:val="001E79F4"/>
    <w:rsid w:val="001E7C7D"/>
    <w:rsid w:val="001F0429"/>
    <w:rsid w:val="001F0513"/>
    <w:rsid w:val="001F185A"/>
    <w:rsid w:val="001F2D33"/>
    <w:rsid w:val="001F3AD2"/>
    <w:rsid w:val="001F3B33"/>
    <w:rsid w:val="001F3F33"/>
    <w:rsid w:val="001F59C1"/>
    <w:rsid w:val="001F773D"/>
    <w:rsid w:val="002006E4"/>
    <w:rsid w:val="00200AFA"/>
    <w:rsid w:val="00201E3B"/>
    <w:rsid w:val="00202E76"/>
    <w:rsid w:val="00203882"/>
    <w:rsid w:val="00203E2A"/>
    <w:rsid w:val="002047D7"/>
    <w:rsid w:val="00205E17"/>
    <w:rsid w:val="002065D6"/>
    <w:rsid w:val="0020673C"/>
    <w:rsid w:val="00206AAB"/>
    <w:rsid w:val="00206DFE"/>
    <w:rsid w:val="002072D9"/>
    <w:rsid w:val="0020739F"/>
    <w:rsid w:val="00207589"/>
    <w:rsid w:val="00210042"/>
    <w:rsid w:val="002102FA"/>
    <w:rsid w:val="00210587"/>
    <w:rsid w:val="0021065A"/>
    <w:rsid w:val="00210B33"/>
    <w:rsid w:val="00210C14"/>
    <w:rsid w:val="002114A5"/>
    <w:rsid w:val="00214AD8"/>
    <w:rsid w:val="00214CB3"/>
    <w:rsid w:val="002158FC"/>
    <w:rsid w:val="00215E0E"/>
    <w:rsid w:val="00216485"/>
    <w:rsid w:val="002166D1"/>
    <w:rsid w:val="00216AEA"/>
    <w:rsid w:val="00217A0B"/>
    <w:rsid w:val="00217BAE"/>
    <w:rsid w:val="002204D0"/>
    <w:rsid w:val="002220E4"/>
    <w:rsid w:val="002227F7"/>
    <w:rsid w:val="002231F2"/>
    <w:rsid w:val="0022359F"/>
    <w:rsid w:val="002237B9"/>
    <w:rsid w:val="00223B92"/>
    <w:rsid w:val="00224281"/>
    <w:rsid w:val="00224352"/>
    <w:rsid w:val="00224541"/>
    <w:rsid w:val="002256D4"/>
    <w:rsid w:val="00225733"/>
    <w:rsid w:val="0022666E"/>
    <w:rsid w:val="00226C85"/>
    <w:rsid w:val="00227AC4"/>
    <w:rsid w:val="0023015A"/>
    <w:rsid w:val="00231755"/>
    <w:rsid w:val="00231777"/>
    <w:rsid w:val="00231FF6"/>
    <w:rsid w:val="00232517"/>
    <w:rsid w:val="0023316F"/>
    <w:rsid w:val="00233301"/>
    <w:rsid w:val="00233462"/>
    <w:rsid w:val="002368E8"/>
    <w:rsid w:val="00236C84"/>
    <w:rsid w:val="00237798"/>
    <w:rsid w:val="00237BFD"/>
    <w:rsid w:val="00240769"/>
    <w:rsid w:val="00240A5B"/>
    <w:rsid w:val="00240C4E"/>
    <w:rsid w:val="002416AC"/>
    <w:rsid w:val="002418A4"/>
    <w:rsid w:val="00243837"/>
    <w:rsid w:val="0024398F"/>
    <w:rsid w:val="00244AB5"/>
    <w:rsid w:val="00245425"/>
    <w:rsid w:val="002457CA"/>
    <w:rsid w:val="00245927"/>
    <w:rsid w:val="00246061"/>
    <w:rsid w:val="0024659C"/>
    <w:rsid w:val="002471D5"/>
    <w:rsid w:val="002472FC"/>
    <w:rsid w:val="0024741E"/>
    <w:rsid w:val="002477B7"/>
    <w:rsid w:val="00247EB1"/>
    <w:rsid w:val="002506AA"/>
    <w:rsid w:val="002507A8"/>
    <w:rsid w:val="00250BDB"/>
    <w:rsid w:val="0025157D"/>
    <w:rsid w:val="00251977"/>
    <w:rsid w:val="002522B2"/>
    <w:rsid w:val="002524AE"/>
    <w:rsid w:val="0025329B"/>
    <w:rsid w:val="002538C7"/>
    <w:rsid w:val="00253EF9"/>
    <w:rsid w:val="002543FF"/>
    <w:rsid w:val="00254627"/>
    <w:rsid w:val="00254D3F"/>
    <w:rsid w:val="00256693"/>
    <w:rsid w:val="0026123C"/>
    <w:rsid w:val="0026137A"/>
    <w:rsid w:val="002613CA"/>
    <w:rsid w:val="00261CC9"/>
    <w:rsid w:val="00261E8B"/>
    <w:rsid w:val="00262970"/>
    <w:rsid w:val="00265899"/>
    <w:rsid w:val="00266C30"/>
    <w:rsid w:val="00267176"/>
    <w:rsid w:val="0026772D"/>
    <w:rsid w:val="002679C1"/>
    <w:rsid w:val="00270BF5"/>
    <w:rsid w:val="002710D0"/>
    <w:rsid w:val="002719F7"/>
    <w:rsid w:val="00271EA6"/>
    <w:rsid w:val="00272773"/>
    <w:rsid w:val="00273876"/>
    <w:rsid w:val="00273DA2"/>
    <w:rsid w:val="00273DD2"/>
    <w:rsid w:val="0027616A"/>
    <w:rsid w:val="00277755"/>
    <w:rsid w:val="0027798E"/>
    <w:rsid w:val="00281748"/>
    <w:rsid w:val="00281BA5"/>
    <w:rsid w:val="00281E03"/>
    <w:rsid w:val="00283F40"/>
    <w:rsid w:val="00284CE2"/>
    <w:rsid w:val="00285FA1"/>
    <w:rsid w:val="00286091"/>
    <w:rsid w:val="002861A7"/>
    <w:rsid w:val="00286EF1"/>
    <w:rsid w:val="002871F3"/>
    <w:rsid w:val="00290CC3"/>
    <w:rsid w:val="00291F9C"/>
    <w:rsid w:val="00292284"/>
    <w:rsid w:val="00292424"/>
    <w:rsid w:val="00292799"/>
    <w:rsid w:val="00293389"/>
    <w:rsid w:val="00293F89"/>
    <w:rsid w:val="00293FE5"/>
    <w:rsid w:val="002944A7"/>
    <w:rsid w:val="00295D6C"/>
    <w:rsid w:val="00295E75"/>
    <w:rsid w:val="00296224"/>
    <w:rsid w:val="00297DB7"/>
    <w:rsid w:val="00297E99"/>
    <w:rsid w:val="00297EAF"/>
    <w:rsid w:val="002A01D9"/>
    <w:rsid w:val="002A084F"/>
    <w:rsid w:val="002A16D1"/>
    <w:rsid w:val="002A1E77"/>
    <w:rsid w:val="002A2691"/>
    <w:rsid w:val="002A3117"/>
    <w:rsid w:val="002A4D48"/>
    <w:rsid w:val="002A5416"/>
    <w:rsid w:val="002A5730"/>
    <w:rsid w:val="002A642C"/>
    <w:rsid w:val="002A6565"/>
    <w:rsid w:val="002A6B6C"/>
    <w:rsid w:val="002B13B3"/>
    <w:rsid w:val="002B27EF"/>
    <w:rsid w:val="002B3CB7"/>
    <w:rsid w:val="002B3FF5"/>
    <w:rsid w:val="002B4D41"/>
    <w:rsid w:val="002B4E9E"/>
    <w:rsid w:val="002B52FB"/>
    <w:rsid w:val="002B5438"/>
    <w:rsid w:val="002B65A6"/>
    <w:rsid w:val="002B67EB"/>
    <w:rsid w:val="002B6F12"/>
    <w:rsid w:val="002B6F58"/>
    <w:rsid w:val="002B7200"/>
    <w:rsid w:val="002B7BF4"/>
    <w:rsid w:val="002C0D41"/>
    <w:rsid w:val="002C0FB3"/>
    <w:rsid w:val="002C1073"/>
    <w:rsid w:val="002C1E46"/>
    <w:rsid w:val="002C2076"/>
    <w:rsid w:val="002C2ABD"/>
    <w:rsid w:val="002C2AD9"/>
    <w:rsid w:val="002C504A"/>
    <w:rsid w:val="002C5A38"/>
    <w:rsid w:val="002C5E88"/>
    <w:rsid w:val="002C602F"/>
    <w:rsid w:val="002C73D9"/>
    <w:rsid w:val="002C7509"/>
    <w:rsid w:val="002D0D83"/>
    <w:rsid w:val="002D0D9F"/>
    <w:rsid w:val="002D11AF"/>
    <w:rsid w:val="002D15A7"/>
    <w:rsid w:val="002D173D"/>
    <w:rsid w:val="002D1810"/>
    <w:rsid w:val="002D1912"/>
    <w:rsid w:val="002D1C17"/>
    <w:rsid w:val="002D3A9C"/>
    <w:rsid w:val="002D4001"/>
    <w:rsid w:val="002D4004"/>
    <w:rsid w:val="002D42B8"/>
    <w:rsid w:val="002D45C4"/>
    <w:rsid w:val="002D47AC"/>
    <w:rsid w:val="002D48FC"/>
    <w:rsid w:val="002D5C84"/>
    <w:rsid w:val="002D6770"/>
    <w:rsid w:val="002D77D1"/>
    <w:rsid w:val="002E0211"/>
    <w:rsid w:val="002E06D5"/>
    <w:rsid w:val="002E06F0"/>
    <w:rsid w:val="002E1729"/>
    <w:rsid w:val="002E1A45"/>
    <w:rsid w:val="002E23AA"/>
    <w:rsid w:val="002E2911"/>
    <w:rsid w:val="002E2F4E"/>
    <w:rsid w:val="002E2FF8"/>
    <w:rsid w:val="002E3340"/>
    <w:rsid w:val="002E3C70"/>
    <w:rsid w:val="002E46EA"/>
    <w:rsid w:val="002E4962"/>
    <w:rsid w:val="002E51EC"/>
    <w:rsid w:val="002F082E"/>
    <w:rsid w:val="002F1A48"/>
    <w:rsid w:val="002F2018"/>
    <w:rsid w:val="002F2A42"/>
    <w:rsid w:val="002F46CF"/>
    <w:rsid w:val="002F5806"/>
    <w:rsid w:val="002F6FD9"/>
    <w:rsid w:val="002F72C4"/>
    <w:rsid w:val="002F7E23"/>
    <w:rsid w:val="0030059E"/>
    <w:rsid w:val="003015CD"/>
    <w:rsid w:val="00302298"/>
    <w:rsid w:val="003023B1"/>
    <w:rsid w:val="00302A85"/>
    <w:rsid w:val="00302BCB"/>
    <w:rsid w:val="00303568"/>
    <w:rsid w:val="003042F6"/>
    <w:rsid w:val="00304A88"/>
    <w:rsid w:val="00304D78"/>
    <w:rsid w:val="00306903"/>
    <w:rsid w:val="00307668"/>
    <w:rsid w:val="00307965"/>
    <w:rsid w:val="003079AB"/>
    <w:rsid w:val="0031101A"/>
    <w:rsid w:val="00311D32"/>
    <w:rsid w:val="0031312B"/>
    <w:rsid w:val="0031578D"/>
    <w:rsid w:val="00316CB7"/>
    <w:rsid w:val="00317E35"/>
    <w:rsid w:val="003201F2"/>
    <w:rsid w:val="003210A5"/>
    <w:rsid w:val="003213A0"/>
    <w:rsid w:val="003213D1"/>
    <w:rsid w:val="00321759"/>
    <w:rsid w:val="00321CE5"/>
    <w:rsid w:val="003220C9"/>
    <w:rsid w:val="003235B6"/>
    <w:rsid w:val="00323CA5"/>
    <w:rsid w:val="00323E35"/>
    <w:rsid w:val="00323F4C"/>
    <w:rsid w:val="00325C4A"/>
    <w:rsid w:val="00326110"/>
    <w:rsid w:val="00326DD4"/>
    <w:rsid w:val="00330179"/>
    <w:rsid w:val="003302B6"/>
    <w:rsid w:val="003308BE"/>
    <w:rsid w:val="003309DE"/>
    <w:rsid w:val="003313E9"/>
    <w:rsid w:val="00332182"/>
    <w:rsid w:val="003332F6"/>
    <w:rsid w:val="00333652"/>
    <w:rsid w:val="00334CEC"/>
    <w:rsid w:val="00334E22"/>
    <w:rsid w:val="00335054"/>
    <w:rsid w:val="00335192"/>
    <w:rsid w:val="0033537B"/>
    <w:rsid w:val="003359D7"/>
    <w:rsid w:val="00335AF4"/>
    <w:rsid w:val="00335C0F"/>
    <w:rsid w:val="00335EF5"/>
    <w:rsid w:val="0034005E"/>
    <w:rsid w:val="00340683"/>
    <w:rsid w:val="00341460"/>
    <w:rsid w:val="003417EB"/>
    <w:rsid w:val="00341F4B"/>
    <w:rsid w:val="0034204B"/>
    <w:rsid w:val="00342283"/>
    <w:rsid w:val="00343F1C"/>
    <w:rsid w:val="00344207"/>
    <w:rsid w:val="00344F12"/>
    <w:rsid w:val="00345424"/>
    <w:rsid w:val="00345C08"/>
    <w:rsid w:val="00347977"/>
    <w:rsid w:val="003523D8"/>
    <w:rsid w:val="00353582"/>
    <w:rsid w:val="00353BE2"/>
    <w:rsid w:val="00353CD6"/>
    <w:rsid w:val="00354215"/>
    <w:rsid w:val="003548F2"/>
    <w:rsid w:val="00354BB6"/>
    <w:rsid w:val="003550CD"/>
    <w:rsid w:val="00355155"/>
    <w:rsid w:val="003551CD"/>
    <w:rsid w:val="003560A4"/>
    <w:rsid w:val="00356416"/>
    <w:rsid w:val="00356CF7"/>
    <w:rsid w:val="003575C6"/>
    <w:rsid w:val="00357667"/>
    <w:rsid w:val="00357AA2"/>
    <w:rsid w:val="00360C6F"/>
    <w:rsid w:val="00361820"/>
    <w:rsid w:val="00362CD1"/>
    <w:rsid w:val="00363594"/>
    <w:rsid w:val="0036376B"/>
    <w:rsid w:val="0036389D"/>
    <w:rsid w:val="00363BD2"/>
    <w:rsid w:val="00363FA9"/>
    <w:rsid w:val="00364BBF"/>
    <w:rsid w:val="00365489"/>
    <w:rsid w:val="003657B0"/>
    <w:rsid w:val="00365EF7"/>
    <w:rsid w:val="00366132"/>
    <w:rsid w:val="003665BC"/>
    <w:rsid w:val="00366B9B"/>
    <w:rsid w:val="0037014F"/>
    <w:rsid w:val="00370507"/>
    <w:rsid w:val="003709AF"/>
    <w:rsid w:val="00371728"/>
    <w:rsid w:val="0037215B"/>
    <w:rsid w:val="0037429E"/>
    <w:rsid w:val="0037503E"/>
    <w:rsid w:val="00375085"/>
    <w:rsid w:val="00377014"/>
    <w:rsid w:val="00377DBD"/>
    <w:rsid w:val="00380AFC"/>
    <w:rsid w:val="00381EC1"/>
    <w:rsid w:val="003824F2"/>
    <w:rsid w:val="00383378"/>
    <w:rsid w:val="0038392E"/>
    <w:rsid w:val="00383F91"/>
    <w:rsid w:val="00385732"/>
    <w:rsid w:val="003863B5"/>
    <w:rsid w:val="003868CD"/>
    <w:rsid w:val="0039014A"/>
    <w:rsid w:val="00390B7E"/>
    <w:rsid w:val="00391FCB"/>
    <w:rsid w:val="00392693"/>
    <w:rsid w:val="0039313E"/>
    <w:rsid w:val="0039389E"/>
    <w:rsid w:val="003949D6"/>
    <w:rsid w:val="00394A29"/>
    <w:rsid w:val="00395924"/>
    <w:rsid w:val="00395EB1"/>
    <w:rsid w:val="003970B1"/>
    <w:rsid w:val="003A0E6D"/>
    <w:rsid w:val="003A1660"/>
    <w:rsid w:val="003A1A1F"/>
    <w:rsid w:val="003A3299"/>
    <w:rsid w:val="003A32DB"/>
    <w:rsid w:val="003A3E19"/>
    <w:rsid w:val="003A4063"/>
    <w:rsid w:val="003A5830"/>
    <w:rsid w:val="003A5FA5"/>
    <w:rsid w:val="003A6710"/>
    <w:rsid w:val="003A6A70"/>
    <w:rsid w:val="003A6C72"/>
    <w:rsid w:val="003A6EE8"/>
    <w:rsid w:val="003B089A"/>
    <w:rsid w:val="003B0E9B"/>
    <w:rsid w:val="003B17D2"/>
    <w:rsid w:val="003B23F6"/>
    <w:rsid w:val="003B27C4"/>
    <w:rsid w:val="003B383F"/>
    <w:rsid w:val="003B4BF3"/>
    <w:rsid w:val="003B4DE6"/>
    <w:rsid w:val="003B724E"/>
    <w:rsid w:val="003C0471"/>
    <w:rsid w:val="003C056F"/>
    <w:rsid w:val="003C18F1"/>
    <w:rsid w:val="003C1CBF"/>
    <w:rsid w:val="003C1ED8"/>
    <w:rsid w:val="003C384B"/>
    <w:rsid w:val="003C56F8"/>
    <w:rsid w:val="003C63C0"/>
    <w:rsid w:val="003D2E01"/>
    <w:rsid w:val="003D37F2"/>
    <w:rsid w:val="003D412D"/>
    <w:rsid w:val="003D4B4B"/>
    <w:rsid w:val="003D5E24"/>
    <w:rsid w:val="003D5E26"/>
    <w:rsid w:val="003D6A63"/>
    <w:rsid w:val="003D76EC"/>
    <w:rsid w:val="003D7AA6"/>
    <w:rsid w:val="003D7FDF"/>
    <w:rsid w:val="003E03DF"/>
    <w:rsid w:val="003E0CDD"/>
    <w:rsid w:val="003E1569"/>
    <w:rsid w:val="003E1573"/>
    <w:rsid w:val="003E2B38"/>
    <w:rsid w:val="003E2DF0"/>
    <w:rsid w:val="003E3D68"/>
    <w:rsid w:val="003E4D42"/>
    <w:rsid w:val="003E54FF"/>
    <w:rsid w:val="003E6853"/>
    <w:rsid w:val="003F15EC"/>
    <w:rsid w:val="003F16E6"/>
    <w:rsid w:val="003F2AF5"/>
    <w:rsid w:val="003F5D46"/>
    <w:rsid w:val="003F5E53"/>
    <w:rsid w:val="003F625C"/>
    <w:rsid w:val="003F6A77"/>
    <w:rsid w:val="003F7EBC"/>
    <w:rsid w:val="0040000D"/>
    <w:rsid w:val="00400DC9"/>
    <w:rsid w:val="00403548"/>
    <w:rsid w:val="00404074"/>
    <w:rsid w:val="004048B4"/>
    <w:rsid w:val="00404DFA"/>
    <w:rsid w:val="004066ED"/>
    <w:rsid w:val="0040694A"/>
    <w:rsid w:val="00407028"/>
    <w:rsid w:val="00410B6C"/>
    <w:rsid w:val="004111F1"/>
    <w:rsid w:val="004113A0"/>
    <w:rsid w:val="00411F01"/>
    <w:rsid w:val="004130DF"/>
    <w:rsid w:val="00413FC0"/>
    <w:rsid w:val="00414B55"/>
    <w:rsid w:val="00415BBE"/>
    <w:rsid w:val="00415EE2"/>
    <w:rsid w:val="004161FA"/>
    <w:rsid w:val="0041691B"/>
    <w:rsid w:val="00417352"/>
    <w:rsid w:val="0042040E"/>
    <w:rsid w:val="0042073E"/>
    <w:rsid w:val="0042321E"/>
    <w:rsid w:val="0042397F"/>
    <w:rsid w:val="00424984"/>
    <w:rsid w:val="004262FF"/>
    <w:rsid w:val="00426782"/>
    <w:rsid w:val="004269FC"/>
    <w:rsid w:val="00427495"/>
    <w:rsid w:val="00427718"/>
    <w:rsid w:val="0042790A"/>
    <w:rsid w:val="00427E2B"/>
    <w:rsid w:val="0043078A"/>
    <w:rsid w:val="00431753"/>
    <w:rsid w:val="00433745"/>
    <w:rsid w:val="00435E6A"/>
    <w:rsid w:val="004365E3"/>
    <w:rsid w:val="00436DE6"/>
    <w:rsid w:val="0043730F"/>
    <w:rsid w:val="0044111C"/>
    <w:rsid w:val="0044117E"/>
    <w:rsid w:val="00441A45"/>
    <w:rsid w:val="00441D53"/>
    <w:rsid w:val="00441FA6"/>
    <w:rsid w:val="004434DD"/>
    <w:rsid w:val="00444027"/>
    <w:rsid w:val="00444E7E"/>
    <w:rsid w:val="00445714"/>
    <w:rsid w:val="0044652A"/>
    <w:rsid w:val="0044666D"/>
    <w:rsid w:val="00450D30"/>
    <w:rsid w:val="00454A94"/>
    <w:rsid w:val="00455108"/>
    <w:rsid w:val="004568FA"/>
    <w:rsid w:val="004569CE"/>
    <w:rsid w:val="0046046E"/>
    <w:rsid w:val="00460BF2"/>
    <w:rsid w:val="00460CD0"/>
    <w:rsid w:val="00460FE5"/>
    <w:rsid w:val="00461423"/>
    <w:rsid w:val="004616FC"/>
    <w:rsid w:val="0046451C"/>
    <w:rsid w:val="00464D72"/>
    <w:rsid w:val="00465E2A"/>
    <w:rsid w:val="004675E2"/>
    <w:rsid w:val="00467F26"/>
    <w:rsid w:val="0047024C"/>
    <w:rsid w:val="00470B5E"/>
    <w:rsid w:val="00470C5F"/>
    <w:rsid w:val="00470FD9"/>
    <w:rsid w:val="00471777"/>
    <w:rsid w:val="00471848"/>
    <w:rsid w:val="004727AA"/>
    <w:rsid w:val="0047366E"/>
    <w:rsid w:val="00473FC2"/>
    <w:rsid w:val="004757C4"/>
    <w:rsid w:val="0047591C"/>
    <w:rsid w:val="00475D79"/>
    <w:rsid w:val="00475F5C"/>
    <w:rsid w:val="004766CD"/>
    <w:rsid w:val="00477044"/>
    <w:rsid w:val="004778A9"/>
    <w:rsid w:val="0048075D"/>
    <w:rsid w:val="004817C8"/>
    <w:rsid w:val="00481DDE"/>
    <w:rsid w:val="00481FA6"/>
    <w:rsid w:val="00482219"/>
    <w:rsid w:val="00482492"/>
    <w:rsid w:val="00482B33"/>
    <w:rsid w:val="004836B0"/>
    <w:rsid w:val="00483C0A"/>
    <w:rsid w:val="00483F88"/>
    <w:rsid w:val="00484083"/>
    <w:rsid w:val="004859A1"/>
    <w:rsid w:val="004869F6"/>
    <w:rsid w:val="00487107"/>
    <w:rsid w:val="00487274"/>
    <w:rsid w:val="00487571"/>
    <w:rsid w:val="00487816"/>
    <w:rsid w:val="00490478"/>
    <w:rsid w:val="00490833"/>
    <w:rsid w:val="00490993"/>
    <w:rsid w:val="00490CFD"/>
    <w:rsid w:val="00490EF2"/>
    <w:rsid w:val="004926AE"/>
    <w:rsid w:val="00492860"/>
    <w:rsid w:val="00492C2B"/>
    <w:rsid w:val="00493584"/>
    <w:rsid w:val="00494FAE"/>
    <w:rsid w:val="004956CE"/>
    <w:rsid w:val="004970C6"/>
    <w:rsid w:val="0049713B"/>
    <w:rsid w:val="00497CE3"/>
    <w:rsid w:val="004A2F4A"/>
    <w:rsid w:val="004A4B13"/>
    <w:rsid w:val="004A52BA"/>
    <w:rsid w:val="004A532B"/>
    <w:rsid w:val="004A566F"/>
    <w:rsid w:val="004A6612"/>
    <w:rsid w:val="004A69E7"/>
    <w:rsid w:val="004A7D78"/>
    <w:rsid w:val="004A7D84"/>
    <w:rsid w:val="004A7DB2"/>
    <w:rsid w:val="004B0763"/>
    <w:rsid w:val="004B1341"/>
    <w:rsid w:val="004B1EF8"/>
    <w:rsid w:val="004B390D"/>
    <w:rsid w:val="004B3F6F"/>
    <w:rsid w:val="004B44B7"/>
    <w:rsid w:val="004B4D94"/>
    <w:rsid w:val="004B50C3"/>
    <w:rsid w:val="004B52D3"/>
    <w:rsid w:val="004B569F"/>
    <w:rsid w:val="004B59CF"/>
    <w:rsid w:val="004B5A90"/>
    <w:rsid w:val="004B60E1"/>
    <w:rsid w:val="004B658D"/>
    <w:rsid w:val="004B678B"/>
    <w:rsid w:val="004B6909"/>
    <w:rsid w:val="004B6C1D"/>
    <w:rsid w:val="004B7693"/>
    <w:rsid w:val="004C17D2"/>
    <w:rsid w:val="004C2F78"/>
    <w:rsid w:val="004C4398"/>
    <w:rsid w:val="004C55E4"/>
    <w:rsid w:val="004C5DDF"/>
    <w:rsid w:val="004C6952"/>
    <w:rsid w:val="004C715B"/>
    <w:rsid w:val="004C73EE"/>
    <w:rsid w:val="004D0DE4"/>
    <w:rsid w:val="004D138C"/>
    <w:rsid w:val="004D2716"/>
    <w:rsid w:val="004D295A"/>
    <w:rsid w:val="004D329B"/>
    <w:rsid w:val="004D3C18"/>
    <w:rsid w:val="004D4964"/>
    <w:rsid w:val="004D6189"/>
    <w:rsid w:val="004E0086"/>
    <w:rsid w:val="004E085C"/>
    <w:rsid w:val="004E19B6"/>
    <w:rsid w:val="004E2EFA"/>
    <w:rsid w:val="004E326D"/>
    <w:rsid w:val="004E3F9A"/>
    <w:rsid w:val="004E4CA0"/>
    <w:rsid w:val="004E5A42"/>
    <w:rsid w:val="004E607C"/>
    <w:rsid w:val="004E6573"/>
    <w:rsid w:val="004F0D4F"/>
    <w:rsid w:val="004F148A"/>
    <w:rsid w:val="004F1DFA"/>
    <w:rsid w:val="004F23C9"/>
    <w:rsid w:val="004F37C6"/>
    <w:rsid w:val="004F4B7F"/>
    <w:rsid w:val="004F4C26"/>
    <w:rsid w:val="004F50AA"/>
    <w:rsid w:val="004F5A37"/>
    <w:rsid w:val="004F63FB"/>
    <w:rsid w:val="004F66D5"/>
    <w:rsid w:val="004F69F5"/>
    <w:rsid w:val="004F752E"/>
    <w:rsid w:val="00500236"/>
    <w:rsid w:val="00500C38"/>
    <w:rsid w:val="00501974"/>
    <w:rsid w:val="00501B4A"/>
    <w:rsid w:val="0050206B"/>
    <w:rsid w:val="0050517A"/>
    <w:rsid w:val="00505582"/>
    <w:rsid w:val="00505DD6"/>
    <w:rsid w:val="00507746"/>
    <w:rsid w:val="00507E9D"/>
    <w:rsid w:val="005100EF"/>
    <w:rsid w:val="00510D83"/>
    <w:rsid w:val="00510EDB"/>
    <w:rsid w:val="005110C6"/>
    <w:rsid w:val="00511236"/>
    <w:rsid w:val="00511FA0"/>
    <w:rsid w:val="005125B7"/>
    <w:rsid w:val="00512678"/>
    <w:rsid w:val="00513695"/>
    <w:rsid w:val="0051468F"/>
    <w:rsid w:val="005152A7"/>
    <w:rsid w:val="005173C5"/>
    <w:rsid w:val="00517568"/>
    <w:rsid w:val="00517B0B"/>
    <w:rsid w:val="005207A8"/>
    <w:rsid w:val="00521898"/>
    <w:rsid w:val="00521D17"/>
    <w:rsid w:val="005223B4"/>
    <w:rsid w:val="00522685"/>
    <w:rsid w:val="0052410C"/>
    <w:rsid w:val="0052551B"/>
    <w:rsid w:val="00525B66"/>
    <w:rsid w:val="00527260"/>
    <w:rsid w:val="00527A39"/>
    <w:rsid w:val="00527C20"/>
    <w:rsid w:val="00531417"/>
    <w:rsid w:val="00531E76"/>
    <w:rsid w:val="00533529"/>
    <w:rsid w:val="00533B7B"/>
    <w:rsid w:val="00533F18"/>
    <w:rsid w:val="0053508D"/>
    <w:rsid w:val="00535509"/>
    <w:rsid w:val="005357DA"/>
    <w:rsid w:val="005368B3"/>
    <w:rsid w:val="00536E31"/>
    <w:rsid w:val="0054246E"/>
    <w:rsid w:val="00544000"/>
    <w:rsid w:val="00544C43"/>
    <w:rsid w:val="00546396"/>
    <w:rsid w:val="00546C3F"/>
    <w:rsid w:val="00547446"/>
    <w:rsid w:val="0054753C"/>
    <w:rsid w:val="00547AE0"/>
    <w:rsid w:val="0055041F"/>
    <w:rsid w:val="00551197"/>
    <w:rsid w:val="00551BF3"/>
    <w:rsid w:val="00551F59"/>
    <w:rsid w:val="00552CED"/>
    <w:rsid w:val="00553453"/>
    <w:rsid w:val="005544BD"/>
    <w:rsid w:val="00554B95"/>
    <w:rsid w:val="00554DA4"/>
    <w:rsid w:val="005558FA"/>
    <w:rsid w:val="0055632A"/>
    <w:rsid w:val="00556F08"/>
    <w:rsid w:val="005575E4"/>
    <w:rsid w:val="00560168"/>
    <w:rsid w:val="00560CA9"/>
    <w:rsid w:val="00561D86"/>
    <w:rsid w:val="00562D9B"/>
    <w:rsid w:val="00562EF5"/>
    <w:rsid w:val="00563256"/>
    <w:rsid w:val="0056334B"/>
    <w:rsid w:val="0056347C"/>
    <w:rsid w:val="005635B2"/>
    <w:rsid w:val="00563CF6"/>
    <w:rsid w:val="0056404E"/>
    <w:rsid w:val="005644F8"/>
    <w:rsid w:val="005657C9"/>
    <w:rsid w:val="00565803"/>
    <w:rsid w:val="00565809"/>
    <w:rsid w:val="00565CE7"/>
    <w:rsid w:val="005667F4"/>
    <w:rsid w:val="00566F2C"/>
    <w:rsid w:val="005674BC"/>
    <w:rsid w:val="00572787"/>
    <w:rsid w:val="00572852"/>
    <w:rsid w:val="00572FC8"/>
    <w:rsid w:val="00573E27"/>
    <w:rsid w:val="00573F52"/>
    <w:rsid w:val="00574A8B"/>
    <w:rsid w:val="0057520A"/>
    <w:rsid w:val="00575983"/>
    <w:rsid w:val="005769C2"/>
    <w:rsid w:val="00577458"/>
    <w:rsid w:val="005800FE"/>
    <w:rsid w:val="0058127F"/>
    <w:rsid w:val="005814A4"/>
    <w:rsid w:val="00581957"/>
    <w:rsid w:val="00581C97"/>
    <w:rsid w:val="00581F79"/>
    <w:rsid w:val="00582021"/>
    <w:rsid w:val="00582BE8"/>
    <w:rsid w:val="005839FF"/>
    <w:rsid w:val="00583D26"/>
    <w:rsid w:val="00584FD4"/>
    <w:rsid w:val="00585836"/>
    <w:rsid w:val="00586BC0"/>
    <w:rsid w:val="00587DC1"/>
    <w:rsid w:val="00587F61"/>
    <w:rsid w:val="0059216C"/>
    <w:rsid w:val="005925AB"/>
    <w:rsid w:val="005928F2"/>
    <w:rsid w:val="00592EAA"/>
    <w:rsid w:val="00593534"/>
    <w:rsid w:val="00593D20"/>
    <w:rsid w:val="00595AEF"/>
    <w:rsid w:val="00595AF5"/>
    <w:rsid w:val="00596271"/>
    <w:rsid w:val="0059750F"/>
    <w:rsid w:val="005A1127"/>
    <w:rsid w:val="005A11AB"/>
    <w:rsid w:val="005A28A6"/>
    <w:rsid w:val="005A3123"/>
    <w:rsid w:val="005A323F"/>
    <w:rsid w:val="005A3A18"/>
    <w:rsid w:val="005A4DAC"/>
    <w:rsid w:val="005A5757"/>
    <w:rsid w:val="005A626F"/>
    <w:rsid w:val="005A7D3C"/>
    <w:rsid w:val="005B077F"/>
    <w:rsid w:val="005B08D4"/>
    <w:rsid w:val="005B13BC"/>
    <w:rsid w:val="005B194D"/>
    <w:rsid w:val="005B1ACE"/>
    <w:rsid w:val="005B2314"/>
    <w:rsid w:val="005B28DA"/>
    <w:rsid w:val="005B2E46"/>
    <w:rsid w:val="005B3537"/>
    <w:rsid w:val="005B4044"/>
    <w:rsid w:val="005B4AC0"/>
    <w:rsid w:val="005B4B4E"/>
    <w:rsid w:val="005B61A6"/>
    <w:rsid w:val="005B677C"/>
    <w:rsid w:val="005B6A7D"/>
    <w:rsid w:val="005B7707"/>
    <w:rsid w:val="005C0C81"/>
    <w:rsid w:val="005C2B66"/>
    <w:rsid w:val="005C310F"/>
    <w:rsid w:val="005C3384"/>
    <w:rsid w:val="005C3973"/>
    <w:rsid w:val="005C41F5"/>
    <w:rsid w:val="005C460B"/>
    <w:rsid w:val="005C5BE7"/>
    <w:rsid w:val="005C6127"/>
    <w:rsid w:val="005C6447"/>
    <w:rsid w:val="005C680A"/>
    <w:rsid w:val="005C6BBC"/>
    <w:rsid w:val="005C6C22"/>
    <w:rsid w:val="005C7AEF"/>
    <w:rsid w:val="005C7BB4"/>
    <w:rsid w:val="005D07B7"/>
    <w:rsid w:val="005D083C"/>
    <w:rsid w:val="005D0C57"/>
    <w:rsid w:val="005D0FBD"/>
    <w:rsid w:val="005D1B4B"/>
    <w:rsid w:val="005D1CCE"/>
    <w:rsid w:val="005D1DB7"/>
    <w:rsid w:val="005D3425"/>
    <w:rsid w:val="005D377F"/>
    <w:rsid w:val="005D482A"/>
    <w:rsid w:val="005D53B4"/>
    <w:rsid w:val="005D5453"/>
    <w:rsid w:val="005D5EAF"/>
    <w:rsid w:val="005D5EBE"/>
    <w:rsid w:val="005D68C0"/>
    <w:rsid w:val="005D6D5D"/>
    <w:rsid w:val="005D6E32"/>
    <w:rsid w:val="005D70D8"/>
    <w:rsid w:val="005D7B2C"/>
    <w:rsid w:val="005D7D19"/>
    <w:rsid w:val="005D7F05"/>
    <w:rsid w:val="005E002B"/>
    <w:rsid w:val="005E0FC5"/>
    <w:rsid w:val="005E2602"/>
    <w:rsid w:val="005E3004"/>
    <w:rsid w:val="005E3CBD"/>
    <w:rsid w:val="005E3E72"/>
    <w:rsid w:val="005E44AB"/>
    <w:rsid w:val="005E4641"/>
    <w:rsid w:val="005E4A38"/>
    <w:rsid w:val="005E520A"/>
    <w:rsid w:val="005E58FB"/>
    <w:rsid w:val="005E6837"/>
    <w:rsid w:val="005E7C8B"/>
    <w:rsid w:val="005F11BE"/>
    <w:rsid w:val="005F304F"/>
    <w:rsid w:val="005F3E9A"/>
    <w:rsid w:val="005F4D9A"/>
    <w:rsid w:val="005F4DCA"/>
    <w:rsid w:val="005F51BC"/>
    <w:rsid w:val="005F59BA"/>
    <w:rsid w:val="005F6E07"/>
    <w:rsid w:val="005F749A"/>
    <w:rsid w:val="005F7DD7"/>
    <w:rsid w:val="00600357"/>
    <w:rsid w:val="00601127"/>
    <w:rsid w:val="006018EA"/>
    <w:rsid w:val="00601B27"/>
    <w:rsid w:val="0060434B"/>
    <w:rsid w:val="00604589"/>
    <w:rsid w:val="0060677F"/>
    <w:rsid w:val="00606A68"/>
    <w:rsid w:val="006077A5"/>
    <w:rsid w:val="00610454"/>
    <w:rsid w:val="00610A4F"/>
    <w:rsid w:val="00610C1F"/>
    <w:rsid w:val="00612CFD"/>
    <w:rsid w:val="006131DC"/>
    <w:rsid w:val="00613304"/>
    <w:rsid w:val="00613FE1"/>
    <w:rsid w:val="00614E9B"/>
    <w:rsid w:val="00615203"/>
    <w:rsid w:val="0061560B"/>
    <w:rsid w:val="00620088"/>
    <w:rsid w:val="00621071"/>
    <w:rsid w:val="006211CB"/>
    <w:rsid w:val="006212F4"/>
    <w:rsid w:val="00621DF4"/>
    <w:rsid w:val="00622BF4"/>
    <w:rsid w:val="006232EB"/>
    <w:rsid w:val="00623536"/>
    <w:rsid w:val="00623A0D"/>
    <w:rsid w:val="00623C4C"/>
    <w:rsid w:val="00623D61"/>
    <w:rsid w:val="00623D91"/>
    <w:rsid w:val="0062437C"/>
    <w:rsid w:val="006263C6"/>
    <w:rsid w:val="00626B5E"/>
    <w:rsid w:val="00627C19"/>
    <w:rsid w:val="00630756"/>
    <w:rsid w:val="00631B8A"/>
    <w:rsid w:val="00632DE5"/>
    <w:rsid w:val="006335EF"/>
    <w:rsid w:val="0063431C"/>
    <w:rsid w:val="00634A94"/>
    <w:rsid w:val="00634DE3"/>
    <w:rsid w:val="00634F5D"/>
    <w:rsid w:val="0063534E"/>
    <w:rsid w:val="00635520"/>
    <w:rsid w:val="00635758"/>
    <w:rsid w:val="00635D22"/>
    <w:rsid w:val="00636814"/>
    <w:rsid w:val="00636986"/>
    <w:rsid w:val="00636BDB"/>
    <w:rsid w:val="00637E66"/>
    <w:rsid w:val="0064053F"/>
    <w:rsid w:val="00641235"/>
    <w:rsid w:val="00641444"/>
    <w:rsid w:val="00641FFE"/>
    <w:rsid w:val="006422AD"/>
    <w:rsid w:val="006430DC"/>
    <w:rsid w:val="00643C13"/>
    <w:rsid w:val="00644578"/>
    <w:rsid w:val="00644E4B"/>
    <w:rsid w:val="0064518E"/>
    <w:rsid w:val="006452C0"/>
    <w:rsid w:val="00646433"/>
    <w:rsid w:val="0064647F"/>
    <w:rsid w:val="00647B36"/>
    <w:rsid w:val="0065061D"/>
    <w:rsid w:val="00652B3C"/>
    <w:rsid w:val="006544B8"/>
    <w:rsid w:val="006546EC"/>
    <w:rsid w:val="00654BCF"/>
    <w:rsid w:val="00654D7D"/>
    <w:rsid w:val="00655DA9"/>
    <w:rsid w:val="006561FB"/>
    <w:rsid w:val="006566E7"/>
    <w:rsid w:val="00656C68"/>
    <w:rsid w:val="00657248"/>
    <w:rsid w:val="00657EA7"/>
    <w:rsid w:val="00660601"/>
    <w:rsid w:val="0066097E"/>
    <w:rsid w:val="00661F61"/>
    <w:rsid w:val="006622CF"/>
    <w:rsid w:val="00663DE5"/>
    <w:rsid w:val="0066469D"/>
    <w:rsid w:val="00664D60"/>
    <w:rsid w:val="00665BF3"/>
    <w:rsid w:val="00666777"/>
    <w:rsid w:val="00667772"/>
    <w:rsid w:val="00667AFF"/>
    <w:rsid w:val="00667B3E"/>
    <w:rsid w:val="00671BB2"/>
    <w:rsid w:val="00672A31"/>
    <w:rsid w:val="00672DC5"/>
    <w:rsid w:val="00673FB8"/>
    <w:rsid w:val="00675254"/>
    <w:rsid w:val="00675688"/>
    <w:rsid w:val="00675B20"/>
    <w:rsid w:val="00676D6B"/>
    <w:rsid w:val="0067771B"/>
    <w:rsid w:val="00677A25"/>
    <w:rsid w:val="00680888"/>
    <w:rsid w:val="00680C96"/>
    <w:rsid w:val="00681701"/>
    <w:rsid w:val="006817EC"/>
    <w:rsid w:val="0068717D"/>
    <w:rsid w:val="0069078A"/>
    <w:rsid w:val="00690891"/>
    <w:rsid w:val="00690CB3"/>
    <w:rsid w:val="00691A35"/>
    <w:rsid w:val="00691A65"/>
    <w:rsid w:val="00691B7B"/>
    <w:rsid w:val="00691BF8"/>
    <w:rsid w:val="00692951"/>
    <w:rsid w:val="0069353A"/>
    <w:rsid w:val="0069373E"/>
    <w:rsid w:val="0069379B"/>
    <w:rsid w:val="00695376"/>
    <w:rsid w:val="00695CFC"/>
    <w:rsid w:val="00695EEC"/>
    <w:rsid w:val="0069695F"/>
    <w:rsid w:val="00697666"/>
    <w:rsid w:val="006977CE"/>
    <w:rsid w:val="006A0626"/>
    <w:rsid w:val="006A0D76"/>
    <w:rsid w:val="006A1735"/>
    <w:rsid w:val="006A1841"/>
    <w:rsid w:val="006A3586"/>
    <w:rsid w:val="006A3628"/>
    <w:rsid w:val="006A3A74"/>
    <w:rsid w:val="006A4B84"/>
    <w:rsid w:val="006A4C26"/>
    <w:rsid w:val="006A57B2"/>
    <w:rsid w:val="006A640B"/>
    <w:rsid w:val="006A6519"/>
    <w:rsid w:val="006A6D66"/>
    <w:rsid w:val="006A6E85"/>
    <w:rsid w:val="006A702E"/>
    <w:rsid w:val="006A78A5"/>
    <w:rsid w:val="006A7E0A"/>
    <w:rsid w:val="006B105F"/>
    <w:rsid w:val="006B142C"/>
    <w:rsid w:val="006B5E64"/>
    <w:rsid w:val="006B71DD"/>
    <w:rsid w:val="006B728A"/>
    <w:rsid w:val="006B72EB"/>
    <w:rsid w:val="006B7369"/>
    <w:rsid w:val="006B7C5C"/>
    <w:rsid w:val="006C004E"/>
    <w:rsid w:val="006C0885"/>
    <w:rsid w:val="006C0D78"/>
    <w:rsid w:val="006C0FCD"/>
    <w:rsid w:val="006C1603"/>
    <w:rsid w:val="006C16C3"/>
    <w:rsid w:val="006C27E1"/>
    <w:rsid w:val="006C2808"/>
    <w:rsid w:val="006C2A2D"/>
    <w:rsid w:val="006C3062"/>
    <w:rsid w:val="006C37DF"/>
    <w:rsid w:val="006C39FE"/>
    <w:rsid w:val="006C5951"/>
    <w:rsid w:val="006C64E2"/>
    <w:rsid w:val="006C6E46"/>
    <w:rsid w:val="006C6F5D"/>
    <w:rsid w:val="006D06EC"/>
    <w:rsid w:val="006D0AFC"/>
    <w:rsid w:val="006D127B"/>
    <w:rsid w:val="006D1936"/>
    <w:rsid w:val="006D1EBF"/>
    <w:rsid w:val="006D20B6"/>
    <w:rsid w:val="006D3654"/>
    <w:rsid w:val="006D3E98"/>
    <w:rsid w:val="006D4468"/>
    <w:rsid w:val="006D4B49"/>
    <w:rsid w:val="006D4FEA"/>
    <w:rsid w:val="006D50BD"/>
    <w:rsid w:val="006D597F"/>
    <w:rsid w:val="006D5BF2"/>
    <w:rsid w:val="006D7037"/>
    <w:rsid w:val="006D74B9"/>
    <w:rsid w:val="006E0289"/>
    <w:rsid w:val="006E04D2"/>
    <w:rsid w:val="006E0B8F"/>
    <w:rsid w:val="006E0CF6"/>
    <w:rsid w:val="006E3222"/>
    <w:rsid w:val="006E38F3"/>
    <w:rsid w:val="006E4284"/>
    <w:rsid w:val="006E527E"/>
    <w:rsid w:val="006E6118"/>
    <w:rsid w:val="006E761D"/>
    <w:rsid w:val="006E76D3"/>
    <w:rsid w:val="006E78A5"/>
    <w:rsid w:val="006E7A64"/>
    <w:rsid w:val="006F0164"/>
    <w:rsid w:val="006F0DD3"/>
    <w:rsid w:val="006F1428"/>
    <w:rsid w:val="006F3E93"/>
    <w:rsid w:val="006F442D"/>
    <w:rsid w:val="006F4CEC"/>
    <w:rsid w:val="006F5441"/>
    <w:rsid w:val="006F5F11"/>
    <w:rsid w:val="006F60EF"/>
    <w:rsid w:val="006F6D9B"/>
    <w:rsid w:val="006F6F4C"/>
    <w:rsid w:val="006F74E2"/>
    <w:rsid w:val="007004ED"/>
    <w:rsid w:val="007009BA"/>
    <w:rsid w:val="00700A53"/>
    <w:rsid w:val="00702308"/>
    <w:rsid w:val="007027C4"/>
    <w:rsid w:val="0070300E"/>
    <w:rsid w:val="007031E7"/>
    <w:rsid w:val="00704202"/>
    <w:rsid w:val="007043CE"/>
    <w:rsid w:val="007043F0"/>
    <w:rsid w:val="007047F6"/>
    <w:rsid w:val="007079D8"/>
    <w:rsid w:val="00710BEB"/>
    <w:rsid w:val="00710F9F"/>
    <w:rsid w:val="007117DA"/>
    <w:rsid w:val="00711A1D"/>
    <w:rsid w:val="007131BF"/>
    <w:rsid w:val="007133CB"/>
    <w:rsid w:val="00714336"/>
    <w:rsid w:val="00714B12"/>
    <w:rsid w:val="0071578F"/>
    <w:rsid w:val="00715C66"/>
    <w:rsid w:val="00716294"/>
    <w:rsid w:val="00716469"/>
    <w:rsid w:val="00716927"/>
    <w:rsid w:val="00716B5D"/>
    <w:rsid w:val="00716BBA"/>
    <w:rsid w:val="007178C3"/>
    <w:rsid w:val="00720ED8"/>
    <w:rsid w:val="007221E0"/>
    <w:rsid w:val="0072228A"/>
    <w:rsid w:val="0072534B"/>
    <w:rsid w:val="00725668"/>
    <w:rsid w:val="00726B3D"/>
    <w:rsid w:val="00727E32"/>
    <w:rsid w:val="00733415"/>
    <w:rsid w:val="007336DD"/>
    <w:rsid w:val="00733783"/>
    <w:rsid w:val="00734557"/>
    <w:rsid w:val="0073483B"/>
    <w:rsid w:val="007360B1"/>
    <w:rsid w:val="00736669"/>
    <w:rsid w:val="0074171F"/>
    <w:rsid w:val="00741987"/>
    <w:rsid w:val="00741993"/>
    <w:rsid w:val="0074223A"/>
    <w:rsid w:val="00743417"/>
    <w:rsid w:val="00743B85"/>
    <w:rsid w:val="00743BB0"/>
    <w:rsid w:val="00744380"/>
    <w:rsid w:val="00745590"/>
    <w:rsid w:val="007463CD"/>
    <w:rsid w:val="00747F8E"/>
    <w:rsid w:val="00750611"/>
    <w:rsid w:val="0075066E"/>
    <w:rsid w:val="00751C5F"/>
    <w:rsid w:val="00753008"/>
    <w:rsid w:val="0075464E"/>
    <w:rsid w:val="00754819"/>
    <w:rsid w:val="00754E5E"/>
    <w:rsid w:val="00755172"/>
    <w:rsid w:val="007569B3"/>
    <w:rsid w:val="00757F68"/>
    <w:rsid w:val="0076025D"/>
    <w:rsid w:val="00760C27"/>
    <w:rsid w:val="00762B1D"/>
    <w:rsid w:val="00762B32"/>
    <w:rsid w:val="00763190"/>
    <w:rsid w:val="007633A1"/>
    <w:rsid w:val="007644E7"/>
    <w:rsid w:val="007645B7"/>
    <w:rsid w:val="00764EE6"/>
    <w:rsid w:val="00765D2E"/>
    <w:rsid w:val="00765FFA"/>
    <w:rsid w:val="00766035"/>
    <w:rsid w:val="0076698E"/>
    <w:rsid w:val="00766CE8"/>
    <w:rsid w:val="00766CF3"/>
    <w:rsid w:val="007670B5"/>
    <w:rsid w:val="0077009C"/>
    <w:rsid w:val="00770867"/>
    <w:rsid w:val="00770BAF"/>
    <w:rsid w:val="00771162"/>
    <w:rsid w:val="00771785"/>
    <w:rsid w:val="00771810"/>
    <w:rsid w:val="00771C8D"/>
    <w:rsid w:val="00771D0B"/>
    <w:rsid w:val="0077285B"/>
    <w:rsid w:val="00772C2C"/>
    <w:rsid w:val="00772CB0"/>
    <w:rsid w:val="00772D50"/>
    <w:rsid w:val="007735E4"/>
    <w:rsid w:val="007744F2"/>
    <w:rsid w:val="0077589E"/>
    <w:rsid w:val="00775D23"/>
    <w:rsid w:val="00776976"/>
    <w:rsid w:val="00780431"/>
    <w:rsid w:val="00780731"/>
    <w:rsid w:val="0078079C"/>
    <w:rsid w:val="007808E4"/>
    <w:rsid w:val="00781E41"/>
    <w:rsid w:val="007822AA"/>
    <w:rsid w:val="0078290A"/>
    <w:rsid w:val="00782B2F"/>
    <w:rsid w:val="0078326D"/>
    <w:rsid w:val="00783887"/>
    <w:rsid w:val="007838EE"/>
    <w:rsid w:val="007845DD"/>
    <w:rsid w:val="00785036"/>
    <w:rsid w:val="007859AC"/>
    <w:rsid w:val="00786659"/>
    <w:rsid w:val="00786F2F"/>
    <w:rsid w:val="007873F7"/>
    <w:rsid w:val="00790BC4"/>
    <w:rsid w:val="00791790"/>
    <w:rsid w:val="007924E1"/>
    <w:rsid w:val="00793D2B"/>
    <w:rsid w:val="007963CA"/>
    <w:rsid w:val="0079662F"/>
    <w:rsid w:val="00797435"/>
    <w:rsid w:val="00797D73"/>
    <w:rsid w:val="007A02D0"/>
    <w:rsid w:val="007A032E"/>
    <w:rsid w:val="007A055A"/>
    <w:rsid w:val="007A0C29"/>
    <w:rsid w:val="007A1B76"/>
    <w:rsid w:val="007A1BCA"/>
    <w:rsid w:val="007A2BF2"/>
    <w:rsid w:val="007A364C"/>
    <w:rsid w:val="007A365B"/>
    <w:rsid w:val="007A3CA7"/>
    <w:rsid w:val="007A6955"/>
    <w:rsid w:val="007A6AA5"/>
    <w:rsid w:val="007A7C38"/>
    <w:rsid w:val="007B0DE4"/>
    <w:rsid w:val="007B15DA"/>
    <w:rsid w:val="007B2C2A"/>
    <w:rsid w:val="007B2E89"/>
    <w:rsid w:val="007B3210"/>
    <w:rsid w:val="007B424A"/>
    <w:rsid w:val="007B632C"/>
    <w:rsid w:val="007B6C05"/>
    <w:rsid w:val="007B6F6B"/>
    <w:rsid w:val="007B702B"/>
    <w:rsid w:val="007B7178"/>
    <w:rsid w:val="007C13B0"/>
    <w:rsid w:val="007C17C9"/>
    <w:rsid w:val="007C2BB6"/>
    <w:rsid w:val="007C3253"/>
    <w:rsid w:val="007C35FE"/>
    <w:rsid w:val="007C3AEE"/>
    <w:rsid w:val="007C3E58"/>
    <w:rsid w:val="007C4837"/>
    <w:rsid w:val="007C5E42"/>
    <w:rsid w:val="007C64A0"/>
    <w:rsid w:val="007C6676"/>
    <w:rsid w:val="007C6CA4"/>
    <w:rsid w:val="007C7FCA"/>
    <w:rsid w:val="007D0E60"/>
    <w:rsid w:val="007D101D"/>
    <w:rsid w:val="007D10F3"/>
    <w:rsid w:val="007D17E4"/>
    <w:rsid w:val="007D18A5"/>
    <w:rsid w:val="007D1949"/>
    <w:rsid w:val="007D240D"/>
    <w:rsid w:val="007D342B"/>
    <w:rsid w:val="007D45A9"/>
    <w:rsid w:val="007D46DF"/>
    <w:rsid w:val="007D4825"/>
    <w:rsid w:val="007D560B"/>
    <w:rsid w:val="007D575F"/>
    <w:rsid w:val="007D59CA"/>
    <w:rsid w:val="007D5C44"/>
    <w:rsid w:val="007D6EEB"/>
    <w:rsid w:val="007D7CB5"/>
    <w:rsid w:val="007E0124"/>
    <w:rsid w:val="007E086A"/>
    <w:rsid w:val="007E18D3"/>
    <w:rsid w:val="007E2364"/>
    <w:rsid w:val="007E2F46"/>
    <w:rsid w:val="007E3658"/>
    <w:rsid w:val="007E396F"/>
    <w:rsid w:val="007E3F95"/>
    <w:rsid w:val="007E4BBA"/>
    <w:rsid w:val="007E5233"/>
    <w:rsid w:val="007E530B"/>
    <w:rsid w:val="007E6DAF"/>
    <w:rsid w:val="007F03BE"/>
    <w:rsid w:val="007F0D8E"/>
    <w:rsid w:val="007F13B7"/>
    <w:rsid w:val="007F1F79"/>
    <w:rsid w:val="007F2CDF"/>
    <w:rsid w:val="007F340F"/>
    <w:rsid w:val="007F3D49"/>
    <w:rsid w:val="007F6143"/>
    <w:rsid w:val="007F63FD"/>
    <w:rsid w:val="007F6A80"/>
    <w:rsid w:val="007F7E73"/>
    <w:rsid w:val="00801429"/>
    <w:rsid w:val="00801E67"/>
    <w:rsid w:val="008020F8"/>
    <w:rsid w:val="0080248E"/>
    <w:rsid w:val="00803921"/>
    <w:rsid w:val="0080457C"/>
    <w:rsid w:val="00804B5B"/>
    <w:rsid w:val="008074A8"/>
    <w:rsid w:val="008074D6"/>
    <w:rsid w:val="008102B7"/>
    <w:rsid w:val="0081094F"/>
    <w:rsid w:val="0081205B"/>
    <w:rsid w:val="00812212"/>
    <w:rsid w:val="00812B3E"/>
    <w:rsid w:val="00812D3B"/>
    <w:rsid w:val="00814C4E"/>
    <w:rsid w:val="008152F4"/>
    <w:rsid w:val="00815492"/>
    <w:rsid w:val="0081576F"/>
    <w:rsid w:val="00815A50"/>
    <w:rsid w:val="00816C59"/>
    <w:rsid w:val="00816CEB"/>
    <w:rsid w:val="00817176"/>
    <w:rsid w:val="00817219"/>
    <w:rsid w:val="0082052F"/>
    <w:rsid w:val="00821AEC"/>
    <w:rsid w:val="00822E4D"/>
    <w:rsid w:val="00824014"/>
    <w:rsid w:val="0082405E"/>
    <w:rsid w:val="008258FB"/>
    <w:rsid w:val="00826D8D"/>
    <w:rsid w:val="00826E06"/>
    <w:rsid w:val="00827868"/>
    <w:rsid w:val="008278C0"/>
    <w:rsid w:val="008301C4"/>
    <w:rsid w:val="008305EC"/>
    <w:rsid w:val="008309BD"/>
    <w:rsid w:val="00832646"/>
    <w:rsid w:val="00833847"/>
    <w:rsid w:val="00833E9B"/>
    <w:rsid w:val="00834E7A"/>
    <w:rsid w:val="00835358"/>
    <w:rsid w:val="0083643A"/>
    <w:rsid w:val="008372A7"/>
    <w:rsid w:val="00837372"/>
    <w:rsid w:val="008406D6"/>
    <w:rsid w:val="00840F86"/>
    <w:rsid w:val="00841893"/>
    <w:rsid w:val="00842079"/>
    <w:rsid w:val="00842B2A"/>
    <w:rsid w:val="00842BD3"/>
    <w:rsid w:val="008443EE"/>
    <w:rsid w:val="00845516"/>
    <w:rsid w:val="008456DD"/>
    <w:rsid w:val="008468A5"/>
    <w:rsid w:val="00847144"/>
    <w:rsid w:val="008472F5"/>
    <w:rsid w:val="008504EF"/>
    <w:rsid w:val="00851818"/>
    <w:rsid w:val="00852BB6"/>
    <w:rsid w:val="00852FC5"/>
    <w:rsid w:val="008532A2"/>
    <w:rsid w:val="00853434"/>
    <w:rsid w:val="00853658"/>
    <w:rsid w:val="008537B6"/>
    <w:rsid w:val="008548D9"/>
    <w:rsid w:val="008566F1"/>
    <w:rsid w:val="00856795"/>
    <w:rsid w:val="0085756C"/>
    <w:rsid w:val="0085759E"/>
    <w:rsid w:val="00857639"/>
    <w:rsid w:val="00857A44"/>
    <w:rsid w:val="00857DCA"/>
    <w:rsid w:val="0086026C"/>
    <w:rsid w:val="00860B12"/>
    <w:rsid w:val="0086208B"/>
    <w:rsid w:val="00862920"/>
    <w:rsid w:val="008633C8"/>
    <w:rsid w:val="008641F6"/>
    <w:rsid w:val="00864271"/>
    <w:rsid w:val="00864601"/>
    <w:rsid w:val="00865061"/>
    <w:rsid w:val="00865E54"/>
    <w:rsid w:val="00866544"/>
    <w:rsid w:val="00867E5B"/>
    <w:rsid w:val="00871470"/>
    <w:rsid w:val="0087154D"/>
    <w:rsid w:val="00871F20"/>
    <w:rsid w:val="008720EC"/>
    <w:rsid w:val="008726D2"/>
    <w:rsid w:val="0087431E"/>
    <w:rsid w:val="00874334"/>
    <w:rsid w:val="00874B62"/>
    <w:rsid w:val="00874DAD"/>
    <w:rsid w:val="00876566"/>
    <w:rsid w:val="00876ADE"/>
    <w:rsid w:val="00877216"/>
    <w:rsid w:val="008778AD"/>
    <w:rsid w:val="008778C0"/>
    <w:rsid w:val="00877DBE"/>
    <w:rsid w:val="0088020E"/>
    <w:rsid w:val="00880294"/>
    <w:rsid w:val="00880299"/>
    <w:rsid w:val="00880455"/>
    <w:rsid w:val="00881441"/>
    <w:rsid w:val="008814C4"/>
    <w:rsid w:val="00882D73"/>
    <w:rsid w:val="00884459"/>
    <w:rsid w:val="0088686D"/>
    <w:rsid w:val="00887221"/>
    <w:rsid w:val="00890757"/>
    <w:rsid w:val="00891CC2"/>
    <w:rsid w:val="00891CF6"/>
    <w:rsid w:val="0089207A"/>
    <w:rsid w:val="00892F0E"/>
    <w:rsid w:val="0089302F"/>
    <w:rsid w:val="00895C07"/>
    <w:rsid w:val="00895F8E"/>
    <w:rsid w:val="00897794"/>
    <w:rsid w:val="008979D8"/>
    <w:rsid w:val="008A027E"/>
    <w:rsid w:val="008A127F"/>
    <w:rsid w:val="008A1BDE"/>
    <w:rsid w:val="008A1EB6"/>
    <w:rsid w:val="008A3BCB"/>
    <w:rsid w:val="008A463D"/>
    <w:rsid w:val="008A6062"/>
    <w:rsid w:val="008A664A"/>
    <w:rsid w:val="008A673F"/>
    <w:rsid w:val="008A6B46"/>
    <w:rsid w:val="008A739B"/>
    <w:rsid w:val="008A770F"/>
    <w:rsid w:val="008B0223"/>
    <w:rsid w:val="008B0B19"/>
    <w:rsid w:val="008B2B93"/>
    <w:rsid w:val="008B34DC"/>
    <w:rsid w:val="008B3EA7"/>
    <w:rsid w:val="008B567C"/>
    <w:rsid w:val="008B5BB1"/>
    <w:rsid w:val="008B5F70"/>
    <w:rsid w:val="008B6F9F"/>
    <w:rsid w:val="008B71ED"/>
    <w:rsid w:val="008B72A4"/>
    <w:rsid w:val="008B7F16"/>
    <w:rsid w:val="008C02CC"/>
    <w:rsid w:val="008C04F7"/>
    <w:rsid w:val="008C0BAA"/>
    <w:rsid w:val="008C0DAE"/>
    <w:rsid w:val="008C0E1B"/>
    <w:rsid w:val="008C0EE2"/>
    <w:rsid w:val="008C0FAC"/>
    <w:rsid w:val="008C12CD"/>
    <w:rsid w:val="008C1A8F"/>
    <w:rsid w:val="008C1D48"/>
    <w:rsid w:val="008C2703"/>
    <w:rsid w:val="008C28B3"/>
    <w:rsid w:val="008C3FF3"/>
    <w:rsid w:val="008C44DE"/>
    <w:rsid w:val="008C50BF"/>
    <w:rsid w:val="008C5117"/>
    <w:rsid w:val="008C5F5F"/>
    <w:rsid w:val="008C70DA"/>
    <w:rsid w:val="008C752F"/>
    <w:rsid w:val="008D04F8"/>
    <w:rsid w:val="008D0718"/>
    <w:rsid w:val="008D1787"/>
    <w:rsid w:val="008D22C0"/>
    <w:rsid w:val="008D362A"/>
    <w:rsid w:val="008D363E"/>
    <w:rsid w:val="008D3BAF"/>
    <w:rsid w:val="008D46F2"/>
    <w:rsid w:val="008D4E8D"/>
    <w:rsid w:val="008D54CE"/>
    <w:rsid w:val="008D5FFD"/>
    <w:rsid w:val="008D6192"/>
    <w:rsid w:val="008D7616"/>
    <w:rsid w:val="008D7D6C"/>
    <w:rsid w:val="008D7DED"/>
    <w:rsid w:val="008D7F55"/>
    <w:rsid w:val="008D7FC1"/>
    <w:rsid w:val="008E0635"/>
    <w:rsid w:val="008E0AB7"/>
    <w:rsid w:val="008E18FC"/>
    <w:rsid w:val="008E29E3"/>
    <w:rsid w:val="008E3215"/>
    <w:rsid w:val="008E3542"/>
    <w:rsid w:val="008E4F2F"/>
    <w:rsid w:val="008E58D3"/>
    <w:rsid w:val="008E624C"/>
    <w:rsid w:val="008E677C"/>
    <w:rsid w:val="008F17F5"/>
    <w:rsid w:val="008F19D7"/>
    <w:rsid w:val="008F212E"/>
    <w:rsid w:val="008F2E67"/>
    <w:rsid w:val="008F2E84"/>
    <w:rsid w:val="008F3148"/>
    <w:rsid w:val="008F4EDD"/>
    <w:rsid w:val="008F5432"/>
    <w:rsid w:val="008F5F54"/>
    <w:rsid w:val="008F631B"/>
    <w:rsid w:val="008F71C5"/>
    <w:rsid w:val="008F732D"/>
    <w:rsid w:val="008F7F52"/>
    <w:rsid w:val="009011C1"/>
    <w:rsid w:val="0090303F"/>
    <w:rsid w:val="00903A53"/>
    <w:rsid w:val="00903AE2"/>
    <w:rsid w:val="009045EA"/>
    <w:rsid w:val="00905380"/>
    <w:rsid w:val="00905DF8"/>
    <w:rsid w:val="00906AB5"/>
    <w:rsid w:val="00906E3F"/>
    <w:rsid w:val="00910396"/>
    <w:rsid w:val="00910507"/>
    <w:rsid w:val="00910A49"/>
    <w:rsid w:val="00910A64"/>
    <w:rsid w:val="00910ED1"/>
    <w:rsid w:val="009118EB"/>
    <w:rsid w:val="0091254C"/>
    <w:rsid w:val="009126F2"/>
    <w:rsid w:val="00914026"/>
    <w:rsid w:val="009149E7"/>
    <w:rsid w:val="00914BB6"/>
    <w:rsid w:val="00915578"/>
    <w:rsid w:val="009156BF"/>
    <w:rsid w:val="00916918"/>
    <w:rsid w:val="00916F49"/>
    <w:rsid w:val="00917007"/>
    <w:rsid w:val="00917624"/>
    <w:rsid w:val="009176E0"/>
    <w:rsid w:val="0091776F"/>
    <w:rsid w:val="00917C54"/>
    <w:rsid w:val="0092116D"/>
    <w:rsid w:val="00921FD9"/>
    <w:rsid w:val="009224A0"/>
    <w:rsid w:val="0092425A"/>
    <w:rsid w:val="00925680"/>
    <w:rsid w:val="0092653E"/>
    <w:rsid w:val="00926E92"/>
    <w:rsid w:val="009275BF"/>
    <w:rsid w:val="00927807"/>
    <w:rsid w:val="009303C4"/>
    <w:rsid w:val="00930F1A"/>
    <w:rsid w:val="00931614"/>
    <w:rsid w:val="009328FC"/>
    <w:rsid w:val="00933D16"/>
    <w:rsid w:val="0093400C"/>
    <w:rsid w:val="0093417D"/>
    <w:rsid w:val="00934B9F"/>
    <w:rsid w:val="00934DFB"/>
    <w:rsid w:val="00935FE8"/>
    <w:rsid w:val="00936480"/>
    <w:rsid w:val="009368C4"/>
    <w:rsid w:val="009374A4"/>
    <w:rsid w:val="00937D0D"/>
    <w:rsid w:val="00940515"/>
    <w:rsid w:val="00941EF8"/>
    <w:rsid w:val="009440C5"/>
    <w:rsid w:val="00944970"/>
    <w:rsid w:val="00944EA9"/>
    <w:rsid w:val="00945238"/>
    <w:rsid w:val="00945499"/>
    <w:rsid w:val="00946337"/>
    <w:rsid w:val="00946B7E"/>
    <w:rsid w:val="00946B98"/>
    <w:rsid w:val="0094785A"/>
    <w:rsid w:val="00947F6D"/>
    <w:rsid w:val="0095060F"/>
    <w:rsid w:val="00950B3D"/>
    <w:rsid w:val="00950B95"/>
    <w:rsid w:val="0095165C"/>
    <w:rsid w:val="00951BC5"/>
    <w:rsid w:val="009533A0"/>
    <w:rsid w:val="00953661"/>
    <w:rsid w:val="00953BD6"/>
    <w:rsid w:val="00953DB3"/>
    <w:rsid w:val="00954B6D"/>
    <w:rsid w:val="00955851"/>
    <w:rsid w:val="009569F2"/>
    <w:rsid w:val="00956ADD"/>
    <w:rsid w:val="0096070B"/>
    <w:rsid w:val="00962C3B"/>
    <w:rsid w:val="00962C7F"/>
    <w:rsid w:val="00962EDF"/>
    <w:rsid w:val="00963625"/>
    <w:rsid w:val="00964BC7"/>
    <w:rsid w:val="009656BC"/>
    <w:rsid w:val="00965BDA"/>
    <w:rsid w:val="00965E67"/>
    <w:rsid w:val="00965EA4"/>
    <w:rsid w:val="00966CE3"/>
    <w:rsid w:val="009700D7"/>
    <w:rsid w:val="009702CF"/>
    <w:rsid w:val="00971766"/>
    <w:rsid w:val="009718E9"/>
    <w:rsid w:val="00971C24"/>
    <w:rsid w:val="00971CC5"/>
    <w:rsid w:val="00971E1F"/>
    <w:rsid w:val="00972246"/>
    <w:rsid w:val="00972812"/>
    <w:rsid w:val="0097428C"/>
    <w:rsid w:val="00975336"/>
    <w:rsid w:val="00975D6F"/>
    <w:rsid w:val="00975F26"/>
    <w:rsid w:val="009763EB"/>
    <w:rsid w:val="009819BD"/>
    <w:rsid w:val="00981A11"/>
    <w:rsid w:val="00981CBF"/>
    <w:rsid w:val="00982494"/>
    <w:rsid w:val="009829F1"/>
    <w:rsid w:val="00982DC3"/>
    <w:rsid w:val="00984FBB"/>
    <w:rsid w:val="00985564"/>
    <w:rsid w:val="0098562F"/>
    <w:rsid w:val="00987F6C"/>
    <w:rsid w:val="00991D6E"/>
    <w:rsid w:val="00992033"/>
    <w:rsid w:val="00992E3B"/>
    <w:rsid w:val="00993B9C"/>
    <w:rsid w:val="0099455B"/>
    <w:rsid w:val="0099482A"/>
    <w:rsid w:val="00994E35"/>
    <w:rsid w:val="00995775"/>
    <w:rsid w:val="0099671F"/>
    <w:rsid w:val="00996777"/>
    <w:rsid w:val="00996A74"/>
    <w:rsid w:val="00997016"/>
    <w:rsid w:val="00997FF6"/>
    <w:rsid w:val="009A1012"/>
    <w:rsid w:val="009A1FCA"/>
    <w:rsid w:val="009A285F"/>
    <w:rsid w:val="009A457D"/>
    <w:rsid w:val="009A48F8"/>
    <w:rsid w:val="009A55A6"/>
    <w:rsid w:val="009A6BFE"/>
    <w:rsid w:val="009A78C6"/>
    <w:rsid w:val="009A7BA1"/>
    <w:rsid w:val="009B12A3"/>
    <w:rsid w:val="009B3463"/>
    <w:rsid w:val="009B4040"/>
    <w:rsid w:val="009B44A5"/>
    <w:rsid w:val="009B7E1E"/>
    <w:rsid w:val="009C0182"/>
    <w:rsid w:val="009C080B"/>
    <w:rsid w:val="009C0861"/>
    <w:rsid w:val="009C36CB"/>
    <w:rsid w:val="009C481E"/>
    <w:rsid w:val="009C4C41"/>
    <w:rsid w:val="009C58B6"/>
    <w:rsid w:val="009C5AC7"/>
    <w:rsid w:val="009C6020"/>
    <w:rsid w:val="009C680B"/>
    <w:rsid w:val="009C6EB7"/>
    <w:rsid w:val="009C6F98"/>
    <w:rsid w:val="009C71D3"/>
    <w:rsid w:val="009C7457"/>
    <w:rsid w:val="009C74B7"/>
    <w:rsid w:val="009D074C"/>
    <w:rsid w:val="009D0EAE"/>
    <w:rsid w:val="009D2773"/>
    <w:rsid w:val="009D3B29"/>
    <w:rsid w:val="009D3EDE"/>
    <w:rsid w:val="009D4225"/>
    <w:rsid w:val="009D4758"/>
    <w:rsid w:val="009D56E2"/>
    <w:rsid w:val="009D6791"/>
    <w:rsid w:val="009D6A8C"/>
    <w:rsid w:val="009D6D80"/>
    <w:rsid w:val="009D7907"/>
    <w:rsid w:val="009D79F4"/>
    <w:rsid w:val="009E080A"/>
    <w:rsid w:val="009E14AF"/>
    <w:rsid w:val="009E1C78"/>
    <w:rsid w:val="009E267A"/>
    <w:rsid w:val="009E3515"/>
    <w:rsid w:val="009E4BB4"/>
    <w:rsid w:val="009E590E"/>
    <w:rsid w:val="009E59B8"/>
    <w:rsid w:val="009E7017"/>
    <w:rsid w:val="009E763B"/>
    <w:rsid w:val="009E7AEE"/>
    <w:rsid w:val="009F002A"/>
    <w:rsid w:val="009F002C"/>
    <w:rsid w:val="009F07D1"/>
    <w:rsid w:val="009F0C15"/>
    <w:rsid w:val="009F0D43"/>
    <w:rsid w:val="009F146C"/>
    <w:rsid w:val="009F1DB6"/>
    <w:rsid w:val="009F30E2"/>
    <w:rsid w:val="009F3245"/>
    <w:rsid w:val="009F360E"/>
    <w:rsid w:val="009F3741"/>
    <w:rsid w:val="009F50D7"/>
    <w:rsid w:val="009F6BCD"/>
    <w:rsid w:val="009F6E1C"/>
    <w:rsid w:val="009F7EF5"/>
    <w:rsid w:val="00A0060B"/>
    <w:rsid w:val="00A00661"/>
    <w:rsid w:val="00A01631"/>
    <w:rsid w:val="00A038F4"/>
    <w:rsid w:val="00A044C9"/>
    <w:rsid w:val="00A047A4"/>
    <w:rsid w:val="00A05CA6"/>
    <w:rsid w:val="00A06237"/>
    <w:rsid w:val="00A0664E"/>
    <w:rsid w:val="00A069C1"/>
    <w:rsid w:val="00A07637"/>
    <w:rsid w:val="00A07F4E"/>
    <w:rsid w:val="00A1126B"/>
    <w:rsid w:val="00A11F2A"/>
    <w:rsid w:val="00A126B4"/>
    <w:rsid w:val="00A12754"/>
    <w:rsid w:val="00A1351E"/>
    <w:rsid w:val="00A13912"/>
    <w:rsid w:val="00A13B46"/>
    <w:rsid w:val="00A13C2F"/>
    <w:rsid w:val="00A14491"/>
    <w:rsid w:val="00A155E2"/>
    <w:rsid w:val="00A1622A"/>
    <w:rsid w:val="00A16EE7"/>
    <w:rsid w:val="00A20176"/>
    <w:rsid w:val="00A20181"/>
    <w:rsid w:val="00A20E77"/>
    <w:rsid w:val="00A21113"/>
    <w:rsid w:val="00A21C40"/>
    <w:rsid w:val="00A2217D"/>
    <w:rsid w:val="00A22B84"/>
    <w:rsid w:val="00A22E48"/>
    <w:rsid w:val="00A23994"/>
    <w:rsid w:val="00A25F17"/>
    <w:rsid w:val="00A26458"/>
    <w:rsid w:val="00A26EE9"/>
    <w:rsid w:val="00A277CC"/>
    <w:rsid w:val="00A27AF1"/>
    <w:rsid w:val="00A27FE6"/>
    <w:rsid w:val="00A3019D"/>
    <w:rsid w:val="00A30381"/>
    <w:rsid w:val="00A30790"/>
    <w:rsid w:val="00A32178"/>
    <w:rsid w:val="00A32C73"/>
    <w:rsid w:val="00A3567C"/>
    <w:rsid w:val="00A379C4"/>
    <w:rsid w:val="00A40232"/>
    <w:rsid w:val="00A4032A"/>
    <w:rsid w:val="00A403DE"/>
    <w:rsid w:val="00A41C2F"/>
    <w:rsid w:val="00A4226F"/>
    <w:rsid w:val="00A4245B"/>
    <w:rsid w:val="00A427DC"/>
    <w:rsid w:val="00A43F60"/>
    <w:rsid w:val="00A44474"/>
    <w:rsid w:val="00A447BC"/>
    <w:rsid w:val="00A458F2"/>
    <w:rsid w:val="00A45DDC"/>
    <w:rsid w:val="00A46763"/>
    <w:rsid w:val="00A46F0B"/>
    <w:rsid w:val="00A50393"/>
    <w:rsid w:val="00A50C34"/>
    <w:rsid w:val="00A5270E"/>
    <w:rsid w:val="00A52A9A"/>
    <w:rsid w:val="00A5396C"/>
    <w:rsid w:val="00A539DB"/>
    <w:rsid w:val="00A5425F"/>
    <w:rsid w:val="00A54A21"/>
    <w:rsid w:val="00A54A46"/>
    <w:rsid w:val="00A56BA8"/>
    <w:rsid w:val="00A5776A"/>
    <w:rsid w:val="00A603B2"/>
    <w:rsid w:val="00A60DC6"/>
    <w:rsid w:val="00A61DAE"/>
    <w:rsid w:val="00A623E9"/>
    <w:rsid w:val="00A637E5"/>
    <w:rsid w:val="00A653C5"/>
    <w:rsid w:val="00A661A0"/>
    <w:rsid w:val="00A666C1"/>
    <w:rsid w:val="00A667CD"/>
    <w:rsid w:val="00A66973"/>
    <w:rsid w:val="00A7041F"/>
    <w:rsid w:val="00A7092E"/>
    <w:rsid w:val="00A70D5E"/>
    <w:rsid w:val="00A71264"/>
    <w:rsid w:val="00A71B81"/>
    <w:rsid w:val="00A74088"/>
    <w:rsid w:val="00A745B8"/>
    <w:rsid w:val="00A7516B"/>
    <w:rsid w:val="00A75A0E"/>
    <w:rsid w:val="00A77398"/>
    <w:rsid w:val="00A77603"/>
    <w:rsid w:val="00A806B1"/>
    <w:rsid w:val="00A8129F"/>
    <w:rsid w:val="00A81D6E"/>
    <w:rsid w:val="00A8559A"/>
    <w:rsid w:val="00A8585C"/>
    <w:rsid w:val="00A8597C"/>
    <w:rsid w:val="00A85DD6"/>
    <w:rsid w:val="00A85F40"/>
    <w:rsid w:val="00A9022D"/>
    <w:rsid w:val="00A9131D"/>
    <w:rsid w:val="00A91E62"/>
    <w:rsid w:val="00A91F88"/>
    <w:rsid w:val="00A927D2"/>
    <w:rsid w:val="00A92837"/>
    <w:rsid w:val="00A92E28"/>
    <w:rsid w:val="00A93FC0"/>
    <w:rsid w:val="00A941E3"/>
    <w:rsid w:val="00A958E0"/>
    <w:rsid w:val="00A96532"/>
    <w:rsid w:val="00A9669B"/>
    <w:rsid w:val="00A96886"/>
    <w:rsid w:val="00A97025"/>
    <w:rsid w:val="00A97656"/>
    <w:rsid w:val="00A97869"/>
    <w:rsid w:val="00AA0B3D"/>
    <w:rsid w:val="00AA140B"/>
    <w:rsid w:val="00AA20EC"/>
    <w:rsid w:val="00AA23BA"/>
    <w:rsid w:val="00AA2A56"/>
    <w:rsid w:val="00AA370A"/>
    <w:rsid w:val="00AA42F7"/>
    <w:rsid w:val="00AA46BB"/>
    <w:rsid w:val="00AA47CF"/>
    <w:rsid w:val="00AA4DED"/>
    <w:rsid w:val="00AA5A07"/>
    <w:rsid w:val="00AA609F"/>
    <w:rsid w:val="00AA62FD"/>
    <w:rsid w:val="00AB020A"/>
    <w:rsid w:val="00AB02FD"/>
    <w:rsid w:val="00AB0BFE"/>
    <w:rsid w:val="00AB0D80"/>
    <w:rsid w:val="00AB143F"/>
    <w:rsid w:val="00AB339D"/>
    <w:rsid w:val="00AB450E"/>
    <w:rsid w:val="00AB5E25"/>
    <w:rsid w:val="00AB6327"/>
    <w:rsid w:val="00AB6397"/>
    <w:rsid w:val="00AB6488"/>
    <w:rsid w:val="00AB71A9"/>
    <w:rsid w:val="00AB7465"/>
    <w:rsid w:val="00AC0742"/>
    <w:rsid w:val="00AC13EC"/>
    <w:rsid w:val="00AC1ADB"/>
    <w:rsid w:val="00AC2136"/>
    <w:rsid w:val="00AC23A1"/>
    <w:rsid w:val="00AC2783"/>
    <w:rsid w:val="00AC3736"/>
    <w:rsid w:val="00AC4195"/>
    <w:rsid w:val="00AC551F"/>
    <w:rsid w:val="00AC5E3D"/>
    <w:rsid w:val="00AC6510"/>
    <w:rsid w:val="00AC667C"/>
    <w:rsid w:val="00AC7775"/>
    <w:rsid w:val="00AC7BD8"/>
    <w:rsid w:val="00AD0116"/>
    <w:rsid w:val="00AD0FBB"/>
    <w:rsid w:val="00AD17A3"/>
    <w:rsid w:val="00AD2984"/>
    <w:rsid w:val="00AD3C72"/>
    <w:rsid w:val="00AD42B9"/>
    <w:rsid w:val="00AD4BEC"/>
    <w:rsid w:val="00AD4DC8"/>
    <w:rsid w:val="00AD532B"/>
    <w:rsid w:val="00AD5CB1"/>
    <w:rsid w:val="00AD6109"/>
    <w:rsid w:val="00AE0620"/>
    <w:rsid w:val="00AE1590"/>
    <w:rsid w:val="00AE3193"/>
    <w:rsid w:val="00AE401D"/>
    <w:rsid w:val="00AE4134"/>
    <w:rsid w:val="00AE4B92"/>
    <w:rsid w:val="00AE523F"/>
    <w:rsid w:val="00AE5C71"/>
    <w:rsid w:val="00AE688A"/>
    <w:rsid w:val="00AE68B6"/>
    <w:rsid w:val="00AF00B8"/>
    <w:rsid w:val="00AF07FD"/>
    <w:rsid w:val="00AF2E9F"/>
    <w:rsid w:val="00AF2EBE"/>
    <w:rsid w:val="00AF33FC"/>
    <w:rsid w:val="00AF3486"/>
    <w:rsid w:val="00AF356F"/>
    <w:rsid w:val="00AF3EB1"/>
    <w:rsid w:val="00AF3FCA"/>
    <w:rsid w:val="00AF44A3"/>
    <w:rsid w:val="00AF51FA"/>
    <w:rsid w:val="00AF5A6D"/>
    <w:rsid w:val="00AF6B2F"/>
    <w:rsid w:val="00AF73A6"/>
    <w:rsid w:val="00AF757C"/>
    <w:rsid w:val="00AF77F8"/>
    <w:rsid w:val="00AF7B17"/>
    <w:rsid w:val="00AF7BAC"/>
    <w:rsid w:val="00AF7F1A"/>
    <w:rsid w:val="00B001A3"/>
    <w:rsid w:val="00B003CC"/>
    <w:rsid w:val="00B0065C"/>
    <w:rsid w:val="00B008EC"/>
    <w:rsid w:val="00B01A2A"/>
    <w:rsid w:val="00B01AA4"/>
    <w:rsid w:val="00B02ECF"/>
    <w:rsid w:val="00B03535"/>
    <w:rsid w:val="00B043AF"/>
    <w:rsid w:val="00B047F4"/>
    <w:rsid w:val="00B04BA4"/>
    <w:rsid w:val="00B0547C"/>
    <w:rsid w:val="00B07658"/>
    <w:rsid w:val="00B07E7A"/>
    <w:rsid w:val="00B102F7"/>
    <w:rsid w:val="00B103A9"/>
    <w:rsid w:val="00B10455"/>
    <w:rsid w:val="00B10AC2"/>
    <w:rsid w:val="00B11FE1"/>
    <w:rsid w:val="00B12A46"/>
    <w:rsid w:val="00B12A6A"/>
    <w:rsid w:val="00B12C8E"/>
    <w:rsid w:val="00B14A1A"/>
    <w:rsid w:val="00B153E6"/>
    <w:rsid w:val="00B16802"/>
    <w:rsid w:val="00B16C33"/>
    <w:rsid w:val="00B214AF"/>
    <w:rsid w:val="00B217E0"/>
    <w:rsid w:val="00B219FE"/>
    <w:rsid w:val="00B22060"/>
    <w:rsid w:val="00B23ED8"/>
    <w:rsid w:val="00B2404A"/>
    <w:rsid w:val="00B246F4"/>
    <w:rsid w:val="00B24703"/>
    <w:rsid w:val="00B25DE1"/>
    <w:rsid w:val="00B265F9"/>
    <w:rsid w:val="00B270CD"/>
    <w:rsid w:val="00B27BC6"/>
    <w:rsid w:val="00B30A1B"/>
    <w:rsid w:val="00B328FA"/>
    <w:rsid w:val="00B32AA9"/>
    <w:rsid w:val="00B32E58"/>
    <w:rsid w:val="00B332AA"/>
    <w:rsid w:val="00B33722"/>
    <w:rsid w:val="00B34BF6"/>
    <w:rsid w:val="00B34BFF"/>
    <w:rsid w:val="00B34FB0"/>
    <w:rsid w:val="00B35770"/>
    <w:rsid w:val="00B35A80"/>
    <w:rsid w:val="00B35C5B"/>
    <w:rsid w:val="00B35D72"/>
    <w:rsid w:val="00B36F60"/>
    <w:rsid w:val="00B37D56"/>
    <w:rsid w:val="00B4044B"/>
    <w:rsid w:val="00B404F8"/>
    <w:rsid w:val="00B416A5"/>
    <w:rsid w:val="00B41AD3"/>
    <w:rsid w:val="00B42E11"/>
    <w:rsid w:val="00B430AE"/>
    <w:rsid w:val="00B44CFA"/>
    <w:rsid w:val="00B45168"/>
    <w:rsid w:val="00B4531B"/>
    <w:rsid w:val="00B46948"/>
    <w:rsid w:val="00B470E1"/>
    <w:rsid w:val="00B47B37"/>
    <w:rsid w:val="00B5138F"/>
    <w:rsid w:val="00B51992"/>
    <w:rsid w:val="00B52004"/>
    <w:rsid w:val="00B52153"/>
    <w:rsid w:val="00B52563"/>
    <w:rsid w:val="00B526B9"/>
    <w:rsid w:val="00B53392"/>
    <w:rsid w:val="00B538F7"/>
    <w:rsid w:val="00B53C9B"/>
    <w:rsid w:val="00B553DE"/>
    <w:rsid w:val="00B55B05"/>
    <w:rsid w:val="00B55CFF"/>
    <w:rsid w:val="00B567F5"/>
    <w:rsid w:val="00B60E37"/>
    <w:rsid w:val="00B61270"/>
    <w:rsid w:val="00B62CD9"/>
    <w:rsid w:val="00B632BF"/>
    <w:rsid w:val="00B634B8"/>
    <w:rsid w:val="00B6446F"/>
    <w:rsid w:val="00B64D63"/>
    <w:rsid w:val="00B667ED"/>
    <w:rsid w:val="00B671A5"/>
    <w:rsid w:val="00B70525"/>
    <w:rsid w:val="00B70DA4"/>
    <w:rsid w:val="00B7146D"/>
    <w:rsid w:val="00B71A50"/>
    <w:rsid w:val="00B71B1E"/>
    <w:rsid w:val="00B72000"/>
    <w:rsid w:val="00B72038"/>
    <w:rsid w:val="00B729CC"/>
    <w:rsid w:val="00B72B5F"/>
    <w:rsid w:val="00B72E92"/>
    <w:rsid w:val="00B741B5"/>
    <w:rsid w:val="00B74AE2"/>
    <w:rsid w:val="00B7750B"/>
    <w:rsid w:val="00B80626"/>
    <w:rsid w:val="00B81690"/>
    <w:rsid w:val="00B81E2A"/>
    <w:rsid w:val="00B82480"/>
    <w:rsid w:val="00B82B1E"/>
    <w:rsid w:val="00B82CAE"/>
    <w:rsid w:val="00B83AA9"/>
    <w:rsid w:val="00B8504C"/>
    <w:rsid w:val="00B85C24"/>
    <w:rsid w:val="00B85C82"/>
    <w:rsid w:val="00B85C90"/>
    <w:rsid w:val="00B870F2"/>
    <w:rsid w:val="00B87217"/>
    <w:rsid w:val="00B91191"/>
    <w:rsid w:val="00B912EA"/>
    <w:rsid w:val="00B923E6"/>
    <w:rsid w:val="00B9256E"/>
    <w:rsid w:val="00B92F40"/>
    <w:rsid w:val="00B9324F"/>
    <w:rsid w:val="00B9395C"/>
    <w:rsid w:val="00B93F12"/>
    <w:rsid w:val="00B94A2C"/>
    <w:rsid w:val="00B94CD8"/>
    <w:rsid w:val="00B95BE7"/>
    <w:rsid w:val="00B96616"/>
    <w:rsid w:val="00B967E2"/>
    <w:rsid w:val="00B96E34"/>
    <w:rsid w:val="00B979BD"/>
    <w:rsid w:val="00B97C7C"/>
    <w:rsid w:val="00B97DA2"/>
    <w:rsid w:val="00BA1DA4"/>
    <w:rsid w:val="00BA2189"/>
    <w:rsid w:val="00BA21D9"/>
    <w:rsid w:val="00BA2811"/>
    <w:rsid w:val="00BA28EE"/>
    <w:rsid w:val="00BA4916"/>
    <w:rsid w:val="00BA542B"/>
    <w:rsid w:val="00BA590B"/>
    <w:rsid w:val="00BA6675"/>
    <w:rsid w:val="00BA7092"/>
    <w:rsid w:val="00BA75C7"/>
    <w:rsid w:val="00BB1B69"/>
    <w:rsid w:val="00BB1EF7"/>
    <w:rsid w:val="00BB32AA"/>
    <w:rsid w:val="00BB3348"/>
    <w:rsid w:val="00BB34E2"/>
    <w:rsid w:val="00BB4A5F"/>
    <w:rsid w:val="00BB4E22"/>
    <w:rsid w:val="00BB506C"/>
    <w:rsid w:val="00BB5A0C"/>
    <w:rsid w:val="00BB74B8"/>
    <w:rsid w:val="00BB7986"/>
    <w:rsid w:val="00BC052B"/>
    <w:rsid w:val="00BC1D7B"/>
    <w:rsid w:val="00BC272D"/>
    <w:rsid w:val="00BC2883"/>
    <w:rsid w:val="00BC2900"/>
    <w:rsid w:val="00BC3770"/>
    <w:rsid w:val="00BC4C98"/>
    <w:rsid w:val="00BC57D4"/>
    <w:rsid w:val="00BC594F"/>
    <w:rsid w:val="00BC6103"/>
    <w:rsid w:val="00BC612C"/>
    <w:rsid w:val="00BC6BCC"/>
    <w:rsid w:val="00BD0E7B"/>
    <w:rsid w:val="00BD11EE"/>
    <w:rsid w:val="00BD16FE"/>
    <w:rsid w:val="00BD1C47"/>
    <w:rsid w:val="00BD1E17"/>
    <w:rsid w:val="00BD2537"/>
    <w:rsid w:val="00BD32CE"/>
    <w:rsid w:val="00BD384F"/>
    <w:rsid w:val="00BD449F"/>
    <w:rsid w:val="00BD46D2"/>
    <w:rsid w:val="00BD49C5"/>
    <w:rsid w:val="00BD4F50"/>
    <w:rsid w:val="00BD58FC"/>
    <w:rsid w:val="00BD5DBB"/>
    <w:rsid w:val="00BD62A1"/>
    <w:rsid w:val="00BE0C17"/>
    <w:rsid w:val="00BE0D6B"/>
    <w:rsid w:val="00BE0F7D"/>
    <w:rsid w:val="00BE1661"/>
    <w:rsid w:val="00BE22F3"/>
    <w:rsid w:val="00BE2EDB"/>
    <w:rsid w:val="00BE3088"/>
    <w:rsid w:val="00BE37F3"/>
    <w:rsid w:val="00BE4789"/>
    <w:rsid w:val="00BE52D8"/>
    <w:rsid w:val="00BE5C4E"/>
    <w:rsid w:val="00BE6A31"/>
    <w:rsid w:val="00BF0500"/>
    <w:rsid w:val="00BF1088"/>
    <w:rsid w:val="00BF2F74"/>
    <w:rsid w:val="00BF4A44"/>
    <w:rsid w:val="00BF4A9B"/>
    <w:rsid w:val="00BF5447"/>
    <w:rsid w:val="00BF736C"/>
    <w:rsid w:val="00BF7A52"/>
    <w:rsid w:val="00BF7DBA"/>
    <w:rsid w:val="00BF7F12"/>
    <w:rsid w:val="00C003B6"/>
    <w:rsid w:val="00C00AF0"/>
    <w:rsid w:val="00C0121A"/>
    <w:rsid w:val="00C02021"/>
    <w:rsid w:val="00C02635"/>
    <w:rsid w:val="00C030A5"/>
    <w:rsid w:val="00C034F0"/>
    <w:rsid w:val="00C035E2"/>
    <w:rsid w:val="00C03B59"/>
    <w:rsid w:val="00C04C77"/>
    <w:rsid w:val="00C058F6"/>
    <w:rsid w:val="00C063D1"/>
    <w:rsid w:val="00C0796A"/>
    <w:rsid w:val="00C07D54"/>
    <w:rsid w:val="00C10B07"/>
    <w:rsid w:val="00C10F6B"/>
    <w:rsid w:val="00C11ADD"/>
    <w:rsid w:val="00C12DF6"/>
    <w:rsid w:val="00C12FED"/>
    <w:rsid w:val="00C14FFB"/>
    <w:rsid w:val="00C15C89"/>
    <w:rsid w:val="00C17021"/>
    <w:rsid w:val="00C178F2"/>
    <w:rsid w:val="00C17F2B"/>
    <w:rsid w:val="00C20215"/>
    <w:rsid w:val="00C202D8"/>
    <w:rsid w:val="00C20DA9"/>
    <w:rsid w:val="00C21656"/>
    <w:rsid w:val="00C221C7"/>
    <w:rsid w:val="00C22639"/>
    <w:rsid w:val="00C23A45"/>
    <w:rsid w:val="00C23D05"/>
    <w:rsid w:val="00C250C5"/>
    <w:rsid w:val="00C258AF"/>
    <w:rsid w:val="00C30D16"/>
    <w:rsid w:val="00C31341"/>
    <w:rsid w:val="00C31861"/>
    <w:rsid w:val="00C3234E"/>
    <w:rsid w:val="00C35502"/>
    <w:rsid w:val="00C366C1"/>
    <w:rsid w:val="00C37D79"/>
    <w:rsid w:val="00C37ECB"/>
    <w:rsid w:val="00C40A47"/>
    <w:rsid w:val="00C40E29"/>
    <w:rsid w:val="00C40F28"/>
    <w:rsid w:val="00C42398"/>
    <w:rsid w:val="00C42933"/>
    <w:rsid w:val="00C43819"/>
    <w:rsid w:val="00C43EBE"/>
    <w:rsid w:val="00C44373"/>
    <w:rsid w:val="00C449F4"/>
    <w:rsid w:val="00C4528B"/>
    <w:rsid w:val="00C4538B"/>
    <w:rsid w:val="00C453C3"/>
    <w:rsid w:val="00C455B2"/>
    <w:rsid w:val="00C45A0A"/>
    <w:rsid w:val="00C45DA1"/>
    <w:rsid w:val="00C45EA2"/>
    <w:rsid w:val="00C4641E"/>
    <w:rsid w:val="00C476A1"/>
    <w:rsid w:val="00C478BA"/>
    <w:rsid w:val="00C47E79"/>
    <w:rsid w:val="00C5069E"/>
    <w:rsid w:val="00C508A3"/>
    <w:rsid w:val="00C50C5F"/>
    <w:rsid w:val="00C50D07"/>
    <w:rsid w:val="00C51529"/>
    <w:rsid w:val="00C5266B"/>
    <w:rsid w:val="00C530C3"/>
    <w:rsid w:val="00C53858"/>
    <w:rsid w:val="00C53A71"/>
    <w:rsid w:val="00C56E78"/>
    <w:rsid w:val="00C57262"/>
    <w:rsid w:val="00C607C3"/>
    <w:rsid w:val="00C60B74"/>
    <w:rsid w:val="00C60D65"/>
    <w:rsid w:val="00C62CBE"/>
    <w:rsid w:val="00C649CE"/>
    <w:rsid w:val="00C64AAE"/>
    <w:rsid w:val="00C65D0F"/>
    <w:rsid w:val="00C67CE1"/>
    <w:rsid w:val="00C70309"/>
    <w:rsid w:val="00C7081B"/>
    <w:rsid w:val="00C72885"/>
    <w:rsid w:val="00C72D2B"/>
    <w:rsid w:val="00C741DD"/>
    <w:rsid w:val="00C751F8"/>
    <w:rsid w:val="00C762FA"/>
    <w:rsid w:val="00C76E9B"/>
    <w:rsid w:val="00C816D6"/>
    <w:rsid w:val="00C81708"/>
    <w:rsid w:val="00C824FF"/>
    <w:rsid w:val="00C83814"/>
    <w:rsid w:val="00C84886"/>
    <w:rsid w:val="00C850D0"/>
    <w:rsid w:val="00C856F9"/>
    <w:rsid w:val="00C85A9C"/>
    <w:rsid w:val="00C85E05"/>
    <w:rsid w:val="00C86C4E"/>
    <w:rsid w:val="00C87192"/>
    <w:rsid w:val="00C8781C"/>
    <w:rsid w:val="00C8796C"/>
    <w:rsid w:val="00C87A2B"/>
    <w:rsid w:val="00C905C4"/>
    <w:rsid w:val="00C9267C"/>
    <w:rsid w:val="00C92F96"/>
    <w:rsid w:val="00C92FAE"/>
    <w:rsid w:val="00C94FBF"/>
    <w:rsid w:val="00C96800"/>
    <w:rsid w:val="00C96A7B"/>
    <w:rsid w:val="00C96CA4"/>
    <w:rsid w:val="00C96D0E"/>
    <w:rsid w:val="00C970F5"/>
    <w:rsid w:val="00CA07F0"/>
    <w:rsid w:val="00CA0B93"/>
    <w:rsid w:val="00CA2E44"/>
    <w:rsid w:val="00CA3098"/>
    <w:rsid w:val="00CA4531"/>
    <w:rsid w:val="00CA5628"/>
    <w:rsid w:val="00CA5813"/>
    <w:rsid w:val="00CA6E8A"/>
    <w:rsid w:val="00CA7743"/>
    <w:rsid w:val="00CA777C"/>
    <w:rsid w:val="00CA7D8E"/>
    <w:rsid w:val="00CB1E4F"/>
    <w:rsid w:val="00CB1E87"/>
    <w:rsid w:val="00CB22EA"/>
    <w:rsid w:val="00CB2B3E"/>
    <w:rsid w:val="00CB2C1D"/>
    <w:rsid w:val="00CB313D"/>
    <w:rsid w:val="00CB373E"/>
    <w:rsid w:val="00CB3DDF"/>
    <w:rsid w:val="00CB42B9"/>
    <w:rsid w:val="00CB43C1"/>
    <w:rsid w:val="00CB4D77"/>
    <w:rsid w:val="00CB598F"/>
    <w:rsid w:val="00CB5C52"/>
    <w:rsid w:val="00CB6168"/>
    <w:rsid w:val="00CB6B94"/>
    <w:rsid w:val="00CB7407"/>
    <w:rsid w:val="00CC0F19"/>
    <w:rsid w:val="00CC1383"/>
    <w:rsid w:val="00CC1565"/>
    <w:rsid w:val="00CC169F"/>
    <w:rsid w:val="00CC1802"/>
    <w:rsid w:val="00CC1B6B"/>
    <w:rsid w:val="00CC332E"/>
    <w:rsid w:val="00CC3479"/>
    <w:rsid w:val="00CC3A4A"/>
    <w:rsid w:val="00CC5471"/>
    <w:rsid w:val="00CC66DD"/>
    <w:rsid w:val="00CC75A4"/>
    <w:rsid w:val="00CD0809"/>
    <w:rsid w:val="00CD0F1E"/>
    <w:rsid w:val="00CD126C"/>
    <w:rsid w:val="00CD17BA"/>
    <w:rsid w:val="00CD2740"/>
    <w:rsid w:val="00CD299A"/>
    <w:rsid w:val="00CD2C0E"/>
    <w:rsid w:val="00CD4613"/>
    <w:rsid w:val="00CD4735"/>
    <w:rsid w:val="00CD6ECA"/>
    <w:rsid w:val="00CD7297"/>
    <w:rsid w:val="00CE033D"/>
    <w:rsid w:val="00CE0819"/>
    <w:rsid w:val="00CE16CC"/>
    <w:rsid w:val="00CE2FFC"/>
    <w:rsid w:val="00CE3B72"/>
    <w:rsid w:val="00CE3DEA"/>
    <w:rsid w:val="00CE48E6"/>
    <w:rsid w:val="00CE5FF6"/>
    <w:rsid w:val="00CE699F"/>
    <w:rsid w:val="00CF07B4"/>
    <w:rsid w:val="00CF222E"/>
    <w:rsid w:val="00CF2779"/>
    <w:rsid w:val="00CF2F73"/>
    <w:rsid w:val="00CF434C"/>
    <w:rsid w:val="00CF44E6"/>
    <w:rsid w:val="00CF45B5"/>
    <w:rsid w:val="00CF479A"/>
    <w:rsid w:val="00CF500F"/>
    <w:rsid w:val="00CF5575"/>
    <w:rsid w:val="00CF5D41"/>
    <w:rsid w:val="00CF6018"/>
    <w:rsid w:val="00CF7F41"/>
    <w:rsid w:val="00D001FE"/>
    <w:rsid w:val="00D00492"/>
    <w:rsid w:val="00D00D8A"/>
    <w:rsid w:val="00D013DF"/>
    <w:rsid w:val="00D01E81"/>
    <w:rsid w:val="00D020F8"/>
    <w:rsid w:val="00D02EFF"/>
    <w:rsid w:val="00D0358C"/>
    <w:rsid w:val="00D036CC"/>
    <w:rsid w:val="00D03722"/>
    <w:rsid w:val="00D03900"/>
    <w:rsid w:val="00D049BC"/>
    <w:rsid w:val="00D04C7B"/>
    <w:rsid w:val="00D0507D"/>
    <w:rsid w:val="00D0560E"/>
    <w:rsid w:val="00D065E8"/>
    <w:rsid w:val="00D06D4F"/>
    <w:rsid w:val="00D070E9"/>
    <w:rsid w:val="00D0733B"/>
    <w:rsid w:val="00D074BD"/>
    <w:rsid w:val="00D07DD3"/>
    <w:rsid w:val="00D07F80"/>
    <w:rsid w:val="00D11117"/>
    <w:rsid w:val="00D11883"/>
    <w:rsid w:val="00D11B2C"/>
    <w:rsid w:val="00D1213F"/>
    <w:rsid w:val="00D135F9"/>
    <w:rsid w:val="00D13CF8"/>
    <w:rsid w:val="00D14733"/>
    <w:rsid w:val="00D15BAC"/>
    <w:rsid w:val="00D1691E"/>
    <w:rsid w:val="00D16F31"/>
    <w:rsid w:val="00D20E60"/>
    <w:rsid w:val="00D20FA6"/>
    <w:rsid w:val="00D215D3"/>
    <w:rsid w:val="00D22827"/>
    <w:rsid w:val="00D22B0A"/>
    <w:rsid w:val="00D22B3D"/>
    <w:rsid w:val="00D232EE"/>
    <w:rsid w:val="00D23683"/>
    <w:rsid w:val="00D23872"/>
    <w:rsid w:val="00D248FC"/>
    <w:rsid w:val="00D24AB3"/>
    <w:rsid w:val="00D24AFE"/>
    <w:rsid w:val="00D2558D"/>
    <w:rsid w:val="00D257FF"/>
    <w:rsid w:val="00D26057"/>
    <w:rsid w:val="00D265E8"/>
    <w:rsid w:val="00D2669E"/>
    <w:rsid w:val="00D26DC6"/>
    <w:rsid w:val="00D270A3"/>
    <w:rsid w:val="00D271D1"/>
    <w:rsid w:val="00D273F6"/>
    <w:rsid w:val="00D27659"/>
    <w:rsid w:val="00D27E65"/>
    <w:rsid w:val="00D30422"/>
    <w:rsid w:val="00D305F1"/>
    <w:rsid w:val="00D31155"/>
    <w:rsid w:val="00D31901"/>
    <w:rsid w:val="00D33792"/>
    <w:rsid w:val="00D33FC5"/>
    <w:rsid w:val="00D36103"/>
    <w:rsid w:val="00D36227"/>
    <w:rsid w:val="00D36A83"/>
    <w:rsid w:val="00D37867"/>
    <w:rsid w:val="00D40964"/>
    <w:rsid w:val="00D4098F"/>
    <w:rsid w:val="00D44F70"/>
    <w:rsid w:val="00D452D9"/>
    <w:rsid w:val="00D453E1"/>
    <w:rsid w:val="00D45662"/>
    <w:rsid w:val="00D45AEE"/>
    <w:rsid w:val="00D471FE"/>
    <w:rsid w:val="00D479D0"/>
    <w:rsid w:val="00D50639"/>
    <w:rsid w:val="00D5081E"/>
    <w:rsid w:val="00D50BC2"/>
    <w:rsid w:val="00D5127F"/>
    <w:rsid w:val="00D52153"/>
    <w:rsid w:val="00D5244E"/>
    <w:rsid w:val="00D52B13"/>
    <w:rsid w:val="00D53072"/>
    <w:rsid w:val="00D53138"/>
    <w:rsid w:val="00D538E3"/>
    <w:rsid w:val="00D553B7"/>
    <w:rsid w:val="00D555C4"/>
    <w:rsid w:val="00D55815"/>
    <w:rsid w:val="00D5608D"/>
    <w:rsid w:val="00D56575"/>
    <w:rsid w:val="00D57003"/>
    <w:rsid w:val="00D571B1"/>
    <w:rsid w:val="00D5781A"/>
    <w:rsid w:val="00D579A9"/>
    <w:rsid w:val="00D60C49"/>
    <w:rsid w:val="00D61BC3"/>
    <w:rsid w:val="00D6257D"/>
    <w:rsid w:val="00D627FD"/>
    <w:rsid w:val="00D62F84"/>
    <w:rsid w:val="00D630E5"/>
    <w:rsid w:val="00D6322B"/>
    <w:rsid w:val="00D64394"/>
    <w:rsid w:val="00D65213"/>
    <w:rsid w:val="00D653D0"/>
    <w:rsid w:val="00D65B1A"/>
    <w:rsid w:val="00D66A20"/>
    <w:rsid w:val="00D66BFE"/>
    <w:rsid w:val="00D66D89"/>
    <w:rsid w:val="00D679AF"/>
    <w:rsid w:val="00D67CD7"/>
    <w:rsid w:val="00D67F3D"/>
    <w:rsid w:val="00D71EEC"/>
    <w:rsid w:val="00D72242"/>
    <w:rsid w:val="00D727EE"/>
    <w:rsid w:val="00D732A8"/>
    <w:rsid w:val="00D7338D"/>
    <w:rsid w:val="00D73A35"/>
    <w:rsid w:val="00D7437B"/>
    <w:rsid w:val="00D763D6"/>
    <w:rsid w:val="00D768CA"/>
    <w:rsid w:val="00D8071A"/>
    <w:rsid w:val="00D8131A"/>
    <w:rsid w:val="00D81AF2"/>
    <w:rsid w:val="00D81E2B"/>
    <w:rsid w:val="00D82815"/>
    <w:rsid w:val="00D83B74"/>
    <w:rsid w:val="00D83D75"/>
    <w:rsid w:val="00D8505D"/>
    <w:rsid w:val="00D854AF"/>
    <w:rsid w:val="00D855C9"/>
    <w:rsid w:val="00D8741C"/>
    <w:rsid w:val="00D90701"/>
    <w:rsid w:val="00D90885"/>
    <w:rsid w:val="00D914EE"/>
    <w:rsid w:val="00D92041"/>
    <w:rsid w:val="00D9288B"/>
    <w:rsid w:val="00D92D98"/>
    <w:rsid w:val="00D94AA8"/>
    <w:rsid w:val="00D94EF6"/>
    <w:rsid w:val="00D95BC7"/>
    <w:rsid w:val="00D96209"/>
    <w:rsid w:val="00D970D6"/>
    <w:rsid w:val="00D9715B"/>
    <w:rsid w:val="00D974AC"/>
    <w:rsid w:val="00D977A3"/>
    <w:rsid w:val="00D97BD1"/>
    <w:rsid w:val="00DA1CFE"/>
    <w:rsid w:val="00DA353E"/>
    <w:rsid w:val="00DA4E1D"/>
    <w:rsid w:val="00DA56B5"/>
    <w:rsid w:val="00DA5C8D"/>
    <w:rsid w:val="00DA5DA6"/>
    <w:rsid w:val="00DA61B4"/>
    <w:rsid w:val="00DA7BA9"/>
    <w:rsid w:val="00DB075E"/>
    <w:rsid w:val="00DB0BEF"/>
    <w:rsid w:val="00DB0F99"/>
    <w:rsid w:val="00DB1969"/>
    <w:rsid w:val="00DB1BFA"/>
    <w:rsid w:val="00DB2AB3"/>
    <w:rsid w:val="00DB2B29"/>
    <w:rsid w:val="00DB2C5B"/>
    <w:rsid w:val="00DB3956"/>
    <w:rsid w:val="00DB395C"/>
    <w:rsid w:val="00DB4969"/>
    <w:rsid w:val="00DB4CD2"/>
    <w:rsid w:val="00DB4E16"/>
    <w:rsid w:val="00DB568F"/>
    <w:rsid w:val="00DB597C"/>
    <w:rsid w:val="00DB5A01"/>
    <w:rsid w:val="00DB719B"/>
    <w:rsid w:val="00DB731F"/>
    <w:rsid w:val="00DB73CE"/>
    <w:rsid w:val="00DB7566"/>
    <w:rsid w:val="00DC0051"/>
    <w:rsid w:val="00DC1C8C"/>
    <w:rsid w:val="00DC22E9"/>
    <w:rsid w:val="00DC33ED"/>
    <w:rsid w:val="00DC354C"/>
    <w:rsid w:val="00DC3A8B"/>
    <w:rsid w:val="00DC3A8D"/>
    <w:rsid w:val="00DC3CC6"/>
    <w:rsid w:val="00DC3F6A"/>
    <w:rsid w:val="00DC4139"/>
    <w:rsid w:val="00DC462A"/>
    <w:rsid w:val="00DC46C4"/>
    <w:rsid w:val="00DC4845"/>
    <w:rsid w:val="00DC5747"/>
    <w:rsid w:val="00DC59DD"/>
    <w:rsid w:val="00DC5C4F"/>
    <w:rsid w:val="00DC5FC3"/>
    <w:rsid w:val="00DC7E5E"/>
    <w:rsid w:val="00DD061B"/>
    <w:rsid w:val="00DD0780"/>
    <w:rsid w:val="00DD0BF5"/>
    <w:rsid w:val="00DD2C09"/>
    <w:rsid w:val="00DD386F"/>
    <w:rsid w:val="00DD3B60"/>
    <w:rsid w:val="00DD4B21"/>
    <w:rsid w:val="00DD5DB8"/>
    <w:rsid w:val="00DD65D3"/>
    <w:rsid w:val="00DD76C2"/>
    <w:rsid w:val="00DE069E"/>
    <w:rsid w:val="00DE07F8"/>
    <w:rsid w:val="00DE223D"/>
    <w:rsid w:val="00DE2F0D"/>
    <w:rsid w:val="00DE5C09"/>
    <w:rsid w:val="00DE5DB9"/>
    <w:rsid w:val="00DE6AA5"/>
    <w:rsid w:val="00DE7C06"/>
    <w:rsid w:val="00DF040C"/>
    <w:rsid w:val="00DF0B62"/>
    <w:rsid w:val="00DF0C3C"/>
    <w:rsid w:val="00DF1FD1"/>
    <w:rsid w:val="00DF258A"/>
    <w:rsid w:val="00DF2F32"/>
    <w:rsid w:val="00DF3599"/>
    <w:rsid w:val="00DF3A59"/>
    <w:rsid w:val="00DF4C43"/>
    <w:rsid w:val="00DF4DF4"/>
    <w:rsid w:val="00DF5D55"/>
    <w:rsid w:val="00DF661F"/>
    <w:rsid w:val="00DF6BC1"/>
    <w:rsid w:val="00E0131D"/>
    <w:rsid w:val="00E0157D"/>
    <w:rsid w:val="00E01F7F"/>
    <w:rsid w:val="00E02D88"/>
    <w:rsid w:val="00E034F1"/>
    <w:rsid w:val="00E03E6E"/>
    <w:rsid w:val="00E0400B"/>
    <w:rsid w:val="00E04A85"/>
    <w:rsid w:val="00E05949"/>
    <w:rsid w:val="00E05A96"/>
    <w:rsid w:val="00E064C4"/>
    <w:rsid w:val="00E07701"/>
    <w:rsid w:val="00E10227"/>
    <w:rsid w:val="00E1058B"/>
    <w:rsid w:val="00E109CF"/>
    <w:rsid w:val="00E10E65"/>
    <w:rsid w:val="00E11FD5"/>
    <w:rsid w:val="00E12386"/>
    <w:rsid w:val="00E13302"/>
    <w:rsid w:val="00E13386"/>
    <w:rsid w:val="00E13559"/>
    <w:rsid w:val="00E14EF4"/>
    <w:rsid w:val="00E15CCF"/>
    <w:rsid w:val="00E16815"/>
    <w:rsid w:val="00E16A91"/>
    <w:rsid w:val="00E17085"/>
    <w:rsid w:val="00E171DA"/>
    <w:rsid w:val="00E2040A"/>
    <w:rsid w:val="00E207FF"/>
    <w:rsid w:val="00E21C54"/>
    <w:rsid w:val="00E24665"/>
    <w:rsid w:val="00E24859"/>
    <w:rsid w:val="00E24B75"/>
    <w:rsid w:val="00E259F4"/>
    <w:rsid w:val="00E268C2"/>
    <w:rsid w:val="00E2708F"/>
    <w:rsid w:val="00E31FAB"/>
    <w:rsid w:val="00E335CC"/>
    <w:rsid w:val="00E344C0"/>
    <w:rsid w:val="00E3475F"/>
    <w:rsid w:val="00E347C9"/>
    <w:rsid w:val="00E35CC4"/>
    <w:rsid w:val="00E35ECD"/>
    <w:rsid w:val="00E367FA"/>
    <w:rsid w:val="00E36D8A"/>
    <w:rsid w:val="00E40365"/>
    <w:rsid w:val="00E4060E"/>
    <w:rsid w:val="00E40988"/>
    <w:rsid w:val="00E41870"/>
    <w:rsid w:val="00E43180"/>
    <w:rsid w:val="00E43626"/>
    <w:rsid w:val="00E44B7E"/>
    <w:rsid w:val="00E45AD8"/>
    <w:rsid w:val="00E46157"/>
    <w:rsid w:val="00E4739E"/>
    <w:rsid w:val="00E47A71"/>
    <w:rsid w:val="00E507DA"/>
    <w:rsid w:val="00E50A72"/>
    <w:rsid w:val="00E50A85"/>
    <w:rsid w:val="00E51484"/>
    <w:rsid w:val="00E51A0F"/>
    <w:rsid w:val="00E5243A"/>
    <w:rsid w:val="00E52836"/>
    <w:rsid w:val="00E539CC"/>
    <w:rsid w:val="00E539F4"/>
    <w:rsid w:val="00E54EE7"/>
    <w:rsid w:val="00E554B4"/>
    <w:rsid w:val="00E57C48"/>
    <w:rsid w:val="00E607F0"/>
    <w:rsid w:val="00E61885"/>
    <w:rsid w:val="00E61F7D"/>
    <w:rsid w:val="00E62844"/>
    <w:rsid w:val="00E635A4"/>
    <w:rsid w:val="00E636BE"/>
    <w:rsid w:val="00E64D9B"/>
    <w:rsid w:val="00E65CE6"/>
    <w:rsid w:val="00E65E59"/>
    <w:rsid w:val="00E662E1"/>
    <w:rsid w:val="00E66AF4"/>
    <w:rsid w:val="00E67C29"/>
    <w:rsid w:val="00E708DF"/>
    <w:rsid w:val="00E7099B"/>
    <w:rsid w:val="00E712BA"/>
    <w:rsid w:val="00E717E6"/>
    <w:rsid w:val="00E71FCD"/>
    <w:rsid w:val="00E75267"/>
    <w:rsid w:val="00E75F8E"/>
    <w:rsid w:val="00E774C5"/>
    <w:rsid w:val="00E776AC"/>
    <w:rsid w:val="00E77A58"/>
    <w:rsid w:val="00E803D9"/>
    <w:rsid w:val="00E80C0E"/>
    <w:rsid w:val="00E80EAD"/>
    <w:rsid w:val="00E83E35"/>
    <w:rsid w:val="00E852E5"/>
    <w:rsid w:val="00E85344"/>
    <w:rsid w:val="00E85535"/>
    <w:rsid w:val="00E857FC"/>
    <w:rsid w:val="00E85A29"/>
    <w:rsid w:val="00E85D64"/>
    <w:rsid w:val="00E86099"/>
    <w:rsid w:val="00E861BE"/>
    <w:rsid w:val="00E86701"/>
    <w:rsid w:val="00E868CA"/>
    <w:rsid w:val="00E873F5"/>
    <w:rsid w:val="00E8786C"/>
    <w:rsid w:val="00E90739"/>
    <w:rsid w:val="00E90824"/>
    <w:rsid w:val="00E91ABD"/>
    <w:rsid w:val="00E91EFC"/>
    <w:rsid w:val="00E91F0D"/>
    <w:rsid w:val="00E9263D"/>
    <w:rsid w:val="00E9351E"/>
    <w:rsid w:val="00E939DC"/>
    <w:rsid w:val="00E93ABE"/>
    <w:rsid w:val="00E93B28"/>
    <w:rsid w:val="00E940F4"/>
    <w:rsid w:val="00E949DB"/>
    <w:rsid w:val="00E9637D"/>
    <w:rsid w:val="00E96D9B"/>
    <w:rsid w:val="00E97018"/>
    <w:rsid w:val="00E97CC1"/>
    <w:rsid w:val="00EA0183"/>
    <w:rsid w:val="00EA116E"/>
    <w:rsid w:val="00EA11C7"/>
    <w:rsid w:val="00EA128A"/>
    <w:rsid w:val="00EA1622"/>
    <w:rsid w:val="00EA1D7E"/>
    <w:rsid w:val="00EA1DA4"/>
    <w:rsid w:val="00EA2C5A"/>
    <w:rsid w:val="00EA583F"/>
    <w:rsid w:val="00EA5CA4"/>
    <w:rsid w:val="00EA6589"/>
    <w:rsid w:val="00EA6A28"/>
    <w:rsid w:val="00EA6E79"/>
    <w:rsid w:val="00EA768D"/>
    <w:rsid w:val="00EA77B3"/>
    <w:rsid w:val="00EA7A3F"/>
    <w:rsid w:val="00EA7C5C"/>
    <w:rsid w:val="00EB0E67"/>
    <w:rsid w:val="00EB158B"/>
    <w:rsid w:val="00EB1E61"/>
    <w:rsid w:val="00EB29C0"/>
    <w:rsid w:val="00EB3389"/>
    <w:rsid w:val="00EB4154"/>
    <w:rsid w:val="00EB41B1"/>
    <w:rsid w:val="00EB4992"/>
    <w:rsid w:val="00EB5082"/>
    <w:rsid w:val="00EB51E1"/>
    <w:rsid w:val="00EB58D4"/>
    <w:rsid w:val="00EB68B5"/>
    <w:rsid w:val="00EB6A91"/>
    <w:rsid w:val="00EB7208"/>
    <w:rsid w:val="00EB7285"/>
    <w:rsid w:val="00EB7DF8"/>
    <w:rsid w:val="00EC148C"/>
    <w:rsid w:val="00EC3758"/>
    <w:rsid w:val="00EC4E05"/>
    <w:rsid w:val="00EC5140"/>
    <w:rsid w:val="00EC5953"/>
    <w:rsid w:val="00EC7FA6"/>
    <w:rsid w:val="00ED02A0"/>
    <w:rsid w:val="00ED09D1"/>
    <w:rsid w:val="00ED22B7"/>
    <w:rsid w:val="00ED24A2"/>
    <w:rsid w:val="00ED2B82"/>
    <w:rsid w:val="00ED3848"/>
    <w:rsid w:val="00ED3ECE"/>
    <w:rsid w:val="00ED49EA"/>
    <w:rsid w:val="00ED6309"/>
    <w:rsid w:val="00ED700D"/>
    <w:rsid w:val="00ED7626"/>
    <w:rsid w:val="00EE021C"/>
    <w:rsid w:val="00EE16FC"/>
    <w:rsid w:val="00EE1B95"/>
    <w:rsid w:val="00EE1C64"/>
    <w:rsid w:val="00EE2772"/>
    <w:rsid w:val="00EE3556"/>
    <w:rsid w:val="00EE3A86"/>
    <w:rsid w:val="00EE4339"/>
    <w:rsid w:val="00EE4D84"/>
    <w:rsid w:val="00EE5014"/>
    <w:rsid w:val="00EE5479"/>
    <w:rsid w:val="00EE7716"/>
    <w:rsid w:val="00EE7992"/>
    <w:rsid w:val="00EF0554"/>
    <w:rsid w:val="00EF07AE"/>
    <w:rsid w:val="00EF0C02"/>
    <w:rsid w:val="00EF15B2"/>
    <w:rsid w:val="00EF3684"/>
    <w:rsid w:val="00EF3CA6"/>
    <w:rsid w:val="00EF49D1"/>
    <w:rsid w:val="00EF4B86"/>
    <w:rsid w:val="00EF5B34"/>
    <w:rsid w:val="00EF5F0B"/>
    <w:rsid w:val="00EF7A78"/>
    <w:rsid w:val="00EF7D5D"/>
    <w:rsid w:val="00F00571"/>
    <w:rsid w:val="00F028BB"/>
    <w:rsid w:val="00F04AC6"/>
    <w:rsid w:val="00F04CB6"/>
    <w:rsid w:val="00F051E0"/>
    <w:rsid w:val="00F05251"/>
    <w:rsid w:val="00F05B6B"/>
    <w:rsid w:val="00F05DAB"/>
    <w:rsid w:val="00F05F97"/>
    <w:rsid w:val="00F06661"/>
    <w:rsid w:val="00F11CE8"/>
    <w:rsid w:val="00F12128"/>
    <w:rsid w:val="00F14FB4"/>
    <w:rsid w:val="00F15065"/>
    <w:rsid w:val="00F156FE"/>
    <w:rsid w:val="00F16C41"/>
    <w:rsid w:val="00F17354"/>
    <w:rsid w:val="00F21610"/>
    <w:rsid w:val="00F2303E"/>
    <w:rsid w:val="00F235FB"/>
    <w:rsid w:val="00F23695"/>
    <w:rsid w:val="00F23A54"/>
    <w:rsid w:val="00F242C0"/>
    <w:rsid w:val="00F248F1"/>
    <w:rsid w:val="00F24F3D"/>
    <w:rsid w:val="00F258BB"/>
    <w:rsid w:val="00F25C10"/>
    <w:rsid w:val="00F27300"/>
    <w:rsid w:val="00F27706"/>
    <w:rsid w:val="00F27A5A"/>
    <w:rsid w:val="00F306D4"/>
    <w:rsid w:val="00F3094E"/>
    <w:rsid w:val="00F30B8C"/>
    <w:rsid w:val="00F3156C"/>
    <w:rsid w:val="00F32E1A"/>
    <w:rsid w:val="00F33E41"/>
    <w:rsid w:val="00F34C1F"/>
    <w:rsid w:val="00F34DA8"/>
    <w:rsid w:val="00F353D5"/>
    <w:rsid w:val="00F3628C"/>
    <w:rsid w:val="00F36F6B"/>
    <w:rsid w:val="00F379D7"/>
    <w:rsid w:val="00F402AF"/>
    <w:rsid w:val="00F40B9C"/>
    <w:rsid w:val="00F40F87"/>
    <w:rsid w:val="00F41652"/>
    <w:rsid w:val="00F435C2"/>
    <w:rsid w:val="00F43FAF"/>
    <w:rsid w:val="00F442BC"/>
    <w:rsid w:val="00F444AF"/>
    <w:rsid w:val="00F44BED"/>
    <w:rsid w:val="00F44C79"/>
    <w:rsid w:val="00F44D56"/>
    <w:rsid w:val="00F46350"/>
    <w:rsid w:val="00F478C5"/>
    <w:rsid w:val="00F50C53"/>
    <w:rsid w:val="00F51289"/>
    <w:rsid w:val="00F516D6"/>
    <w:rsid w:val="00F53023"/>
    <w:rsid w:val="00F533CA"/>
    <w:rsid w:val="00F53FEF"/>
    <w:rsid w:val="00F54B33"/>
    <w:rsid w:val="00F55919"/>
    <w:rsid w:val="00F56677"/>
    <w:rsid w:val="00F572DA"/>
    <w:rsid w:val="00F602DE"/>
    <w:rsid w:val="00F609C2"/>
    <w:rsid w:val="00F619F5"/>
    <w:rsid w:val="00F63452"/>
    <w:rsid w:val="00F643A0"/>
    <w:rsid w:val="00F64CCF"/>
    <w:rsid w:val="00F65977"/>
    <w:rsid w:val="00F65E21"/>
    <w:rsid w:val="00F66F9E"/>
    <w:rsid w:val="00F67231"/>
    <w:rsid w:val="00F67397"/>
    <w:rsid w:val="00F70275"/>
    <w:rsid w:val="00F7049F"/>
    <w:rsid w:val="00F71519"/>
    <w:rsid w:val="00F71D0B"/>
    <w:rsid w:val="00F72DAA"/>
    <w:rsid w:val="00F72F2D"/>
    <w:rsid w:val="00F737A1"/>
    <w:rsid w:val="00F746B0"/>
    <w:rsid w:val="00F74FB5"/>
    <w:rsid w:val="00F75120"/>
    <w:rsid w:val="00F75D1C"/>
    <w:rsid w:val="00F7659F"/>
    <w:rsid w:val="00F76C1E"/>
    <w:rsid w:val="00F774F8"/>
    <w:rsid w:val="00F77A5F"/>
    <w:rsid w:val="00F805BC"/>
    <w:rsid w:val="00F80C57"/>
    <w:rsid w:val="00F80CCE"/>
    <w:rsid w:val="00F818B5"/>
    <w:rsid w:val="00F825F5"/>
    <w:rsid w:val="00F82764"/>
    <w:rsid w:val="00F8442F"/>
    <w:rsid w:val="00F84BE7"/>
    <w:rsid w:val="00F8562D"/>
    <w:rsid w:val="00F85AEB"/>
    <w:rsid w:val="00F85E8C"/>
    <w:rsid w:val="00F8715A"/>
    <w:rsid w:val="00F87443"/>
    <w:rsid w:val="00F87766"/>
    <w:rsid w:val="00F90C0E"/>
    <w:rsid w:val="00F91E6D"/>
    <w:rsid w:val="00F91E8F"/>
    <w:rsid w:val="00F92952"/>
    <w:rsid w:val="00F929D6"/>
    <w:rsid w:val="00F95758"/>
    <w:rsid w:val="00F96C5F"/>
    <w:rsid w:val="00F96DF3"/>
    <w:rsid w:val="00FA1130"/>
    <w:rsid w:val="00FA137C"/>
    <w:rsid w:val="00FA24AF"/>
    <w:rsid w:val="00FA261C"/>
    <w:rsid w:val="00FA2E31"/>
    <w:rsid w:val="00FA305A"/>
    <w:rsid w:val="00FA4612"/>
    <w:rsid w:val="00FA4674"/>
    <w:rsid w:val="00FA51E2"/>
    <w:rsid w:val="00FA5AC7"/>
    <w:rsid w:val="00FA5D89"/>
    <w:rsid w:val="00FA7AA3"/>
    <w:rsid w:val="00FB10B1"/>
    <w:rsid w:val="00FB2A92"/>
    <w:rsid w:val="00FB3389"/>
    <w:rsid w:val="00FB35F9"/>
    <w:rsid w:val="00FB4885"/>
    <w:rsid w:val="00FB4A29"/>
    <w:rsid w:val="00FB4DB3"/>
    <w:rsid w:val="00FB5A7C"/>
    <w:rsid w:val="00FB5E85"/>
    <w:rsid w:val="00FB64A6"/>
    <w:rsid w:val="00FB67AA"/>
    <w:rsid w:val="00FB67EE"/>
    <w:rsid w:val="00FB6CC6"/>
    <w:rsid w:val="00FB6CD1"/>
    <w:rsid w:val="00FC0AE9"/>
    <w:rsid w:val="00FC1529"/>
    <w:rsid w:val="00FC1EC4"/>
    <w:rsid w:val="00FC22D0"/>
    <w:rsid w:val="00FC2A3E"/>
    <w:rsid w:val="00FC2C32"/>
    <w:rsid w:val="00FC413E"/>
    <w:rsid w:val="00FC4BAA"/>
    <w:rsid w:val="00FC5602"/>
    <w:rsid w:val="00FC59C2"/>
    <w:rsid w:val="00FC70F8"/>
    <w:rsid w:val="00FC7F2B"/>
    <w:rsid w:val="00FD196D"/>
    <w:rsid w:val="00FD1CE7"/>
    <w:rsid w:val="00FD26C8"/>
    <w:rsid w:val="00FD35F4"/>
    <w:rsid w:val="00FD3876"/>
    <w:rsid w:val="00FD3A88"/>
    <w:rsid w:val="00FD547D"/>
    <w:rsid w:val="00FD636A"/>
    <w:rsid w:val="00FD7855"/>
    <w:rsid w:val="00FE04E5"/>
    <w:rsid w:val="00FE0911"/>
    <w:rsid w:val="00FE0A16"/>
    <w:rsid w:val="00FE0D1C"/>
    <w:rsid w:val="00FE0EA7"/>
    <w:rsid w:val="00FE0F96"/>
    <w:rsid w:val="00FE1675"/>
    <w:rsid w:val="00FE2310"/>
    <w:rsid w:val="00FE294D"/>
    <w:rsid w:val="00FE2B4B"/>
    <w:rsid w:val="00FE3127"/>
    <w:rsid w:val="00FE42F6"/>
    <w:rsid w:val="00FE4487"/>
    <w:rsid w:val="00FE479B"/>
    <w:rsid w:val="00FE567C"/>
    <w:rsid w:val="00FE5EEA"/>
    <w:rsid w:val="00FE62D3"/>
    <w:rsid w:val="00FE6D68"/>
    <w:rsid w:val="00FE6EF6"/>
    <w:rsid w:val="00FE78C2"/>
    <w:rsid w:val="00FF0CAA"/>
    <w:rsid w:val="00FF0FAC"/>
    <w:rsid w:val="00FF1587"/>
    <w:rsid w:val="00FF1A7C"/>
    <w:rsid w:val="00FF1F4A"/>
    <w:rsid w:val="00FF387E"/>
    <w:rsid w:val="00FF629F"/>
    <w:rsid w:val="00FF6306"/>
    <w:rsid w:val="00FF64CD"/>
    <w:rsid w:val="00FF65F3"/>
    <w:rsid w:val="00FF6E30"/>
    <w:rsid w:val="00FF75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SG" w:eastAsia="en-SG"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36BDB"/>
    <w:rPr>
      <w:sz w:val="24"/>
      <w:szCs w:val="24"/>
      <w:lang w:val="en-US" w:eastAsia="en-US"/>
    </w:rPr>
  </w:style>
  <w:style w:type="paragraph" w:styleId="Heading1">
    <w:name w:val="heading 1"/>
    <w:basedOn w:val="Normal"/>
    <w:next w:val="Normal"/>
    <w:link w:val="Heading1Char"/>
    <w:uiPriority w:val="9"/>
    <w:qFormat/>
    <w:rsid w:val="00206AAB"/>
    <w:pPr>
      <w:keepNext/>
      <w:keepLines/>
      <w:numPr>
        <w:numId w:val="3"/>
      </w:numPr>
      <w:spacing w:before="480"/>
      <w:outlineLvl w:val="0"/>
    </w:pPr>
    <w:rPr>
      <w:rFonts w:ascii="Cambria" w:eastAsiaTheme="majorEastAsia" w:hAnsi="Cambria" w:cstheme="majorBidi"/>
      <w:bCs/>
      <w:sz w:val="36"/>
      <w:szCs w:val="28"/>
    </w:rPr>
  </w:style>
  <w:style w:type="paragraph" w:styleId="Heading2">
    <w:name w:val="heading 2"/>
    <w:next w:val="Body"/>
    <w:rsid w:val="00F84BE7"/>
    <w:pPr>
      <w:keepNext/>
      <w:keepLines/>
      <w:numPr>
        <w:ilvl w:val="1"/>
        <w:numId w:val="3"/>
      </w:numPr>
      <w:spacing w:before="40" w:line="360" w:lineRule="auto"/>
      <w:outlineLvl w:val="1"/>
    </w:pPr>
    <w:rPr>
      <w:rFonts w:cs="Arial Unicode MS"/>
      <w:i/>
      <w:iCs/>
      <w:color w:val="000000"/>
      <w:sz w:val="22"/>
      <w:szCs w:val="22"/>
      <w:u w:color="000000"/>
      <w:lang w:val="en-US"/>
    </w:rPr>
  </w:style>
  <w:style w:type="paragraph" w:styleId="Heading3">
    <w:name w:val="heading 3"/>
    <w:next w:val="Body"/>
    <w:rsid w:val="00F84BE7"/>
    <w:pPr>
      <w:keepNext/>
      <w:keepLines/>
      <w:numPr>
        <w:ilvl w:val="2"/>
        <w:numId w:val="3"/>
      </w:numPr>
      <w:spacing w:before="40" w:line="360" w:lineRule="auto"/>
      <w:outlineLvl w:val="2"/>
    </w:pPr>
    <w:rPr>
      <w:rFonts w:ascii="Calibri Light" w:eastAsia="Calibri Light" w:hAnsi="Calibri Light" w:cs="Calibri Light"/>
      <w:color w:val="1F4D78"/>
      <w:sz w:val="24"/>
      <w:szCs w:val="24"/>
      <w:u w:color="1F4D78"/>
    </w:rPr>
  </w:style>
  <w:style w:type="paragraph" w:styleId="Heading4">
    <w:name w:val="heading 4"/>
    <w:basedOn w:val="Normal"/>
    <w:next w:val="Normal"/>
    <w:link w:val="Heading4Char"/>
    <w:uiPriority w:val="9"/>
    <w:semiHidden/>
    <w:unhideWhenUsed/>
    <w:qFormat/>
    <w:rsid w:val="00842B2A"/>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842B2A"/>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842B2A"/>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842B2A"/>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42B2A"/>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42B2A"/>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84BE7"/>
    <w:rPr>
      <w:u w:val="single"/>
    </w:rPr>
  </w:style>
  <w:style w:type="paragraph" w:customStyle="1" w:styleId="HeaderFooter">
    <w:name w:val="Header &amp; Footer"/>
    <w:rsid w:val="00F84BE7"/>
    <w:pPr>
      <w:tabs>
        <w:tab w:val="right" w:pos="9020"/>
      </w:tabs>
    </w:pPr>
    <w:rPr>
      <w:rFonts w:ascii="Helvetica" w:hAnsi="Helvetica" w:cs="Arial Unicode MS"/>
      <w:color w:val="000000"/>
      <w:sz w:val="24"/>
      <w:szCs w:val="24"/>
    </w:rPr>
  </w:style>
  <w:style w:type="paragraph" w:styleId="Footer">
    <w:name w:val="footer"/>
    <w:rsid w:val="00F84BE7"/>
    <w:pPr>
      <w:tabs>
        <w:tab w:val="center" w:pos="4513"/>
        <w:tab w:val="right" w:pos="9026"/>
      </w:tabs>
      <w:spacing w:before="120"/>
    </w:pPr>
    <w:rPr>
      <w:rFonts w:cs="Arial Unicode MS"/>
      <w:color w:val="000000"/>
      <w:sz w:val="22"/>
      <w:szCs w:val="22"/>
      <w:u w:color="000000"/>
      <w:lang w:val="en-US"/>
    </w:rPr>
  </w:style>
  <w:style w:type="paragraph" w:customStyle="1" w:styleId="Heading">
    <w:name w:val="Heading"/>
    <w:next w:val="Body"/>
    <w:rsid w:val="00F84BE7"/>
    <w:pPr>
      <w:spacing w:before="480" w:line="276" w:lineRule="auto"/>
      <w:outlineLvl w:val="0"/>
    </w:pPr>
    <w:rPr>
      <w:rFonts w:ascii="Cambria" w:eastAsia="Cambria" w:hAnsi="Cambria" w:cs="Cambria"/>
      <w:smallCaps/>
      <w:color w:val="000000"/>
      <w:spacing w:val="5"/>
      <w:sz w:val="36"/>
      <w:szCs w:val="36"/>
      <w:u w:color="000000"/>
    </w:rPr>
  </w:style>
  <w:style w:type="paragraph" w:customStyle="1" w:styleId="Body">
    <w:name w:val="Body"/>
    <w:rsid w:val="00F23A54"/>
    <w:pPr>
      <w:spacing w:before="480" w:after="480" w:line="360" w:lineRule="auto"/>
    </w:pPr>
    <w:rPr>
      <w:rFonts w:cs="Arial Unicode MS"/>
      <w:color w:val="000000"/>
      <w:sz w:val="24"/>
      <w:szCs w:val="22"/>
      <w:u w:color="000000"/>
    </w:rPr>
  </w:style>
  <w:style w:type="paragraph" w:styleId="Title">
    <w:name w:val="Title"/>
    <w:next w:val="Body"/>
    <w:rsid w:val="00F84BE7"/>
    <w:pPr>
      <w:spacing w:before="120"/>
    </w:pPr>
    <w:rPr>
      <w:rFonts w:ascii="Calibri Light" w:eastAsia="Calibri Light" w:hAnsi="Calibri Light" w:cs="Calibri Light"/>
      <w:color w:val="000000"/>
      <w:spacing w:val="-10"/>
      <w:kern w:val="28"/>
      <w:sz w:val="56"/>
      <w:szCs w:val="56"/>
      <w:u w:color="000000"/>
      <w:lang w:val="en-US"/>
    </w:rPr>
  </w:style>
  <w:style w:type="character" w:styleId="FootnoteReference">
    <w:name w:val="footnote reference"/>
    <w:aliases w:val="Footnote symbol,Odwołanie przypisu"/>
    <w:uiPriority w:val="99"/>
    <w:qFormat/>
    <w:rsid w:val="00F84BE7"/>
    <w:rPr>
      <w:vertAlign w:val="superscript"/>
    </w:rPr>
  </w:style>
  <w:style w:type="paragraph" w:styleId="FootnoteText">
    <w:name w:val="footnote text"/>
    <w:aliases w:val="fn,Footnote Text Char Char,Footnote Text qer"/>
    <w:link w:val="FootnoteTextChar"/>
    <w:qFormat/>
    <w:rsid w:val="00F84BE7"/>
    <w:pPr>
      <w:spacing w:before="120"/>
    </w:pPr>
    <w:rPr>
      <w:rFonts w:eastAsia="Times New Roman"/>
      <w:color w:val="000000"/>
      <w:u w:color="000000"/>
      <w:lang w:val="en-US"/>
    </w:rPr>
  </w:style>
  <w:style w:type="character" w:customStyle="1" w:styleId="Hyperlink0">
    <w:name w:val="Hyperlink.0"/>
    <w:basedOn w:val="Hyperlink"/>
    <w:rsid w:val="00F84BE7"/>
    <w:rPr>
      <w:u w:val="single"/>
    </w:rPr>
  </w:style>
  <w:style w:type="paragraph" w:styleId="Caption">
    <w:name w:val="caption"/>
    <w:next w:val="Body"/>
    <w:uiPriority w:val="35"/>
    <w:qFormat/>
    <w:rsid w:val="0037429E"/>
    <w:pPr>
      <w:spacing w:before="120" w:after="200"/>
    </w:pPr>
    <w:rPr>
      <w:rFonts w:cs="Arial Unicode MS"/>
      <w:b/>
      <w:bCs/>
      <w:color w:val="000000"/>
      <w:sz w:val="24"/>
      <w:szCs w:val="18"/>
      <w:u w:color="000000"/>
      <w:lang w:val="en-US"/>
    </w:rPr>
  </w:style>
  <w:style w:type="paragraph" w:customStyle="1" w:styleId="BodyA">
    <w:name w:val="Body A"/>
    <w:basedOn w:val="Body"/>
    <w:rsid w:val="00636BDB"/>
    <w:pPr>
      <w:spacing w:before="120" w:after="280"/>
    </w:pPr>
    <w:rPr>
      <w:rFonts w:eastAsia="Calibri" w:cs="Calibri"/>
      <w:lang w:val="en-US"/>
    </w:rPr>
  </w:style>
  <w:style w:type="paragraph" w:customStyle="1" w:styleId="Default">
    <w:name w:val="Default"/>
    <w:rsid w:val="00F84BE7"/>
    <w:rPr>
      <w:rFonts w:ascii="Helvetica" w:eastAsia="Helvetica" w:hAnsi="Helvetica" w:cs="Helvetica"/>
      <w:color w:val="000000"/>
      <w:sz w:val="22"/>
      <w:szCs w:val="22"/>
    </w:rPr>
  </w:style>
  <w:style w:type="character" w:customStyle="1" w:styleId="None">
    <w:name w:val="None"/>
    <w:rsid w:val="00F84BE7"/>
  </w:style>
  <w:style w:type="character" w:customStyle="1" w:styleId="Hyperlink1">
    <w:name w:val="Hyperlink.1"/>
    <w:basedOn w:val="None"/>
    <w:rsid w:val="00F84BE7"/>
    <w:rPr>
      <w:u w:color="000000"/>
    </w:rPr>
  </w:style>
  <w:style w:type="character" w:customStyle="1" w:styleId="Hyperlink2">
    <w:name w:val="Hyperlink.2"/>
    <w:basedOn w:val="None"/>
    <w:rsid w:val="00F84BE7"/>
    <w:rPr>
      <w:lang w:val="en-US"/>
    </w:rPr>
  </w:style>
  <w:style w:type="character" w:customStyle="1" w:styleId="Hyperlink3">
    <w:name w:val="Hyperlink.3"/>
    <w:basedOn w:val="Hyperlink"/>
    <w:rsid w:val="00F84BE7"/>
    <w:rPr>
      <w:u w:val="single"/>
    </w:rPr>
  </w:style>
  <w:style w:type="character" w:customStyle="1" w:styleId="Hyperlink4">
    <w:name w:val="Hyperlink.4"/>
    <w:basedOn w:val="Hyperlink"/>
    <w:rsid w:val="00F84BE7"/>
    <w:rPr>
      <w:u w:val="single"/>
    </w:rPr>
  </w:style>
  <w:style w:type="character" w:customStyle="1" w:styleId="Hyperlink5">
    <w:name w:val="Hyperlink.5"/>
    <w:basedOn w:val="Hyperlink"/>
    <w:rsid w:val="00F84BE7"/>
    <w:rPr>
      <w:u w:val="single"/>
    </w:rPr>
  </w:style>
  <w:style w:type="character" w:customStyle="1" w:styleId="Hyperlink6">
    <w:name w:val="Hyperlink.6"/>
    <w:basedOn w:val="Hyperlink"/>
    <w:rsid w:val="00F84BE7"/>
    <w:rPr>
      <w:u w:val="single"/>
    </w:rPr>
  </w:style>
  <w:style w:type="numbering" w:customStyle="1" w:styleId="ImportedStyle1">
    <w:name w:val="Imported Style 1"/>
    <w:rsid w:val="00F84BE7"/>
    <w:pPr>
      <w:numPr>
        <w:numId w:val="1"/>
      </w:numPr>
    </w:pPr>
  </w:style>
  <w:style w:type="paragraph" w:styleId="NormalWeb">
    <w:name w:val="Normal (Web)"/>
    <w:uiPriority w:val="99"/>
    <w:rsid w:val="00F84BE7"/>
    <w:pPr>
      <w:spacing w:before="100" w:after="100"/>
    </w:pPr>
    <w:rPr>
      <w:rFonts w:cs="Arial Unicode MS"/>
      <w:color w:val="000000"/>
      <w:sz w:val="24"/>
      <w:szCs w:val="24"/>
      <w:u w:color="000000"/>
      <w:lang w:val="en-US"/>
    </w:rPr>
  </w:style>
  <w:style w:type="character" w:customStyle="1" w:styleId="Hyperlink7">
    <w:name w:val="Hyperlink.7"/>
    <w:basedOn w:val="None"/>
    <w:rsid w:val="00F84BE7"/>
    <w:rPr>
      <w:rFonts w:ascii="Calibri" w:eastAsia="Calibri" w:hAnsi="Calibri" w:cs="Calibri"/>
    </w:rPr>
  </w:style>
  <w:style w:type="character" w:customStyle="1" w:styleId="Link">
    <w:name w:val="Link"/>
    <w:rsid w:val="00F84BE7"/>
    <w:rPr>
      <w:color w:val="0563C1"/>
      <w:u w:val="single" w:color="0563C1"/>
      <w:lang w:val="en-US"/>
    </w:rPr>
  </w:style>
  <w:style w:type="paragraph" w:styleId="CommentText">
    <w:name w:val="annotation text"/>
    <w:basedOn w:val="Normal"/>
    <w:link w:val="CommentTextChar"/>
    <w:uiPriority w:val="99"/>
    <w:semiHidden/>
    <w:unhideWhenUsed/>
    <w:rsid w:val="00F84BE7"/>
    <w:rPr>
      <w:sz w:val="20"/>
      <w:szCs w:val="20"/>
    </w:rPr>
  </w:style>
  <w:style w:type="character" w:customStyle="1" w:styleId="CommentTextChar">
    <w:name w:val="Comment Text Char"/>
    <w:basedOn w:val="DefaultParagraphFont"/>
    <w:link w:val="CommentText"/>
    <w:uiPriority w:val="99"/>
    <w:semiHidden/>
    <w:rsid w:val="00F84BE7"/>
    <w:rPr>
      <w:lang w:val="en-US" w:eastAsia="en-US"/>
    </w:rPr>
  </w:style>
  <w:style w:type="character" w:styleId="CommentReference">
    <w:name w:val="annotation reference"/>
    <w:basedOn w:val="DefaultParagraphFont"/>
    <w:uiPriority w:val="99"/>
    <w:semiHidden/>
    <w:unhideWhenUsed/>
    <w:rsid w:val="00F84BE7"/>
    <w:rPr>
      <w:sz w:val="16"/>
      <w:szCs w:val="16"/>
    </w:rPr>
  </w:style>
  <w:style w:type="paragraph" w:styleId="BalloonText">
    <w:name w:val="Balloon Text"/>
    <w:basedOn w:val="Normal"/>
    <w:link w:val="BalloonTextChar"/>
    <w:uiPriority w:val="99"/>
    <w:semiHidden/>
    <w:unhideWhenUsed/>
    <w:rsid w:val="00E31FAB"/>
    <w:rPr>
      <w:rFonts w:ascii="Tahoma" w:hAnsi="Tahoma" w:cs="Tahoma"/>
      <w:sz w:val="16"/>
      <w:szCs w:val="16"/>
    </w:rPr>
  </w:style>
  <w:style w:type="character" w:customStyle="1" w:styleId="BalloonTextChar">
    <w:name w:val="Balloon Text Char"/>
    <w:basedOn w:val="DefaultParagraphFont"/>
    <w:link w:val="BalloonText"/>
    <w:uiPriority w:val="99"/>
    <w:semiHidden/>
    <w:rsid w:val="00E31FAB"/>
    <w:rPr>
      <w:rFonts w:ascii="Tahoma" w:hAnsi="Tahoma" w:cs="Tahoma"/>
      <w:sz w:val="16"/>
      <w:szCs w:val="16"/>
      <w:lang w:val="en-US" w:eastAsia="en-US"/>
    </w:rPr>
  </w:style>
  <w:style w:type="character" w:styleId="BookTitle">
    <w:name w:val="Book Title"/>
    <w:basedOn w:val="DefaultParagraphFont"/>
    <w:uiPriority w:val="33"/>
    <w:qFormat/>
    <w:rsid w:val="00E873F5"/>
    <w:rPr>
      <w:b/>
      <w:bCs/>
      <w:smallCaps/>
      <w:spacing w:val="5"/>
    </w:rPr>
  </w:style>
  <w:style w:type="character" w:customStyle="1" w:styleId="Heading1Char">
    <w:name w:val="Heading 1 Char"/>
    <w:basedOn w:val="DefaultParagraphFont"/>
    <w:link w:val="Heading1"/>
    <w:uiPriority w:val="9"/>
    <w:rsid w:val="00206AAB"/>
    <w:rPr>
      <w:rFonts w:ascii="Cambria" w:eastAsiaTheme="majorEastAsia" w:hAnsi="Cambria" w:cstheme="majorBidi"/>
      <w:bCs/>
      <w:sz w:val="36"/>
      <w:szCs w:val="28"/>
      <w:lang w:val="en-US" w:eastAsia="en-US"/>
    </w:rPr>
  </w:style>
  <w:style w:type="character" w:customStyle="1" w:styleId="Heading4Char">
    <w:name w:val="Heading 4 Char"/>
    <w:basedOn w:val="DefaultParagraphFont"/>
    <w:link w:val="Heading4"/>
    <w:uiPriority w:val="9"/>
    <w:semiHidden/>
    <w:rsid w:val="00842B2A"/>
    <w:rPr>
      <w:rFonts w:asciiTheme="majorHAnsi" w:eastAsiaTheme="majorEastAsia" w:hAnsiTheme="majorHAnsi" w:cstheme="majorBidi"/>
      <w:b/>
      <w:bCs/>
      <w:i/>
      <w:iCs/>
      <w:color w:val="5B9BD5" w:themeColor="accent1"/>
      <w:sz w:val="24"/>
      <w:szCs w:val="24"/>
      <w:lang w:val="en-US" w:eastAsia="en-US"/>
    </w:rPr>
  </w:style>
  <w:style w:type="character" w:customStyle="1" w:styleId="Heading5Char">
    <w:name w:val="Heading 5 Char"/>
    <w:basedOn w:val="DefaultParagraphFont"/>
    <w:link w:val="Heading5"/>
    <w:uiPriority w:val="9"/>
    <w:semiHidden/>
    <w:rsid w:val="00842B2A"/>
    <w:rPr>
      <w:rFonts w:asciiTheme="majorHAnsi" w:eastAsiaTheme="majorEastAsia" w:hAnsiTheme="majorHAnsi" w:cstheme="majorBidi"/>
      <w:color w:val="1F4D78" w:themeColor="accent1" w:themeShade="7F"/>
      <w:sz w:val="24"/>
      <w:szCs w:val="24"/>
      <w:lang w:val="en-US" w:eastAsia="en-US"/>
    </w:rPr>
  </w:style>
  <w:style w:type="character" w:customStyle="1" w:styleId="Heading6Char">
    <w:name w:val="Heading 6 Char"/>
    <w:basedOn w:val="DefaultParagraphFont"/>
    <w:link w:val="Heading6"/>
    <w:uiPriority w:val="9"/>
    <w:semiHidden/>
    <w:rsid w:val="00842B2A"/>
    <w:rPr>
      <w:rFonts w:asciiTheme="majorHAnsi" w:eastAsiaTheme="majorEastAsia" w:hAnsiTheme="majorHAnsi" w:cstheme="majorBidi"/>
      <w:i/>
      <w:iCs/>
      <w:color w:val="1F4D78" w:themeColor="accent1" w:themeShade="7F"/>
      <w:sz w:val="24"/>
      <w:szCs w:val="24"/>
      <w:lang w:val="en-US" w:eastAsia="en-US"/>
    </w:rPr>
  </w:style>
  <w:style w:type="character" w:customStyle="1" w:styleId="Heading7Char">
    <w:name w:val="Heading 7 Char"/>
    <w:basedOn w:val="DefaultParagraphFont"/>
    <w:link w:val="Heading7"/>
    <w:uiPriority w:val="9"/>
    <w:semiHidden/>
    <w:rsid w:val="00842B2A"/>
    <w:rPr>
      <w:rFonts w:asciiTheme="majorHAnsi" w:eastAsiaTheme="majorEastAsia" w:hAnsiTheme="majorHAnsi" w:cstheme="majorBidi"/>
      <w:i/>
      <w:iCs/>
      <w:color w:val="404040" w:themeColor="text1" w:themeTint="BF"/>
      <w:sz w:val="24"/>
      <w:szCs w:val="24"/>
      <w:lang w:val="en-US" w:eastAsia="en-US"/>
    </w:rPr>
  </w:style>
  <w:style w:type="character" w:customStyle="1" w:styleId="Heading8Char">
    <w:name w:val="Heading 8 Char"/>
    <w:basedOn w:val="DefaultParagraphFont"/>
    <w:link w:val="Heading8"/>
    <w:uiPriority w:val="9"/>
    <w:semiHidden/>
    <w:rsid w:val="00842B2A"/>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uiPriority w:val="9"/>
    <w:semiHidden/>
    <w:rsid w:val="00842B2A"/>
    <w:rPr>
      <w:rFonts w:asciiTheme="majorHAnsi" w:eastAsiaTheme="majorEastAsia" w:hAnsiTheme="majorHAnsi" w:cstheme="majorBidi"/>
      <w:i/>
      <w:iCs/>
      <w:color w:val="404040" w:themeColor="text1" w:themeTint="BF"/>
      <w:lang w:val="en-US" w:eastAsia="en-US"/>
    </w:rPr>
  </w:style>
  <w:style w:type="paragraph" w:styleId="TOCHeading">
    <w:name w:val="TOC Heading"/>
    <w:basedOn w:val="Heading1"/>
    <w:next w:val="Normal"/>
    <w:uiPriority w:val="39"/>
    <w:semiHidden/>
    <w:unhideWhenUsed/>
    <w:qFormat/>
    <w:rsid w:val="003550CD"/>
    <w:pPr>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9"/>
    </w:pPr>
    <w:rPr>
      <w:rFonts w:asciiTheme="majorHAnsi" w:hAnsiTheme="majorHAnsi"/>
      <w:b/>
      <w:color w:val="2E74B5" w:themeColor="accent1" w:themeShade="BF"/>
      <w:sz w:val="28"/>
      <w:bdr w:val="none" w:sz="0" w:space="0" w:color="auto"/>
      <w:lang w:eastAsia="ja-JP"/>
    </w:rPr>
  </w:style>
  <w:style w:type="paragraph" w:styleId="TOC1">
    <w:name w:val="toc 1"/>
    <w:basedOn w:val="Normal"/>
    <w:next w:val="Normal"/>
    <w:autoRedefine/>
    <w:uiPriority w:val="39"/>
    <w:unhideWhenUsed/>
    <w:rsid w:val="003550CD"/>
    <w:pPr>
      <w:spacing w:after="100"/>
    </w:pPr>
  </w:style>
  <w:style w:type="paragraph" w:styleId="TOC2">
    <w:name w:val="toc 2"/>
    <w:basedOn w:val="Normal"/>
    <w:next w:val="Normal"/>
    <w:autoRedefine/>
    <w:uiPriority w:val="39"/>
    <w:unhideWhenUsed/>
    <w:rsid w:val="003550CD"/>
    <w:pPr>
      <w:spacing w:after="100"/>
      <w:ind w:left="240"/>
    </w:pPr>
  </w:style>
  <w:style w:type="paragraph" w:styleId="TOC3">
    <w:name w:val="toc 3"/>
    <w:basedOn w:val="Normal"/>
    <w:next w:val="Normal"/>
    <w:autoRedefine/>
    <w:uiPriority w:val="39"/>
    <w:unhideWhenUsed/>
    <w:rsid w:val="003550CD"/>
    <w:pPr>
      <w:spacing w:after="100"/>
      <w:ind w:left="480"/>
    </w:pPr>
  </w:style>
  <w:style w:type="paragraph" w:styleId="NoSpacing">
    <w:name w:val="No Spacing"/>
    <w:uiPriority w:val="1"/>
    <w:qFormat/>
    <w:rsid w:val="00657EA7"/>
    <w:rPr>
      <w:sz w:val="24"/>
      <w:szCs w:val="24"/>
      <w:lang w:val="en-US" w:eastAsia="en-US"/>
    </w:rPr>
  </w:style>
  <w:style w:type="paragraph" w:customStyle="1" w:styleId="ody">
    <w:name w:val="ody"/>
    <w:basedOn w:val="BodyA"/>
    <w:rsid w:val="009718E9"/>
  </w:style>
  <w:style w:type="paragraph" w:styleId="CommentSubject">
    <w:name w:val="annotation subject"/>
    <w:basedOn w:val="CommentText"/>
    <w:next w:val="CommentText"/>
    <w:link w:val="CommentSubjectChar"/>
    <w:uiPriority w:val="99"/>
    <w:semiHidden/>
    <w:unhideWhenUsed/>
    <w:rsid w:val="00AB339D"/>
    <w:rPr>
      <w:b/>
      <w:bCs/>
    </w:rPr>
  </w:style>
  <w:style w:type="character" w:customStyle="1" w:styleId="CommentSubjectChar">
    <w:name w:val="Comment Subject Char"/>
    <w:basedOn w:val="CommentTextChar"/>
    <w:link w:val="CommentSubject"/>
    <w:uiPriority w:val="99"/>
    <w:semiHidden/>
    <w:rsid w:val="00AB339D"/>
    <w:rPr>
      <w:b/>
      <w:bCs/>
      <w:lang w:val="en-US" w:eastAsia="en-US"/>
    </w:rPr>
  </w:style>
  <w:style w:type="character" w:customStyle="1" w:styleId="FootnoteTextChar">
    <w:name w:val="Footnote Text Char"/>
    <w:aliases w:val="fn Char,Footnote Text Char Char Char,Footnote Text qer Char"/>
    <w:basedOn w:val="DefaultParagraphFont"/>
    <w:link w:val="FootnoteText"/>
    <w:uiPriority w:val="99"/>
    <w:rsid w:val="009C58B6"/>
    <w:rPr>
      <w:rFonts w:eastAsia="Times New Roman"/>
      <w:color w:val="000000"/>
      <w:u w:color="000000"/>
      <w:lang w:val="en-US"/>
    </w:rPr>
  </w:style>
  <w:style w:type="character" w:styleId="PlaceholderText">
    <w:name w:val="Placeholder Text"/>
    <w:basedOn w:val="DefaultParagraphFont"/>
    <w:uiPriority w:val="99"/>
    <w:semiHidden/>
    <w:rsid w:val="00815492"/>
    <w:rPr>
      <w:color w:val="808080"/>
    </w:rPr>
  </w:style>
  <w:style w:type="character" w:styleId="FollowedHyperlink">
    <w:name w:val="FollowedHyperlink"/>
    <w:basedOn w:val="DefaultParagraphFont"/>
    <w:uiPriority w:val="99"/>
    <w:semiHidden/>
    <w:unhideWhenUsed/>
    <w:rsid w:val="00CF45B5"/>
    <w:rPr>
      <w:color w:val="FF00FF" w:themeColor="followedHyperlink"/>
      <w:u w:val="single"/>
    </w:rPr>
  </w:style>
  <w:style w:type="paragraph" w:styleId="Revision">
    <w:name w:val="Revision"/>
    <w:hidden/>
    <w:uiPriority w:val="99"/>
    <w:semiHidden/>
    <w:rsid w:val="00612CF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TableofFigures">
    <w:name w:val="table of figures"/>
    <w:basedOn w:val="Normal"/>
    <w:next w:val="Normal"/>
    <w:uiPriority w:val="99"/>
    <w:unhideWhenUsed/>
    <w:rsid w:val="00091F8E"/>
  </w:style>
  <w:style w:type="paragraph" w:styleId="Subtitle">
    <w:name w:val="Subtitle"/>
    <w:basedOn w:val="Normal"/>
    <w:next w:val="Normal"/>
    <w:link w:val="SubtitleChar"/>
    <w:qFormat/>
    <w:rsid w:val="005E2602"/>
    <w:pPr>
      <w:pBdr>
        <w:top w:val="none" w:sz="0" w:space="0" w:color="auto"/>
        <w:left w:val="none" w:sz="0" w:space="0" w:color="auto"/>
        <w:bottom w:val="none" w:sz="0" w:space="0" w:color="auto"/>
        <w:right w:val="none" w:sz="0" w:space="0" w:color="auto"/>
        <w:between w:val="none" w:sz="0" w:space="0" w:color="auto"/>
        <w:bar w:val="none" w:sz="0" w:color="auto"/>
      </w:pBdr>
      <w:spacing w:after="60"/>
      <w:jc w:val="center"/>
      <w:outlineLvl w:val="1"/>
    </w:pPr>
    <w:rPr>
      <w:rFonts w:ascii="Cambria" w:eastAsia="Times New Roman" w:hAnsi="Cambria"/>
      <w:color w:val="000000"/>
      <w:bdr w:val="none" w:sz="0" w:space="0" w:color="auto"/>
    </w:rPr>
  </w:style>
  <w:style w:type="character" w:customStyle="1" w:styleId="SubtitleChar">
    <w:name w:val="Subtitle Char"/>
    <w:basedOn w:val="DefaultParagraphFont"/>
    <w:link w:val="Subtitle"/>
    <w:rsid w:val="005E2602"/>
    <w:rPr>
      <w:rFonts w:ascii="Cambria" w:eastAsia="Times New Roman" w:hAnsi="Cambria"/>
      <w:color w:val="000000"/>
      <w:sz w:val="24"/>
      <w:szCs w:val="24"/>
      <w:bdr w:val="none" w:sz="0" w:space="0" w:color="auto"/>
      <w:lang w:val="en-US" w:eastAsia="en-US"/>
    </w:rPr>
  </w:style>
  <w:style w:type="character" w:styleId="SubtleEmphasis">
    <w:name w:val="Subtle Emphasis"/>
    <w:basedOn w:val="DefaultParagraphFont"/>
    <w:uiPriority w:val="19"/>
    <w:qFormat/>
    <w:rsid w:val="005E2602"/>
    <w:rPr>
      <w:i/>
      <w:iCs/>
      <w:color w:val="808080"/>
    </w:rPr>
  </w:style>
  <w:style w:type="paragraph" w:customStyle="1" w:styleId="body0">
    <w:name w:val="body"/>
    <w:basedOn w:val="Normal"/>
    <w:uiPriority w:val="99"/>
    <w:rsid w:val="006B72EB"/>
    <w:pPr>
      <w:pBdr>
        <w:top w:val="none" w:sz="0" w:space="0" w:color="auto"/>
        <w:left w:val="none" w:sz="0" w:space="0" w:color="auto"/>
        <w:bottom w:val="none" w:sz="0" w:space="0" w:color="auto"/>
        <w:right w:val="none" w:sz="0" w:space="0" w:color="auto"/>
        <w:between w:val="none" w:sz="0" w:space="0" w:color="auto"/>
        <w:bar w:val="none" w:sz="0" w:color="auto"/>
      </w:pBdr>
      <w:spacing w:before="480" w:after="480" w:line="360" w:lineRule="auto"/>
    </w:pPr>
    <w:rPr>
      <w:rFonts w:eastAsiaTheme="minorHAnsi"/>
      <w:color w:val="000000"/>
      <w:bdr w:val="none" w:sz="0" w:space="0" w:color="auto"/>
      <w:lang w:val="en-NZ" w:eastAsia="en-NZ"/>
    </w:rPr>
  </w:style>
  <w:style w:type="table" w:styleId="TableGrid">
    <w:name w:val="Table Grid"/>
    <w:basedOn w:val="TableNormal"/>
    <w:uiPriority w:val="59"/>
    <w:rsid w:val="004C1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l">
    <w:name w:val="aal"/>
    <w:basedOn w:val="DefaultParagraphFont"/>
    <w:rsid w:val="000E6DF8"/>
  </w:style>
  <w:style w:type="table" w:customStyle="1" w:styleId="TableGridLight1">
    <w:name w:val="Table Grid Light1"/>
    <w:basedOn w:val="TableNormal"/>
    <w:uiPriority w:val="40"/>
    <w:rsid w:val="00BA21D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BA21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rsid w:val="0016115C"/>
    <w:pPr>
      <w:pBdr>
        <w:top w:val="none" w:sz="0" w:space="0" w:color="auto"/>
        <w:left w:val="none" w:sz="0" w:space="0" w:color="auto"/>
        <w:bottom w:val="none" w:sz="0" w:space="0" w:color="auto"/>
        <w:right w:val="none" w:sz="0" w:space="0" w:color="auto"/>
        <w:between w:val="none" w:sz="0" w:space="0" w:color="auto"/>
        <w:bar w:val="none" w:sz="0" w:color="auto"/>
      </w:pBdr>
      <w:spacing w:after="120" w:line="288" w:lineRule="auto"/>
      <w:ind w:left="720"/>
      <w:contextualSpacing/>
    </w:pPr>
    <w:rPr>
      <w:rFonts w:ascii="Verdana" w:eastAsia="Calibri" w:hAnsi="Verdana" w:cs="Arial"/>
      <w:kern w:val="28"/>
      <w:sz w:val="20"/>
      <w:szCs w:val="20"/>
      <w:bdr w:val="none" w:sz="0" w:space="0" w:color="auto"/>
      <w:lang w:val="en-NZ"/>
    </w:rPr>
  </w:style>
  <w:style w:type="paragraph" w:customStyle="1" w:styleId="InfoBody">
    <w:name w:val="Info Body"/>
    <w:basedOn w:val="Normal"/>
    <w:qFormat/>
    <w:rsid w:val="0016115C"/>
    <w:pPr>
      <w:pBdr>
        <w:top w:val="none" w:sz="0" w:space="0" w:color="auto"/>
        <w:left w:val="none" w:sz="0" w:space="0" w:color="auto"/>
        <w:bottom w:val="none" w:sz="0" w:space="0" w:color="auto"/>
        <w:right w:val="none" w:sz="0" w:space="0" w:color="auto"/>
        <w:between w:val="none" w:sz="0" w:space="0" w:color="auto"/>
        <w:bar w:val="none" w:sz="0" w:color="auto"/>
      </w:pBdr>
      <w:spacing w:after="120" w:line="288" w:lineRule="auto"/>
    </w:pPr>
    <w:rPr>
      <w:rFonts w:ascii="Verdana" w:eastAsia="Calibri" w:hAnsi="Verdana" w:cs="Arial"/>
      <w:kern w:val="28"/>
      <w:sz w:val="20"/>
      <w:szCs w:val="20"/>
      <w:bdr w:val="none" w:sz="0" w:space="0" w:color="auto"/>
      <w:lang w:val="en-NZ"/>
    </w:rPr>
  </w:style>
  <w:style w:type="paragraph" w:customStyle="1" w:styleId="Info2">
    <w:name w:val="Info2"/>
    <w:basedOn w:val="Normal"/>
    <w:qFormat/>
    <w:rsid w:val="0016115C"/>
    <w:pPr>
      <w:pBdr>
        <w:top w:val="none" w:sz="0" w:space="0" w:color="auto"/>
        <w:left w:val="none" w:sz="0" w:space="0" w:color="auto"/>
        <w:bottom w:val="none" w:sz="0" w:space="0" w:color="auto"/>
        <w:right w:val="none" w:sz="0" w:space="0" w:color="auto"/>
        <w:between w:val="none" w:sz="0" w:space="0" w:color="auto"/>
        <w:bar w:val="none" w:sz="0" w:color="auto"/>
      </w:pBdr>
      <w:spacing w:after="120" w:line="288" w:lineRule="auto"/>
    </w:pPr>
    <w:rPr>
      <w:rFonts w:ascii="Verdana" w:eastAsia="Calibri" w:hAnsi="Verdana" w:cs="Arial"/>
      <w:b/>
      <w:kern w:val="28"/>
      <w:szCs w:val="20"/>
      <w:bdr w:val="none" w:sz="0" w:space="0" w:color="auto"/>
      <w:lang w:val="en-NZ"/>
    </w:rPr>
  </w:style>
  <w:style w:type="paragraph" w:styleId="Header">
    <w:name w:val="header"/>
    <w:basedOn w:val="Normal"/>
    <w:link w:val="HeaderChar"/>
    <w:uiPriority w:val="99"/>
    <w:unhideWhenUsed/>
    <w:rsid w:val="0016115C"/>
    <w:pPr>
      <w:tabs>
        <w:tab w:val="center" w:pos="4513"/>
        <w:tab w:val="right" w:pos="9026"/>
      </w:tabs>
    </w:pPr>
  </w:style>
  <w:style w:type="character" w:customStyle="1" w:styleId="HeaderChar">
    <w:name w:val="Header Char"/>
    <w:basedOn w:val="DefaultParagraphFont"/>
    <w:link w:val="Header"/>
    <w:uiPriority w:val="99"/>
    <w:rsid w:val="0016115C"/>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SG" w:eastAsia="en-SG"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36BDB"/>
    <w:rPr>
      <w:sz w:val="24"/>
      <w:szCs w:val="24"/>
      <w:lang w:val="en-US" w:eastAsia="en-US"/>
    </w:rPr>
  </w:style>
  <w:style w:type="paragraph" w:styleId="Heading1">
    <w:name w:val="heading 1"/>
    <w:basedOn w:val="Normal"/>
    <w:next w:val="Normal"/>
    <w:link w:val="Heading1Char"/>
    <w:uiPriority w:val="9"/>
    <w:qFormat/>
    <w:rsid w:val="00206AAB"/>
    <w:pPr>
      <w:keepNext/>
      <w:keepLines/>
      <w:numPr>
        <w:numId w:val="3"/>
      </w:numPr>
      <w:spacing w:before="480"/>
      <w:outlineLvl w:val="0"/>
    </w:pPr>
    <w:rPr>
      <w:rFonts w:ascii="Cambria" w:eastAsiaTheme="majorEastAsia" w:hAnsi="Cambria" w:cstheme="majorBidi"/>
      <w:bCs/>
      <w:sz w:val="36"/>
      <w:szCs w:val="28"/>
    </w:rPr>
  </w:style>
  <w:style w:type="paragraph" w:styleId="Heading2">
    <w:name w:val="heading 2"/>
    <w:next w:val="Body"/>
    <w:rsid w:val="00F84BE7"/>
    <w:pPr>
      <w:keepNext/>
      <w:keepLines/>
      <w:numPr>
        <w:ilvl w:val="1"/>
        <w:numId w:val="3"/>
      </w:numPr>
      <w:spacing w:before="40" w:line="360" w:lineRule="auto"/>
      <w:outlineLvl w:val="1"/>
    </w:pPr>
    <w:rPr>
      <w:rFonts w:cs="Arial Unicode MS"/>
      <w:i/>
      <w:iCs/>
      <w:color w:val="000000"/>
      <w:sz w:val="22"/>
      <w:szCs w:val="22"/>
      <w:u w:color="000000"/>
      <w:lang w:val="en-US"/>
    </w:rPr>
  </w:style>
  <w:style w:type="paragraph" w:styleId="Heading3">
    <w:name w:val="heading 3"/>
    <w:next w:val="Body"/>
    <w:rsid w:val="00F84BE7"/>
    <w:pPr>
      <w:keepNext/>
      <w:keepLines/>
      <w:numPr>
        <w:ilvl w:val="2"/>
        <w:numId w:val="3"/>
      </w:numPr>
      <w:spacing w:before="40" w:line="360" w:lineRule="auto"/>
      <w:outlineLvl w:val="2"/>
    </w:pPr>
    <w:rPr>
      <w:rFonts w:ascii="Calibri Light" w:eastAsia="Calibri Light" w:hAnsi="Calibri Light" w:cs="Calibri Light"/>
      <w:color w:val="1F4D78"/>
      <w:sz w:val="24"/>
      <w:szCs w:val="24"/>
      <w:u w:color="1F4D78"/>
    </w:rPr>
  </w:style>
  <w:style w:type="paragraph" w:styleId="Heading4">
    <w:name w:val="heading 4"/>
    <w:basedOn w:val="Normal"/>
    <w:next w:val="Normal"/>
    <w:link w:val="Heading4Char"/>
    <w:uiPriority w:val="9"/>
    <w:semiHidden/>
    <w:unhideWhenUsed/>
    <w:qFormat/>
    <w:rsid w:val="00842B2A"/>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842B2A"/>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842B2A"/>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842B2A"/>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42B2A"/>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42B2A"/>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84BE7"/>
    <w:rPr>
      <w:u w:val="single"/>
    </w:rPr>
  </w:style>
  <w:style w:type="paragraph" w:customStyle="1" w:styleId="HeaderFooter">
    <w:name w:val="Header &amp; Footer"/>
    <w:rsid w:val="00F84BE7"/>
    <w:pPr>
      <w:tabs>
        <w:tab w:val="right" w:pos="9020"/>
      </w:tabs>
    </w:pPr>
    <w:rPr>
      <w:rFonts w:ascii="Helvetica" w:hAnsi="Helvetica" w:cs="Arial Unicode MS"/>
      <w:color w:val="000000"/>
      <w:sz w:val="24"/>
      <w:szCs w:val="24"/>
    </w:rPr>
  </w:style>
  <w:style w:type="paragraph" w:styleId="Footer">
    <w:name w:val="footer"/>
    <w:rsid w:val="00F84BE7"/>
    <w:pPr>
      <w:tabs>
        <w:tab w:val="center" w:pos="4513"/>
        <w:tab w:val="right" w:pos="9026"/>
      </w:tabs>
      <w:spacing w:before="120"/>
    </w:pPr>
    <w:rPr>
      <w:rFonts w:cs="Arial Unicode MS"/>
      <w:color w:val="000000"/>
      <w:sz w:val="22"/>
      <w:szCs w:val="22"/>
      <w:u w:color="000000"/>
      <w:lang w:val="en-US"/>
    </w:rPr>
  </w:style>
  <w:style w:type="paragraph" w:customStyle="1" w:styleId="Heading">
    <w:name w:val="Heading"/>
    <w:next w:val="Body"/>
    <w:rsid w:val="00F84BE7"/>
    <w:pPr>
      <w:spacing w:before="480" w:line="276" w:lineRule="auto"/>
      <w:outlineLvl w:val="0"/>
    </w:pPr>
    <w:rPr>
      <w:rFonts w:ascii="Cambria" w:eastAsia="Cambria" w:hAnsi="Cambria" w:cs="Cambria"/>
      <w:smallCaps/>
      <w:color w:val="000000"/>
      <w:spacing w:val="5"/>
      <w:sz w:val="36"/>
      <w:szCs w:val="36"/>
      <w:u w:color="000000"/>
    </w:rPr>
  </w:style>
  <w:style w:type="paragraph" w:customStyle="1" w:styleId="Body">
    <w:name w:val="Body"/>
    <w:rsid w:val="00F23A54"/>
    <w:pPr>
      <w:spacing w:before="480" w:after="480" w:line="360" w:lineRule="auto"/>
    </w:pPr>
    <w:rPr>
      <w:rFonts w:cs="Arial Unicode MS"/>
      <w:color w:val="000000"/>
      <w:sz w:val="24"/>
      <w:szCs w:val="22"/>
      <w:u w:color="000000"/>
    </w:rPr>
  </w:style>
  <w:style w:type="paragraph" w:styleId="Title">
    <w:name w:val="Title"/>
    <w:next w:val="Body"/>
    <w:rsid w:val="00F84BE7"/>
    <w:pPr>
      <w:spacing w:before="120"/>
    </w:pPr>
    <w:rPr>
      <w:rFonts w:ascii="Calibri Light" w:eastAsia="Calibri Light" w:hAnsi="Calibri Light" w:cs="Calibri Light"/>
      <w:color w:val="000000"/>
      <w:spacing w:val="-10"/>
      <w:kern w:val="28"/>
      <w:sz w:val="56"/>
      <w:szCs w:val="56"/>
      <w:u w:color="000000"/>
      <w:lang w:val="en-US"/>
    </w:rPr>
  </w:style>
  <w:style w:type="character" w:styleId="FootnoteReference">
    <w:name w:val="footnote reference"/>
    <w:aliases w:val="Footnote symbol,Odwołanie przypisu"/>
    <w:uiPriority w:val="99"/>
    <w:qFormat/>
    <w:rsid w:val="00F84BE7"/>
    <w:rPr>
      <w:vertAlign w:val="superscript"/>
    </w:rPr>
  </w:style>
  <w:style w:type="paragraph" w:styleId="FootnoteText">
    <w:name w:val="footnote text"/>
    <w:aliases w:val="fn,Footnote Text Char Char,Footnote Text qer"/>
    <w:link w:val="FootnoteTextChar"/>
    <w:qFormat/>
    <w:rsid w:val="00F84BE7"/>
    <w:pPr>
      <w:spacing w:before="120"/>
    </w:pPr>
    <w:rPr>
      <w:rFonts w:eastAsia="Times New Roman"/>
      <w:color w:val="000000"/>
      <w:u w:color="000000"/>
      <w:lang w:val="en-US"/>
    </w:rPr>
  </w:style>
  <w:style w:type="character" w:customStyle="1" w:styleId="Hyperlink0">
    <w:name w:val="Hyperlink.0"/>
    <w:basedOn w:val="Hyperlink"/>
    <w:rsid w:val="00F84BE7"/>
    <w:rPr>
      <w:u w:val="single"/>
    </w:rPr>
  </w:style>
  <w:style w:type="paragraph" w:styleId="Caption">
    <w:name w:val="caption"/>
    <w:next w:val="Body"/>
    <w:uiPriority w:val="35"/>
    <w:qFormat/>
    <w:rsid w:val="0037429E"/>
    <w:pPr>
      <w:spacing w:before="120" w:after="200"/>
    </w:pPr>
    <w:rPr>
      <w:rFonts w:cs="Arial Unicode MS"/>
      <w:b/>
      <w:bCs/>
      <w:color w:val="000000"/>
      <w:sz w:val="24"/>
      <w:szCs w:val="18"/>
      <w:u w:color="000000"/>
      <w:lang w:val="en-US"/>
    </w:rPr>
  </w:style>
  <w:style w:type="paragraph" w:customStyle="1" w:styleId="BodyA">
    <w:name w:val="Body A"/>
    <w:basedOn w:val="Body"/>
    <w:rsid w:val="00636BDB"/>
    <w:pPr>
      <w:spacing w:before="120" w:after="280"/>
    </w:pPr>
    <w:rPr>
      <w:rFonts w:eastAsia="Calibri" w:cs="Calibri"/>
      <w:lang w:val="en-US"/>
    </w:rPr>
  </w:style>
  <w:style w:type="paragraph" w:customStyle="1" w:styleId="Default">
    <w:name w:val="Default"/>
    <w:rsid w:val="00F84BE7"/>
    <w:rPr>
      <w:rFonts w:ascii="Helvetica" w:eastAsia="Helvetica" w:hAnsi="Helvetica" w:cs="Helvetica"/>
      <w:color w:val="000000"/>
      <w:sz w:val="22"/>
      <w:szCs w:val="22"/>
    </w:rPr>
  </w:style>
  <w:style w:type="character" w:customStyle="1" w:styleId="None">
    <w:name w:val="None"/>
    <w:rsid w:val="00F84BE7"/>
  </w:style>
  <w:style w:type="character" w:customStyle="1" w:styleId="Hyperlink1">
    <w:name w:val="Hyperlink.1"/>
    <w:basedOn w:val="None"/>
    <w:rsid w:val="00F84BE7"/>
    <w:rPr>
      <w:u w:color="000000"/>
    </w:rPr>
  </w:style>
  <w:style w:type="character" w:customStyle="1" w:styleId="Hyperlink2">
    <w:name w:val="Hyperlink.2"/>
    <w:basedOn w:val="None"/>
    <w:rsid w:val="00F84BE7"/>
    <w:rPr>
      <w:lang w:val="en-US"/>
    </w:rPr>
  </w:style>
  <w:style w:type="character" w:customStyle="1" w:styleId="Hyperlink3">
    <w:name w:val="Hyperlink.3"/>
    <w:basedOn w:val="Hyperlink"/>
    <w:rsid w:val="00F84BE7"/>
    <w:rPr>
      <w:u w:val="single"/>
    </w:rPr>
  </w:style>
  <w:style w:type="character" w:customStyle="1" w:styleId="Hyperlink4">
    <w:name w:val="Hyperlink.4"/>
    <w:basedOn w:val="Hyperlink"/>
    <w:rsid w:val="00F84BE7"/>
    <w:rPr>
      <w:u w:val="single"/>
    </w:rPr>
  </w:style>
  <w:style w:type="character" w:customStyle="1" w:styleId="Hyperlink5">
    <w:name w:val="Hyperlink.5"/>
    <w:basedOn w:val="Hyperlink"/>
    <w:rsid w:val="00F84BE7"/>
    <w:rPr>
      <w:u w:val="single"/>
    </w:rPr>
  </w:style>
  <w:style w:type="character" w:customStyle="1" w:styleId="Hyperlink6">
    <w:name w:val="Hyperlink.6"/>
    <w:basedOn w:val="Hyperlink"/>
    <w:rsid w:val="00F84BE7"/>
    <w:rPr>
      <w:u w:val="single"/>
    </w:rPr>
  </w:style>
  <w:style w:type="numbering" w:customStyle="1" w:styleId="ImportedStyle1">
    <w:name w:val="Imported Style 1"/>
    <w:rsid w:val="00F84BE7"/>
    <w:pPr>
      <w:numPr>
        <w:numId w:val="1"/>
      </w:numPr>
    </w:pPr>
  </w:style>
  <w:style w:type="paragraph" w:styleId="NormalWeb">
    <w:name w:val="Normal (Web)"/>
    <w:uiPriority w:val="99"/>
    <w:rsid w:val="00F84BE7"/>
    <w:pPr>
      <w:spacing w:before="100" w:after="100"/>
    </w:pPr>
    <w:rPr>
      <w:rFonts w:cs="Arial Unicode MS"/>
      <w:color w:val="000000"/>
      <w:sz w:val="24"/>
      <w:szCs w:val="24"/>
      <w:u w:color="000000"/>
      <w:lang w:val="en-US"/>
    </w:rPr>
  </w:style>
  <w:style w:type="character" w:customStyle="1" w:styleId="Hyperlink7">
    <w:name w:val="Hyperlink.7"/>
    <w:basedOn w:val="None"/>
    <w:rsid w:val="00F84BE7"/>
    <w:rPr>
      <w:rFonts w:ascii="Calibri" w:eastAsia="Calibri" w:hAnsi="Calibri" w:cs="Calibri"/>
    </w:rPr>
  </w:style>
  <w:style w:type="character" w:customStyle="1" w:styleId="Link">
    <w:name w:val="Link"/>
    <w:rsid w:val="00F84BE7"/>
    <w:rPr>
      <w:color w:val="0563C1"/>
      <w:u w:val="single" w:color="0563C1"/>
      <w:lang w:val="en-US"/>
    </w:rPr>
  </w:style>
  <w:style w:type="paragraph" w:styleId="CommentText">
    <w:name w:val="annotation text"/>
    <w:basedOn w:val="Normal"/>
    <w:link w:val="CommentTextChar"/>
    <w:uiPriority w:val="99"/>
    <w:semiHidden/>
    <w:unhideWhenUsed/>
    <w:rsid w:val="00F84BE7"/>
    <w:rPr>
      <w:sz w:val="20"/>
      <w:szCs w:val="20"/>
    </w:rPr>
  </w:style>
  <w:style w:type="character" w:customStyle="1" w:styleId="CommentTextChar">
    <w:name w:val="Comment Text Char"/>
    <w:basedOn w:val="DefaultParagraphFont"/>
    <w:link w:val="CommentText"/>
    <w:uiPriority w:val="99"/>
    <w:semiHidden/>
    <w:rsid w:val="00F84BE7"/>
    <w:rPr>
      <w:lang w:val="en-US" w:eastAsia="en-US"/>
    </w:rPr>
  </w:style>
  <w:style w:type="character" w:styleId="CommentReference">
    <w:name w:val="annotation reference"/>
    <w:basedOn w:val="DefaultParagraphFont"/>
    <w:uiPriority w:val="99"/>
    <w:semiHidden/>
    <w:unhideWhenUsed/>
    <w:rsid w:val="00F84BE7"/>
    <w:rPr>
      <w:sz w:val="16"/>
      <w:szCs w:val="16"/>
    </w:rPr>
  </w:style>
  <w:style w:type="paragraph" w:styleId="BalloonText">
    <w:name w:val="Balloon Text"/>
    <w:basedOn w:val="Normal"/>
    <w:link w:val="BalloonTextChar"/>
    <w:uiPriority w:val="99"/>
    <w:semiHidden/>
    <w:unhideWhenUsed/>
    <w:rsid w:val="00E31FAB"/>
    <w:rPr>
      <w:rFonts w:ascii="Tahoma" w:hAnsi="Tahoma" w:cs="Tahoma"/>
      <w:sz w:val="16"/>
      <w:szCs w:val="16"/>
    </w:rPr>
  </w:style>
  <w:style w:type="character" w:customStyle="1" w:styleId="BalloonTextChar">
    <w:name w:val="Balloon Text Char"/>
    <w:basedOn w:val="DefaultParagraphFont"/>
    <w:link w:val="BalloonText"/>
    <w:uiPriority w:val="99"/>
    <w:semiHidden/>
    <w:rsid w:val="00E31FAB"/>
    <w:rPr>
      <w:rFonts w:ascii="Tahoma" w:hAnsi="Tahoma" w:cs="Tahoma"/>
      <w:sz w:val="16"/>
      <w:szCs w:val="16"/>
      <w:lang w:val="en-US" w:eastAsia="en-US"/>
    </w:rPr>
  </w:style>
  <w:style w:type="character" w:styleId="BookTitle">
    <w:name w:val="Book Title"/>
    <w:basedOn w:val="DefaultParagraphFont"/>
    <w:uiPriority w:val="33"/>
    <w:qFormat/>
    <w:rsid w:val="00E873F5"/>
    <w:rPr>
      <w:b/>
      <w:bCs/>
      <w:smallCaps/>
      <w:spacing w:val="5"/>
    </w:rPr>
  </w:style>
  <w:style w:type="character" w:customStyle="1" w:styleId="Heading1Char">
    <w:name w:val="Heading 1 Char"/>
    <w:basedOn w:val="DefaultParagraphFont"/>
    <w:link w:val="Heading1"/>
    <w:uiPriority w:val="9"/>
    <w:rsid w:val="00206AAB"/>
    <w:rPr>
      <w:rFonts w:ascii="Cambria" w:eastAsiaTheme="majorEastAsia" w:hAnsi="Cambria" w:cstheme="majorBidi"/>
      <w:bCs/>
      <w:sz w:val="36"/>
      <w:szCs w:val="28"/>
      <w:lang w:val="en-US" w:eastAsia="en-US"/>
    </w:rPr>
  </w:style>
  <w:style w:type="character" w:customStyle="1" w:styleId="Heading4Char">
    <w:name w:val="Heading 4 Char"/>
    <w:basedOn w:val="DefaultParagraphFont"/>
    <w:link w:val="Heading4"/>
    <w:uiPriority w:val="9"/>
    <w:semiHidden/>
    <w:rsid w:val="00842B2A"/>
    <w:rPr>
      <w:rFonts w:asciiTheme="majorHAnsi" w:eastAsiaTheme="majorEastAsia" w:hAnsiTheme="majorHAnsi" w:cstheme="majorBidi"/>
      <w:b/>
      <w:bCs/>
      <w:i/>
      <w:iCs/>
      <w:color w:val="5B9BD5" w:themeColor="accent1"/>
      <w:sz w:val="24"/>
      <w:szCs w:val="24"/>
      <w:lang w:val="en-US" w:eastAsia="en-US"/>
    </w:rPr>
  </w:style>
  <w:style w:type="character" w:customStyle="1" w:styleId="Heading5Char">
    <w:name w:val="Heading 5 Char"/>
    <w:basedOn w:val="DefaultParagraphFont"/>
    <w:link w:val="Heading5"/>
    <w:uiPriority w:val="9"/>
    <w:semiHidden/>
    <w:rsid w:val="00842B2A"/>
    <w:rPr>
      <w:rFonts w:asciiTheme="majorHAnsi" w:eastAsiaTheme="majorEastAsia" w:hAnsiTheme="majorHAnsi" w:cstheme="majorBidi"/>
      <w:color w:val="1F4D78" w:themeColor="accent1" w:themeShade="7F"/>
      <w:sz w:val="24"/>
      <w:szCs w:val="24"/>
      <w:lang w:val="en-US" w:eastAsia="en-US"/>
    </w:rPr>
  </w:style>
  <w:style w:type="character" w:customStyle="1" w:styleId="Heading6Char">
    <w:name w:val="Heading 6 Char"/>
    <w:basedOn w:val="DefaultParagraphFont"/>
    <w:link w:val="Heading6"/>
    <w:uiPriority w:val="9"/>
    <w:semiHidden/>
    <w:rsid w:val="00842B2A"/>
    <w:rPr>
      <w:rFonts w:asciiTheme="majorHAnsi" w:eastAsiaTheme="majorEastAsia" w:hAnsiTheme="majorHAnsi" w:cstheme="majorBidi"/>
      <w:i/>
      <w:iCs/>
      <w:color w:val="1F4D78" w:themeColor="accent1" w:themeShade="7F"/>
      <w:sz w:val="24"/>
      <w:szCs w:val="24"/>
      <w:lang w:val="en-US" w:eastAsia="en-US"/>
    </w:rPr>
  </w:style>
  <w:style w:type="character" w:customStyle="1" w:styleId="Heading7Char">
    <w:name w:val="Heading 7 Char"/>
    <w:basedOn w:val="DefaultParagraphFont"/>
    <w:link w:val="Heading7"/>
    <w:uiPriority w:val="9"/>
    <w:semiHidden/>
    <w:rsid w:val="00842B2A"/>
    <w:rPr>
      <w:rFonts w:asciiTheme="majorHAnsi" w:eastAsiaTheme="majorEastAsia" w:hAnsiTheme="majorHAnsi" w:cstheme="majorBidi"/>
      <w:i/>
      <w:iCs/>
      <w:color w:val="404040" w:themeColor="text1" w:themeTint="BF"/>
      <w:sz w:val="24"/>
      <w:szCs w:val="24"/>
      <w:lang w:val="en-US" w:eastAsia="en-US"/>
    </w:rPr>
  </w:style>
  <w:style w:type="character" w:customStyle="1" w:styleId="Heading8Char">
    <w:name w:val="Heading 8 Char"/>
    <w:basedOn w:val="DefaultParagraphFont"/>
    <w:link w:val="Heading8"/>
    <w:uiPriority w:val="9"/>
    <w:semiHidden/>
    <w:rsid w:val="00842B2A"/>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uiPriority w:val="9"/>
    <w:semiHidden/>
    <w:rsid w:val="00842B2A"/>
    <w:rPr>
      <w:rFonts w:asciiTheme="majorHAnsi" w:eastAsiaTheme="majorEastAsia" w:hAnsiTheme="majorHAnsi" w:cstheme="majorBidi"/>
      <w:i/>
      <w:iCs/>
      <w:color w:val="404040" w:themeColor="text1" w:themeTint="BF"/>
      <w:lang w:val="en-US" w:eastAsia="en-US"/>
    </w:rPr>
  </w:style>
  <w:style w:type="paragraph" w:styleId="TOCHeading">
    <w:name w:val="TOC Heading"/>
    <w:basedOn w:val="Heading1"/>
    <w:next w:val="Normal"/>
    <w:uiPriority w:val="39"/>
    <w:semiHidden/>
    <w:unhideWhenUsed/>
    <w:qFormat/>
    <w:rsid w:val="003550CD"/>
    <w:pPr>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9"/>
    </w:pPr>
    <w:rPr>
      <w:rFonts w:asciiTheme="majorHAnsi" w:hAnsiTheme="majorHAnsi"/>
      <w:b/>
      <w:color w:val="2E74B5" w:themeColor="accent1" w:themeShade="BF"/>
      <w:sz w:val="28"/>
      <w:bdr w:val="none" w:sz="0" w:space="0" w:color="auto"/>
      <w:lang w:eastAsia="ja-JP"/>
    </w:rPr>
  </w:style>
  <w:style w:type="paragraph" w:styleId="TOC1">
    <w:name w:val="toc 1"/>
    <w:basedOn w:val="Normal"/>
    <w:next w:val="Normal"/>
    <w:autoRedefine/>
    <w:uiPriority w:val="39"/>
    <w:unhideWhenUsed/>
    <w:rsid w:val="003550CD"/>
    <w:pPr>
      <w:spacing w:after="100"/>
    </w:pPr>
  </w:style>
  <w:style w:type="paragraph" w:styleId="TOC2">
    <w:name w:val="toc 2"/>
    <w:basedOn w:val="Normal"/>
    <w:next w:val="Normal"/>
    <w:autoRedefine/>
    <w:uiPriority w:val="39"/>
    <w:unhideWhenUsed/>
    <w:rsid w:val="003550CD"/>
    <w:pPr>
      <w:spacing w:after="100"/>
      <w:ind w:left="240"/>
    </w:pPr>
  </w:style>
  <w:style w:type="paragraph" w:styleId="TOC3">
    <w:name w:val="toc 3"/>
    <w:basedOn w:val="Normal"/>
    <w:next w:val="Normal"/>
    <w:autoRedefine/>
    <w:uiPriority w:val="39"/>
    <w:unhideWhenUsed/>
    <w:rsid w:val="003550CD"/>
    <w:pPr>
      <w:spacing w:after="100"/>
      <w:ind w:left="480"/>
    </w:pPr>
  </w:style>
  <w:style w:type="paragraph" w:styleId="NoSpacing">
    <w:name w:val="No Spacing"/>
    <w:uiPriority w:val="1"/>
    <w:qFormat/>
    <w:rsid w:val="00657EA7"/>
    <w:rPr>
      <w:sz w:val="24"/>
      <w:szCs w:val="24"/>
      <w:lang w:val="en-US" w:eastAsia="en-US"/>
    </w:rPr>
  </w:style>
  <w:style w:type="paragraph" w:customStyle="1" w:styleId="ody">
    <w:name w:val="ody"/>
    <w:basedOn w:val="BodyA"/>
    <w:rsid w:val="009718E9"/>
  </w:style>
  <w:style w:type="paragraph" w:styleId="CommentSubject">
    <w:name w:val="annotation subject"/>
    <w:basedOn w:val="CommentText"/>
    <w:next w:val="CommentText"/>
    <w:link w:val="CommentSubjectChar"/>
    <w:uiPriority w:val="99"/>
    <w:semiHidden/>
    <w:unhideWhenUsed/>
    <w:rsid w:val="00AB339D"/>
    <w:rPr>
      <w:b/>
      <w:bCs/>
    </w:rPr>
  </w:style>
  <w:style w:type="character" w:customStyle="1" w:styleId="CommentSubjectChar">
    <w:name w:val="Comment Subject Char"/>
    <w:basedOn w:val="CommentTextChar"/>
    <w:link w:val="CommentSubject"/>
    <w:uiPriority w:val="99"/>
    <w:semiHidden/>
    <w:rsid w:val="00AB339D"/>
    <w:rPr>
      <w:b/>
      <w:bCs/>
      <w:lang w:val="en-US" w:eastAsia="en-US"/>
    </w:rPr>
  </w:style>
  <w:style w:type="character" w:customStyle="1" w:styleId="FootnoteTextChar">
    <w:name w:val="Footnote Text Char"/>
    <w:aliases w:val="fn Char,Footnote Text Char Char Char,Footnote Text qer Char"/>
    <w:basedOn w:val="DefaultParagraphFont"/>
    <w:link w:val="FootnoteText"/>
    <w:uiPriority w:val="99"/>
    <w:rsid w:val="009C58B6"/>
    <w:rPr>
      <w:rFonts w:eastAsia="Times New Roman"/>
      <w:color w:val="000000"/>
      <w:u w:color="000000"/>
      <w:lang w:val="en-US"/>
    </w:rPr>
  </w:style>
  <w:style w:type="character" w:styleId="PlaceholderText">
    <w:name w:val="Placeholder Text"/>
    <w:basedOn w:val="DefaultParagraphFont"/>
    <w:uiPriority w:val="99"/>
    <w:semiHidden/>
    <w:rsid w:val="00815492"/>
    <w:rPr>
      <w:color w:val="808080"/>
    </w:rPr>
  </w:style>
  <w:style w:type="character" w:styleId="FollowedHyperlink">
    <w:name w:val="FollowedHyperlink"/>
    <w:basedOn w:val="DefaultParagraphFont"/>
    <w:uiPriority w:val="99"/>
    <w:semiHidden/>
    <w:unhideWhenUsed/>
    <w:rsid w:val="00CF45B5"/>
    <w:rPr>
      <w:color w:val="FF00FF" w:themeColor="followedHyperlink"/>
      <w:u w:val="single"/>
    </w:rPr>
  </w:style>
  <w:style w:type="paragraph" w:styleId="Revision">
    <w:name w:val="Revision"/>
    <w:hidden/>
    <w:uiPriority w:val="99"/>
    <w:semiHidden/>
    <w:rsid w:val="00612CF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TableofFigures">
    <w:name w:val="table of figures"/>
    <w:basedOn w:val="Normal"/>
    <w:next w:val="Normal"/>
    <w:uiPriority w:val="99"/>
    <w:unhideWhenUsed/>
    <w:rsid w:val="00091F8E"/>
  </w:style>
  <w:style w:type="paragraph" w:styleId="Subtitle">
    <w:name w:val="Subtitle"/>
    <w:basedOn w:val="Normal"/>
    <w:next w:val="Normal"/>
    <w:link w:val="SubtitleChar"/>
    <w:qFormat/>
    <w:rsid w:val="005E2602"/>
    <w:pPr>
      <w:pBdr>
        <w:top w:val="none" w:sz="0" w:space="0" w:color="auto"/>
        <w:left w:val="none" w:sz="0" w:space="0" w:color="auto"/>
        <w:bottom w:val="none" w:sz="0" w:space="0" w:color="auto"/>
        <w:right w:val="none" w:sz="0" w:space="0" w:color="auto"/>
        <w:between w:val="none" w:sz="0" w:space="0" w:color="auto"/>
        <w:bar w:val="none" w:sz="0" w:color="auto"/>
      </w:pBdr>
      <w:spacing w:after="60"/>
      <w:jc w:val="center"/>
      <w:outlineLvl w:val="1"/>
    </w:pPr>
    <w:rPr>
      <w:rFonts w:ascii="Cambria" w:eastAsia="Times New Roman" w:hAnsi="Cambria"/>
      <w:color w:val="000000"/>
      <w:bdr w:val="none" w:sz="0" w:space="0" w:color="auto"/>
    </w:rPr>
  </w:style>
  <w:style w:type="character" w:customStyle="1" w:styleId="SubtitleChar">
    <w:name w:val="Subtitle Char"/>
    <w:basedOn w:val="DefaultParagraphFont"/>
    <w:link w:val="Subtitle"/>
    <w:rsid w:val="005E2602"/>
    <w:rPr>
      <w:rFonts w:ascii="Cambria" w:eastAsia="Times New Roman" w:hAnsi="Cambria"/>
      <w:color w:val="000000"/>
      <w:sz w:val="24"/>
      <w:szCs w:val="24"/>
      <w:bdr w:val="none" w:sz="0" w:space="0" w:color="auto"/>
      <w:lang w:val="en-US" w:eastAsia="en-US"/>
    </w:rPr>
  </w:style>
  <w:style w:type="character" w:styleId="SubtleEmphasis">
    <w:name w:val="Subtle Emphasis"/>
    <w:basedOn w:val="DefaultParagraphFont"/>
    <w:uiPriority w:val="19"/>
    <w:qFormat/>
    <w:rsid w:val="005E2602"/>
    <w:rPr>
      <w:i/>
      <w:iCs/>
      <w:color w:val="808080"/>
    </w:rPr>
  </w:style>
  <w:style w:type="paragraph" w:customStyle="1" w:styleId="body0">
    <w:name w:val="body"/>
    <w:basedOn w:val="Normal"/>
    <w:uiPriority w:val="99"/>
    <w:rsid w:val="006B72EB"/>
    <w:pPr>
      <w:pBdr>
        <w:top w:val="none" w:sz="0" w:space="0" w:color="auto"/>
        <w:left w:val="none" w:sz="0" w:space="0" w:color="auto"/>
        <w:bottom w:val="none" w:sz="0" w:space="0" w:color="auto"/>
        <w:right w:val="none" w:sz="0" w:space="0" w:color="auto"/>
        <w:between w:val="none" w:sz="0" w:space="0" w:color="auto"/>
        <w:bar w:val="none" w:sz="0" w:color="auto"/>
      </w:pBdr>
      <w:spacing w:before="480" w:after="480" w:line="360" w:lineRule="auto"/>
    </w:pPr>
    <w:rPr>
      <w:rFonts w:eastAsiaTheme="minorHAnsi"/>
      <w:color w:val="000000"/>
      <w:bdr w:val="none" w:sz="0" w:space="0" w:color="auto"/>
      <w:lang w:val="en-NZ" w:eastAsia="en-NZ"/>
    </w:rPr>
  </w:style>
  <w:style w:type="table" w:styleId="TableGrid">
    <w:name w:val="Table Grid"/>
    <w:basedOn w:val="TableNormal"/>
    <w:uiPriority w:val="59"/>
    <w:rsid w:val="004C1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l">
    <w:name w:val="aal"/>
    <w:basedOn w:val="DefaultParagraphFont"/>
    <w:rsid w:val="000E6DF8"/>
  </w:style>
  <w:style w:type="table" w:customStyle="1" w:styleId="TableGridLight1">
    <w:name w:val="Table Grid Light1"/>
    <w:basedOn w:val="TableNormal"/>
    <w:uiPriority w:val="40"/>
    <w:rsid w:val="00BA21D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BA21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rsid w:val="0016115C"/>
    <w:pPr>
      <w:pBdr>
        <w:top w:val="none" w:sz="0" w:space="0" w:color="auto"/>
        <w:left w:val="none" w:sz="0" w:space="0" w:color="auto"/>
        <w:bottom w:val="none" w:sz="0" w:space="0" w:color="auto"/>
        <w:right w:val="none" w:sz="0" w:space="0" w:color="auto"/>
        <w:between w:val="none" w:sz="0" w:space="0" w:color="auto"/>
        <w:bar w:val="none" w:sz="0" w:color="auto"/>
      </w:pBdr>
      <w:spacing w:after="120" w:line="288" w:lineRule="auto"/>
      <w:ind w:left="720"/>
      <w:contextualSpacing/>
    </w:pPr>
    <w:rPr>
      <w:rFonts w:ascii="Verdana" w:eastAsia="Calibri" w:hAnsi="Verdana" w:cs="Arial"/>
      <w:kern w:val="28"/>
      <w:sz w:val="20"/>
      <w:szCs w:val="20"/>
      <w:bdr w:val="none" w:sz="0" w:space="0" w:color="auto"/>
      <w:lang w:val="en-NZ"/>
    </w:rPr>
  </w:style>
  <w:style w:type="paragraph" w:customStyle="1" w:styleId="InfoBody">
    <w:name w:val="Info Body"/>
    <w:basedOn w:val="Normal"/>
    <w:qFormat/>
    <w:rsid w:val="0016115C"/>
    <w:pPr>
      <w:pBdr>
        <w:top w:val="none" w:sz="0" w:space="0" w:color="auto"/>
        <w:left w:val="none" w:sz="0" w:space="0" w:color="auto"/>
        <w:bottom w:val="none" w:sz="0" w:space="0" w:color="auto"/>
        <w:right w:val="none" w:sz="0" w:space="0" w:color="auto"/>
        <w:between w:val="none" w:sz="0" w:space="0" w:color="auto"/>
        <w:bar w:val="none" w:sz="0" w:color="auto"/>
      </w:pBdr>
      <w:spacing w:after="120" w:line="288" w:lineRule="auto"/>
    </w:pPr>
    <w:rPr>
      <w:rFonts w:ascii="Verdana" w:eastAsia="Calibri" w:hAnsi="Verdana" w:cs="Arial"/>
      <w:kern w:val="28"/>
      <w:sz w:val="20"/>
      <w:szCs w:val="20"/>
      <w:bdr w:val="none" w:sz="0" w:space="0" w:color="auto"/>
      <w:lang w:val="en-NZ"/>
    </w:rPr>
  </w:style>
  <w:style w:type="paragraph" w:customStyle="1" w:styleId="Info2">
    <w:name w:val="Info2"/>
    <w:basedOn w:val="Normal"/>
    <w:qFormat/>
    <w:rsid w:val="0016115C"/>
    <w:pPr>
      <w:pBdr>
        <w:top w:val="none" w:sz="0" w:space="0" w:color="auto"/>
        <w:left w:val="none" w:sz="0" w:space="0" w:color="auto"/>
        <w:bottom w:val="none" w:sz="0" w:space="0" w:color="auto"/>
        <w:right w:val="none" w:sz="0" w:space="0" w:color="auto"/>
        <w:between w:val="none" w:sz="0" w:space="0" w:color="auto"/>
        <w:bar w:val="none" w:sz="0" w:color="auto"/>
      </w:pBdr>
      <w:spacing w:after="120" w:line="288" w:lineRule="auto"/>
    </w:pPr>
    <w:rPr>
      <w:rFonts w:ascii="Verdana" w:eastAsia="Calibri" w:hAnsi="Verdana" w:cs="Arial"/>
      <w:b/>
      <w:kern w:val="28"/>
      <w:szCs w:val="20"/>
      <w:bdr w:val="none" w:sz="0" w:space="0" w:color="auto"/>
      <w:lang w:val="en-NZ"/>
    </w:rPr>
  </w:style>
  <w:style w:type="paragraph" w:styleId="Header">
    <w:name w:val="header"/>
    <w:basedOn w:val="Normal"/>
    <w:link w:val="HeaderChar"/>
    <w:uiPriority w:val="99"/>
    <w:unhideWhenUsed/>
    <w:rsid w:val="0016115C"/>
    <w:pPr>
      <w:tabs>
        <w:tab w:val="center" w:pos="4513"/>
        <w:tab w:val="right" w:pos="9026"/>
      </w:tabs>
    </w:pPr>
  </w:style>
  <w:style w:type="character" w:customStyle="1" w:styleId="HeaderChar">
    <w:name w:val="Header Char"/>
    <w:basedOn w:val="DefaultParagraphFont"/>
    <w:link w:val="Header"/>
    <w:uiPriority w:val="99"/>
    <w:rsid w:val="0016115C"/>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9894">
      <w:bodyDiv w:val="1"/>
      <w:marLeft w:val="0"/>
      <w:marRight w:val="0"/>
      <w:marTop w:val="0"/>
      <w:marBottom w:val="0"/>
      <w:divBdr>
        <w:top w:val="none" w:sz="0" w:space="0" w:color="auto"/>
        <w:left w:val="none" w:sz="0" w:space="0" w:color="auto"/>
        <w:bottom w:val="none" w:sz="0" w:space="0" w:color="auto"/>
        <w:right w:val="none" w:sz="0" w:space="0" w:color="auto"/>
      </w:divBdr>
    </w:div>
    <w:div w:id="37516042">
      <w:bodyDiv w:val="1"/>
      <w:marLeft w:val="0"/>
      <w:marRight w:val="0"/>
      <w:marTop w:val="0"/>
      <w:marBottom w:val="0"/>
      <w:divBdr>
        <w:top w:val="none" w:sz="0" w:space="0" w:color="auto"/>
        <w:left w:val="none" w:sz="0" w:space="0" w:color="auto"/>
        <w:bottom w:val="none" w:sz="0" w:space="0" w:color="auto"/>
        <w:right w:val="none" w:sz="0" w:space="0" w:color="auto"/>
      </w:divBdr>
    </w:div>
    <w:div w:id="73626403">
      <w:bodyDiv w:val="1"/>
      <w:marLeft w:val="0"/>
      <w:marRight w:val="0"/>
      <w:marTop w:val="0"/>
      <w:marBottom w:val="0"/>
      <w:divBdr>
        <w:top w:val="none" w:sz="0" w:space="0" w:color="auto"/>
        <w:left w:val="none" w:sz="0" w:space="0" w:color="auto"/>
        <w:bottom w:val="none" w:sz="0" w:space="0" w:color="auto"/>
        <w:right w:val="none" w:sz="0" w:space="0" w:color="auto"/>
      </w:divBdr>
    </w:div>
    <w:div w:id="89549900">
      <w:bodyDiv w:val="1"/>
      <w:marLeft w:val="0"/>
      <w:marRight w:val="0"/>
      <w:marTop w:val="0"/>
      <w:marBottom w:val="0"/>
      <w:divBdr>
        <w:top w:val="none" w:sz="0" w:space="0" w:color="auto"/>
        <w:left w:val="none" w:sz="0" w:space="0" w:color="auto"/>
        <w:bottom w:val="none" w:sz="0" w:space="0" w:color="auto"/>
        <w:right w:val="none" w:sz="0" w:space="0" w:color="auto"/>
      </w:divBdr>
    </w:div>
    <w:div w:id="244611693">
      <w:bodyDiv w:val="1"/>
      <w:marLeft w:val="0"/>
      <w:marRight w:val="0"/>
      <w:marTop w:val="0"/>
      <w:marBottom w:val="0"/>
      <w:divBdr>
        <w:top w:val="none" w:sz="0" w:space="0" w:color="auto"/>
        <w:left w:val="none" w:sz="0" w:space="0" w:color="auto"/>
        <w:bottom w:val="none" w:sz="0" w:space="0" w:color="auto"/>
        <w:right w:val="none" w:sz="0" w:space="0" w:color="auto"/>
      </w:divBdr>
    </w:div>
    <w:div w:id="249389009">
      <w:bodyDiv w:val="1"/>
      <w:marLeft w:val="0"/>
      <w:marRight w:val="0"/>
      <w:marTop w:val="0"/>
      <w:marBottom w:val="0"/>
      <w:divBdr>
        <w:top w:val="none" w:sz="0" w:space="0" w:color="auto"/>
        <w:left w:val="none" w:sz="0" w:space="0" w:color="auto"/>
        <w:bottom w:val="none" w:sz="0" w:space="0" w:color="auto"/>
        <w:right w:val="none" w:sz="0" w:space="0" w:color="auto"/>
      </w:divBdr>
    </w:div>
    <w:div w:id="315451107">
      <w:bodyDiv w:val="1"/>
      <w:marLeft w:val="0"/>
      <w:marRight w:val="0"/>
      <w:marTop w:val="0"/>
      <w:marBottom w:val="0"/>
      <w:divBdr>
        <w:top w:val="none" w:sz="0" w:space="0" w:color="auto"/>
        <w:left w:val="none" w:sz="0" w:space="0" w:color="auto"/>
        <w:bottom w:val="none" w:sz="0" w:space="0" w:color="auto"/>
        <w:right w:val="none" w:sz="0" w:space="0" w:color="auto"/>
      </w:divBdr>
      <w:divsChild>
        <w:div w:id="2898942">
          <w:marLeft w:val="0"/>
          <w:marRight w:val="0"/>
          <w:marTop w:val="0"/>
          <w:marBottom w:val="0"/>
          <w:divBdr>
            <w:top w:val="none" w:sz="0" w:space="0" w:color="auto"/>
            <w:left w:val="none" w:sz="0" w:space="0" w:color="auto"/>
            <w:bottom w:val="none" w:sz="0" w:space="0" w:color="auto"/>
            <w:right w:val="none" w:sz="0" w:space="0" w:color="auto"/>
          </w:divBdr>
          <w:divsChild>
            <w:div w:id="538475085">
              <w:marLeft w:val="0"/>
              <w:marRight w:val="0"/>
              <w:marTop w:val="0"/>
              <w:marBottom w:val="0"/>
              <w:divBdr>
                <w:top w:val="none" w:sz="0" w:space="0" w:color="auto"/>
                <w:left w:val="none" w:sz="0" w:space="0" w:color="auto"/>
                <w:bottom w:val="none" w:sz="0" w:space="0" w:color="auto"/>
                <w:right w:val="none" w:sz="0" w:space="0" w:color="auto"/>
              </w:divBdr>
              <w:divsChild>
                <w:div w:id="140928942">
                  <w:marLeft w:val="0"/>
                  <w:marRight w:val="0"/>
                  <w:marTop w:val="0"/>
                  <w:marBottom w:val="0"/>
                  <w:divBdr>
                    <w:top w:val="none" w:sz="0" w:space="0" w:color="auto"/>
                    <w:left w:val="none" w:sz="0" w:space="0" w:color="auto"/>
                    <w:bottom w:val="none" w:sz="0" w:space="0" w:color="auto"/>
                    <w:right w:val="none" w:sz="0" w:space="0" w:color="auto"/>
                  </w:divBdr>
                  <w:divsChild>
                    <w:div w:id="248196183">
                      <w:marLeft w:val="0"/>
                      <w:marRight w:val="0"/>
                      <w:marTop w:val="0"/>
                      <w:marBottom w:val="0"/>
                      <w:divBdr>
                        <w:top w:val="none" w:sz="0" w:space="0" w:color="auto"/>
                        <w:left w:val="none" w:sz="0" w:space="0" w:color="auto"/>
                        <w:bottom w:val="none" w:sz="0" w:space="0" w:color="auto"/>
                        <w:right w:val="none" w:sz="0" w:space="0" w:color="auto"/>
                      </w:divBdr>
                      <w:divsChild>
                        <w:div w:id="1165784463">
                          <w:marLeft w:val="0"/>
                          <w:marRight w:val="0"/>
                          <w:marTop w:val="0"/>
                          <w:marBottom w:val="0"/>
                          <w:divBdr>
                            <w:top w:val="none" w:sz="0" w:space="0" w:color="auto"/>
                            <w:left w:val="none" w:sz="0" w:space="0" w:color="auto"/>
                            <w:bottom w:val="none" w:sz="0" w:space="0" w:color="auto"/>
                            <w:right w:val="none" w:sz="0" w:space="0" w:color="auto"/>
                          </w:divBdr>
                          <w:divsChild>
                            <w:div w:id="800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8313370">
      <w:bodyDiv w:val="1"/>
      <w:marLeft w:val="0"/>
      <w:marRight w:val="0"/>
      <w:marTop w:val="0"/>
      <w:marBottom w:val="0"/>
      <w:divBdr>
        <w:top w:val="none" w:sz="0" w:space="0" w:color="auto"/>
        <w:left w:val="none" w:sz="0" w:space="0" w:color="auto"/>
        <w:bottom w:val="none" w:sz="0" w:space="0" w:color="auto"/>
        <w:right w:val="none" w:sz="0" w:space="0" w:color="auto"/>
      </w:divBdr>
    </w:div>
    <w:div w:id="510073341">
      <w:bodyDiv w:val="1"/>
      <w:marLeft w:val="0"/>
      <w:marRight w:val="0"/>
      <w:marTop w:val="0"/>
      <w:marBottom w:val="0"/>
      <w:divBdr>
        <w:top w:val="none" w:sz="0" w:space="0" w:color="auto"/>
        <w:left w:val="none" w:sz="0" w:space="0" w:color="auto"/>
        <w:bottom w:val="none" w:sz="0" w:space="0" w:color="auto"/>
        <w:right w:val="none" w:sz="0" w:space="0" w:color="auto"/>
      </w:divBdr>
    </w:div>
    <w:div w:id="569115045">
      <w:bodyDiv w:val="1"/>
      <w:marLeft w:val="0"/>
      <w:marRight w:val="0"/>
      <w:marTop w:val="0"/>
      <w:marBottom w:val="0"/>
      <w:divBdr>
        <w:top w:val="none" w:sz="0" w:space="0" w:color="auto"/>
        <w:left w:val="none" w:sz="0" w:space="0" w:color="auto"/>
        <w:bottom w:val="none" w:sz="0" w:space="0" w:color="auto"/>
        <w:right w:val="none" w:sz="0" w:space="0" w:color="auto"/>
      </w:divBdr>
    </w:div>
    <w:div w:id="569580987">
      <w:bodyDiv w:val="1"/>
      <w:marLeft w:val="0"/>
      <w:marRight w:val="0"/>
      <w:marTop w:val="0"/>
      <w:marBottom w:val="0"/>
      <w:divBdr>
        <w:top w:val="none" w:sz="0" w:space="0" w:color="auto"/>
        <w:left w:val="none" w:sz="0" w:space="0" w:color="auto"/>
        <w:bottom w:val="none" w:sz="0" w:space="0" w:color="auto"/>
        <w:right w:val="none" w:sz="0" w:space="0" w:color="auto"/>
      </w:divBdr>
    </w:div>
    <w:div w:id="571159977">
      <w:bodyDiv w:val="1"/>
      <w:marLeft w:val="0"/>
      <w:marRight w:val="0"/>
      <w:marTop w:val="0"/>
      <w:marBottom w:val="0"/>
      <w:divBdr>
        <w:top w:val="none" w:sz="0" w:space="0" w:color="auto"/>
        <w:left w:val="none" w:sz="0" w:space="0" w:color="auto"/>
        <w:bottom w:val="none" w:sz="0" w:space="0" w:color="auto"/>
        <w:right w:val="none" w:sz="0" w:space="0" w:color="auto"/>
      </w:divBdr>
    </w:div>
    <w:div w:id="605356072">
      <w:bodyDiv w:val="1"/>
      <w:marLeft w:val="0"/>
      <w:marRight w:val="0"/>
      <w:marTop w:val="0"/>
      <w:marBottom w:val="0"/>
      <w:divBdr>
        <w:top w:val="none" w:sz="0" w:space="0" w:color="auto"/>
        <w:left w:val="none" w:sz="0" w:space="0" w:color="auto"/>
        <w:bottom w:val="none" w:sz="0" w:space="0" w:color="auto"/>
        <w:right w:val="none" w:sz="0" w:space="0" w:color="auto"/>
      </w:divBdr>
    </w:div>
    <w:div w:id="752505772">
      <w:bodyDiv w:val="1"/>
      <w:marLeft w:val="0"/>
      <w:marRight w:val="0"/>
      <w:marTop w:val="0"/>
      <w:marBottom w:val="0"/>
      <w:divBdr>
        <w:top w:val="none" w:sz="0" w:space="0" w:color="auto"/>
        <w:left w:val="none" w:sz="0" w:space="0" w:color="auto"/>
        <w:bottom w:val="none" w:sz="0" w:space="0" w:color="auto"/>
        <w:right w:val="none" w:sz="0" w:space="0" w:color="auto"/>
      </w:divBdr>
    </w:div>
    <w:div w:id="941111769">
      <w:bodyDiv w:val="1"/>
      <w:marLeft w:val="0"/>
      <w:marRight w:val="0"/>
      <w:marTop w:val="0"/>
      <w:marBottom w:val="0"/>
      <w:divBdr>
        <w:top w:val="none" w:sz="0" w:space="0" w:color="auto"/>
        <w:left w:val="none" w:sz="0" w:space="0" w:color="auto"/>
        <w:bottom w:val="none" w:sz="0" w:space="0" w:color="auto"/>
        <w:right w:val="none" w:sz="0" w:space="0" w:color="auto"/>
      </w:divBdr>
    </w:div>
    <w:div w:id="943880045">
      <w:bodyDiv w:val="1"/>
      <w:marLeft w:val="0"/>
      <w:marRight w:val="0"/>
      <w:marTop w:val="0"/>
      <w:marBottom w:val="0"/>
      <w:divBdr>
        <w:top w:val="none" w:sz="0" w:space="0" w:color="auto"/>
        <w:left w:val="none" w:sz="0" w:space="0" w:color="auto"/>
        <w:bottom w:val="none" w:sz="0" w:space="0" w:color="auto"/>
        <w:right w:val="none" w:sz="0" w:space="0" w:color="auto"/>
      </w:divBdr>
      <w:divsChild>
        <w:div w:id="53161279">
          <w:marLeft w:val="0"/>
          <w:marRight w:val="0"/>
          <w:marTop w:val="0"/>
          <w:marBottom w:val="0"/>
          <w:divBdr>
            <w:top w:val="none" w:sz="0" w:space="0" w:color="auto"/>
            <w:left w:val="none" w:sz="0" w:space="0" w:color="auto"/>
            <w:bottom w:val="none" w:sz="0" w:space="0" w:color="auto"/>
            <w:right w:val="none" w:sz="0" w:space="0" w:color="auto"/>
          </w:divBdr>
        </w:div>
        <w:div w:id="294022315">
          <w:marLeft w:val="0"/>
          <w:marRight w:val="0"/>
          <w:marTop w:val="0"/>
          <w:marBottom w:val="0"/>
          <w:divBdr>
            <w:top w:val="none" w:sz="0" w:space="0" w:color="auto"/>
            <w:left w:val="none" w:sz="0" w:space="0" w:color="auto"/>
            <w:bottom w:val="none" w:sz="0" w:space="0" w:color="auto"/>
            <w:right w:val="none" w:sz="0" w:space="0" w:color="auto"/>
          </w:divBdr>
        </w:div>
        <w:div w:id="305818788">
          <w:marLeft w:val="0"/>
          <w:marRight w:val="0"/>
          <w:marTop w:val="0"/>
          <w:marBottom w:val="0"/>
          <w:divBdr>
            <w:top w:val="none" w:sz="0" w:space="0" w:color="auto"/>
            <w:left w:val="none" w:sz="0" w:space="0" w:color="auto"/>
            <w:bottom w:val="none" w:sz="0" w:space="0" w:color="auto"/>
            <w:right w:val="none" w:sz="0" w:space="0" w:color="auto"/>
          </w:divBdr>
        </w:div>
        <w:div w:id="324672637">
          <w:marLeft w:val="0"/>
          <w:marRight w:val="0"/>
          <w:marTop w:val="0"/>
          <w:marBottom w:val="0"/>
          <w:divBdr>
            <w:top w:val="none" w:sz="0" w:space="0" w:color="auto"/>
            <w:left w:val="none" w:sz="0" w:space="0" w:color="auto"/>
            <w:bottom w:val="none" w:sz="0" w:space="0" w:color="auto"/>
            <w:right w:val="none" w:sz="0" w:space="0" w:color="auto"/>
          </w:divBdr>
        </w:div>
        <w:div w:id="425540964">
          <w:marLeft w:val="0"/>
          <w:marRight w:val="0"/>
          <w:marTop w:val="0"/>
          <w:marBottom w:val="0"/>
          <w:divBdr>
            <w:top w:val="none" w:sz="0" w:space="0" w:color="auto"/>
            <w:left w:val="none" w:sz="0" w:space="0" w:color="auto"/>
            <w:bottom w:val="none" w:sz="0" w:space="0" w:color="auto"/>
            <w:right w:val="none" w:sz="0" w:space="0" w:color="auto"/>
          </w:divBdr>
        </w:div>
        <w:div w:id="445465547">
          <w:marLeft w:val="0"/>
          <w:marRight w:val="0"/>
          <w:marTop w:val="0"/>
          <w:marBottom w:val="0"/>
          <w:divBdr>
            <w:top w:val="none" w:sz="0" w:space="0" w:color="auto"/>
            <w:left w:val="none" w:sz="0" w:space="0" w:color="auto"/>
            <w:bottom w:val="none" w:sz="0" w:space="0" w:color="auto"/>
            <w:right w:val="none" w:sz="0" w:space="0" w:color="auto"/>
          </w:divBdr>
        </w:div>
        <w:div w:id="531460355">
          <w:marLeft w:val="0"/>
          <w:marRight w:val="0"/>
          <w:marTop w:val="0"/>
          <w:marBottom w:val="0"/>
          <w:divBdr>
            <w:top w:val="none" w:sz="0" w:space="0" w:color="auto"/>
            <w:left w:val="none" w:sz="0" w:space="0" w:color="auto"/>
            <w:bottom w:val="none" w:sz="0" w:space="0" w:color="auto"/>
            <w:right w:val="none" w:sz="0" w:space="0" w:color="auto"/>
          </w:divBdr>
        </w:div>
        <w:div w:id="685595933">
          <w:marLeft w:val="0"/>
          <w:marRight w:val="0"/>
          <w:marTop w:val="0"/>
          <w:marBottom w:val="0"/>
          <w:divBdr>
            <w:top w:val="none" w:sz="0" w:space="0" w:color="auto"/>
            <w:left w:val="none" w:sz="0" w:space="0" w:color="auto"/>
            <w:bottom w:val="none" w:sz="0" w:space="0" w:color="auto"/>
            <w:right w:val="none" w:sz="0" w:space="0" w:color="auto"/>
          </w:divBdr>
        </w:div>
        <w:div w:id="732043467">
          <w:marLeft w:val="0"/>
          <w:marRight w:val="0"/>
          <w:marTop w:val="0"/>
          <w:marBottom w:val="0"/>
          <w:divBdr>
            <w:top w:val="none" w:sz="0" w:space="0" w:color="auto"/>
            <w:left w:val="none" w:sz="0" w:space="0" w:color="auto"/>
            <w:bottom w:val="none" w:sz="0" w:space="0" w:color="auto"/>
            <w:right w:val="none" w:sz="0" w:space="0" w:color="auto"/>
          </w:divBdr>
        </w:div>
        <w:div w:id="745032021">
          <w:marLeft w:val="0"/>
          <w:marRight w:val="0"/>
          <w:marTop w:val="0"/>
          <w:marBottom w:val="0"/>
          <w:divBdr>
            <w:top w:val="none" w:sz="0" w:space="0" w:color="auto"/>
            <w:left w:val="none" w:sz="0" w:space="0" w:color="auto"/>
            <w:bottom w:val="none" w:sz="0" w:space="0" w:color="auto"/>
            <w:right w:val="none" w:sz="0" w:space="0" w:color="auto"/>
          </w:divBdr>
        </w:div>
        <w:div w:id="878202035">
          <w:marLeft w:val="0"/>
          <w:marRight w:val="0"/>
          <w:marTop w:val="0"/>
          <w:marBottom w:val="0"/>
          <w:divBdr>
            <w:top w:val="none" w:sz="0" w:space="0" w:color="auto"/>
            <w:left w:val="none" w:sz="0" w:space="0" w:color="auto"/>
            <w:bottom w:val="none" w:sz="0" w:space="0" w:color="auto"/>
            <w:right w:val="none" w:sz="0" w:space="0" w:color="auto"/>
          </w:divBdr>
        </w:div>
        <w:div w:id="886912770">
          <w:marLeft w:val="0"/>
          <w:marRight w:val="0"/>
          <w:marTop w:val="0"/>
          <w:marBottom w:val="0"/>
          <w:divBdr>
            <w:top w:val="none" w:sz="0" w:space="0" w:color="auto"/>
            <w:left w:val="none" w:sz="0" w:space="0" w:color="auto"/>
            <w:bottom w:val="none" w:sz="0" w:space="0" w:color="auto"/>
            <w:right w:val="none" w:sz="0" w:space="0" w:color="auto"/>
          </w:divBdr>
        </w:div>
        <w:div w:id="999969492">
          <w:marLeft w:val="0"/>
          <w:marRight w:val="0"/>
          <w:marTop w:val="0"/>
          <w:marBottom w:val="0"/>
          <w:divBdr>
            <w:top w:val="none" w:sz="0" w:space="0" w:color="auto"/>
            <w:left w:val="none" w:sz="0" w:space="0" w:color="auto"/>
            <w:bottom w:val="none" w:sz="0" w:space="0" w:color="auto"/>
            <w:right w:val="none" w:sz="0" w:space="0" w:color="auto"/>
          </w:divBdr>
        </w:div>
        <w:div w:id="1278178921">
          <w:marLeft w:val="0"/>
          <w:marRight w:val="0"/>
          <w:marTop w:val="0"/>
          <w:marBottom w:val="0"/>
          <w:divBdr>
            <w:top w:val="none" w:sz="0" w:space="0" w:color="auto"/>
            <w:left w:val="none" w:sz="0" w:space="0" w:color="auto"/>
            <w:bottom w:val="none" w:sz="0" w:space="0" w:color="auto"/>
            <w:right w:val="none" w:sz="0" w:space="0" w:color="auto"/>
          </w:divBdr>
        </w:div>
        <w:div w:id="1281954748">
          <w:marLeft w:val="0"/>
          <w:marRight w:val="0"/>
          <w:marTop w:val="0"/>
          <w:marBottom w:val="0"/>
          <w:divBdr>
            <w:top w:val="none" w:sz="0" w:space="0" w:color="auto"/>
            <w:left w:val="none" w:sz="0" w:space="0" w:color="auto"/>
            <w:bottom w:val="none" w:sz="0" w:space="0" w:color="auto"/>
            <w:right w:val="none" w:sz="0" w:space="0" w:color="auto"/>
          </w:divBdr>
        </w:div>
        <w:div w:id="1303271921">
          <w:marLeft w:val="0"/>
          <w:marRight w:val="0"/>
          <w:marTop w:val="0"/>
          <w:marBottom w:val="0"/>
          <w:divBdr>
            <w:top w:val="none" w:sz="0" w:space="0" w:color="auto"/>
            <w:left w:val="none" w:sz="0" w:space="0" w:color="auto"/>
            <w:bottom w:val="none" w:sz="0" w:space="0" w:color="auto"/>
            <w:right w:val="none" w:sz="0" w:space="0" w:color="auto"/>
          </w:divBdr>
        </w:div>
        <w:div w:id="1547571351">
          <w:marLeft w:val="0"/>
          <w:marRight w:val="0"/>
          <w:marTop w:val="0"/>
          <w:marBottom w:val="0"/>
          <w:divBdr>
            <w:top w:val="none" w:sz="0" w:space="0" w:color="auto"/>
            <w:left w:val="none" w:sz="0" w:space="0" w:color="auto"/>
            <w:bottom w:val="none" w:sz="0" w:space="0" w:color="auto"/>
            <w:right w:val="none" w:sz="0" w:space="0" w:color="auto"/>
          </w:divBdr>
        </w:div>
        <w:div w:id="1563129565">
          <w:marLeft w:val="0"/>
          <w:marRight w:val="0"/>
          <w:marTop w:val="0"/>
          <w:marBottom w:val="0"/>
          <w:divBdr>
            <w:top w:val="none" w:sz="0" w:space="0" w:color="auto"/>
            <w:left w:val="none" w:sz="0" w:space="0" w:color="auto"/>
            <w:bottom w:val="none" w:sz="0" w:space="0" w:color="auto"/>
            <w:right w:val="none" w:sz="0" w:space="0" w:color="auto"/>
          </w:divBdr>
        </w:div>
        <w:div w:id="1602448737">
          <w:marLeft w:val="0"/>
          <w:marRight w:val="0"/>
          <w:marTop w:val="0"/>
          <w:marBottom w:val="0"/>
          <w:divBdr>
            <w:top w:val="none" w:sz="0" w:space="0" w:color="auto"/>
            <w:left w:val="none" w:sz="0" w:space="0" w:color="auto"/>
            <w:bottom w:val="none" w:sz="0" w:space="0" w:color="auto"/>
            <w:right w:val="none" w:sz="0" w:space="0" w:color="auto"/>
          </w:divBdr>
        </w:div>
        <w:div w:id="1670673252">
          <w:marLeft w:val="0"/>
          <w:marRight w:val="0"/>
          <w:marTop w:val="0"/>
          <w:marBottom w:val="0"/>
          <w:divBdr>
            <w:top w:val="none" w:sz="0" w:space="0" w:color="auto"/>
            <w:left w:val="none" w:sz="0" w:space="0" w:color="auto"/>
            <w:bottom w:val="none" w:sz="0" w:space="0" w:color="auto"/>
            <w:right w:val="none" w:sz="0" w:space="0" w:color="auto"/>
          </w:divBdr>
        </w:div>
        <w:div w:id="1734159210">
          <w:marLeft w:val="0"/>
          <w:marRight w:val="0"/>
          <w:marTop w:val="0"/>
          <w:marBottom w:val="0"/>
          <w:divBdr>
            <w:top w:val="none" w:sz="0" w:space="0" w:color="auto"/>
            <w:left w:val="none" w:sz="0" w:space="0" w:color="auto"/>
            <w:bottom w:val="none" w:sz="0" w:space="0" w:color="auto"/>
            <w:right w:val="none" w:sz="0" w:space="0" w:color="auto"/>
          </w:divBdr>
        </w:div>
        <w:div w:id="1756053708">
          <w:marLeft w:val="0"/>
          <w:marRight w:val="0"/>
          <w:marTop w:val="0"/>
          <w:marBottom w:val="0"/>
          <w:divBdr>
            <w:top w:val="none" w:sz="0" w:space="0" w:color="auto"/>
            <w:left w:val="none" w:sz="0" w:space="0" w:color="auto"/>
            <w:bottom w:val="none" w:sz="0" w:space="0" w:color="auto"/>
            <w:right w:val="none" w:sz="0" w:space="0" w:color="auto"/>
          </w:divBdr>
        </w:div>
        <w:div w:id="1912429032">
          <w:marLeft w:val="0"/>
          <w:marRight w:val="0"/>
          <w:marTop w:val="0"/>
          <w:marBottom w:val="0"/>
          <w:divBdr>
            <w:top w:val="none" w:sz="0" w:space="0" w:color="auto"/>
            <w:left w:val="none" w:sz="0" w:space="0" w:color="auto"/>
            <w:bottom w:val="none" w:sz="0" w:space="0" w:color="auto"/>
            <w:right w:val="none" w:sz="0" w:space="0" w:color="auto"/>
          </w:divBdr>
        </w:div>
        <w:div w:id="1937129961">
          <w:marLeft w:val="0"/>
          <w:marRight w:val="0"/>
          <w:marTop w:val="0"/>
          <w:marBottom w:val="0"/>
          <w:divBdr>
            <w:top w:val="none" w:sz="0" w:space="0" w:color="auto"/>
            <w:left w:val="none" w:sz="0" w:space="0" w:color="auto"/>
            <w:bottom w:val="none" w:sz="0" w:space="0" w:color="auto"/>
            <w:right w:val="none" w:sz="0" w:space="0" w:color="auto"/>
          </w:divBdr>
        </w:div>
        <w:div w:id="2014604360">
          <w:marLeft w:val="0"/>
          <w:marRight w:val="0"/>
          <w:marTop w:val="0"/>
          <w:marBottom w:val="0"/>
          <w:divBdr>
            <w:top w:val="none" w:sz="0" w:space="0" w:color="auto"/>
            <w:left w:val="none" w:sz="0" w:space="0" w:color="auto"/>
            <w:bottom w:val="none" w:sz="0" w:space="0" w:color="auto"/>
            <w:right w:val="none" w:sz="0" w:space="0" w:color="auto"/>
          </w:divBdr>
        </w:div>
      </w:divsChild>
    </w:div>
    <w:div w:id="960182726">
      <w:bodyDiv w:val="1"/>
      <w:marLeft w:val="0"/>
      <w:marRight w:val="0"/>
      <w:marTop w:val="0"/>
      <w:marBottom w:val="0"/>
      <w:divBdr>
        <w:top w:val="none" w:sz="0" w:space="0" w:color="auto"/>
        <w:left w:val="none" w:sz="0" w:space="0" w:color="auto"/>
        <w:bottom w:val="none" w:sz="0" w:space="0" w:color="auto"/>
        <w:right w:val="none" w:sz="0" w:space="0" w:color="auto"/>
      </w:divBdr>
    </w:div>
    <w:div w:id="977346110">
      <w:bodyDiv w:val="1"/>
      <w:marLeft w:val="0"/>
      <w:marRight w:val="0"/>
      <w:marTop w:val="0"/>
      <w:marBottom w:val="0"/>
      <w:divBdr>
        <w:top w:val="none" w:sz="0" w:space="0" w:color="auto"/>
        <w:left w:val="none" w:sz="0" w:space="0" w:color="auto"/>
        <w:bottom w:val="none" w:sz="0" w:space="0" w:color="auto"/>
        <w:right w:val="none" w:sz="0" w:space="0" w:color="auto"/>
      </w:divBdr>
    </w:div>
    <w:div w:id="1147821849">
      <w:bodyDiv w:val="1"/>
      <w:marLeft w:val="0"/>
      <w:marRight w:val="0"/>
      <w:marTop w:val="0"/>
      <w:marBottom w:val="0"/>
      <w:divBdr>
        <w:top w:val="none" w:sz="0" w:space="0" w:color="auto"/>
        <w:left w:val="none" w:sz="0" w:space="0" w:color="auto"/>
        <w:bottom w:val="none" w:sz="0" w:space="0" w:color="auto"/>
        <w:right w:val="none" w:sz="0" w:space="0" w:color="auto"/>
      </w:divBdr>
    </w:div>
    <w:div w:id="1229726636">
      <w:bodyDiv w:val="1"/>
      <w:marLeft w:val="0"/>
      <w:marRight w:val="0"/>
      <w:marTop w:val="0"/>
      <w:marBottom w:val="0"/>
      <w:divBdr>
        <w:top w:val="none" w:sz="0" w:space="0" w:color="auto"/>
        <w:left w:val="none" w:sz="0" w:space="0" w:color="auto"/>
        <w:bottom w:val="none" w:sz="0" w:space="0" w:color="auto"/>
        <w:right w:val="none" w:sz="0" w:space="0" w:color="auto"/>
      </w:divBdr>
    </w:div>
    <w:div w:id="1388996249">
      <w:bodyDiv w:val="1"/>
      <w:marLeft w:val="0"/>
      <w:marRight w:val="0"/>
      <w:marTop w:val="0"/>
      <w:marBottom w:val="0"/>
      <w:divBdr>
        <w:top w:val="none" w:sz="0" w:space="0" w:color="auto"/>
        <w:left w:val="none" w:sz="0" w:space="0" w:color="auto"/>
        <w:bottom w:val="none" w:sz="0" w:space="0" w:color="auto"/>
        <w:right w:val="none" w:sz="0" w:space="0" w:color="auto"/>
      </w:divBdr>
    </w:div>
    <w:div w:id="1528564100">
      <w:bodyDiv w:val="1"/>
      <w:marLeft w:val="0"/>
      <w:marRight w:val="0"/>
      <w:marTop w:val="0"/>
      <w:marBottom w:val="0"/>
      <w:divBdr>
        <w:top w:val="none" w:sz="0" w:space="0" w:color="auto"/>
        <w:left w:val="none" w:sz="0" w:space="0" w:color="auto"/>
        <w:bottom w:val="none" w:sz="0" w:space="0" w:color="auto"/>
        <w:right w:val="none" w:sz="0" w:space="0" w:color="auto"/>
      </w:divBdr>
    </w:div>
    <w:div w:id="1582444372">
      <w:bodyDiv w:val="1"/>
      <w:marLeft w:val="0"/>
      <w:marRight w:val="0"/>
      <w:marTop w:val="0"/>
      <w:marBottom w:val="0"/>
      <w:divBdr>
        <w:top w:val="none" w:sz="0" w:space="0" w:color="auto"/>
        <w:left w:val="none" w:sz="0" w:space="0" w:color="auto"/>
        <w:bottom w:val="none" w:sz="0" w:space="0" w:color="auto"/>
        <w:right w:val="none" w:sz="0" w:space="0" w:color="auto"/>
      </w:divBdr>
    </w:div>
    <w:div w:id="1591964817">
      <w:bodyDiv w:val="1"/>
      <w:marLeft w:val="0"/>
      <w:marRight w:val="0"/>
      <w:marTop w:val="0"/>
      <w:marBottom w:val="0"/>
      <w:divBdr>
        <w:top w:val="none" w:sz="0" w:space="0" w:color="auto"/>
        <w:left w:val="none" w:sz="0" w:space="0" w:color="auto"/>
        <w:bottom w:val="none" w:sz="0" w:space="0" w:color="auto"/>
        <w:right w:val="none" w:sz="0" w:space="0" w:color="auto"/>
      </w:divBdr>
    </w:div>
    <w:div w:id="1632587071">
      <w:bodyDiv w:val="1"/>
      <w:marLeft w:val="0"/>
      <w:marRight w:val="0"/>
      <w:marTop w:val="0"/>
      <w:marBottom w:val="0"/>
      <w:divBdr>
        <w:top w:val="none" w:sz="0" w:space="0" w:color="auto"/>
        <w:left w:val="none" w:sz="0" w:space="0" w:color="auto"/>
        <w:bottom w:val="none" w:sz="0" w:space="0" w:color="auto"/>
        <w:right w:val="none" w:sz="0" w:space="0" w:color="auto"/>
      </w:divBdr>
    </w:div>
    <w:div w:id="1652714011">
      <w:bodyDiv w:val="1"/>
      <w:marLeft w:val="0"/>
      <w:marRight w:val="0"/>
      <w:marTop w:val="0"/>
      <w:marBottom w:val="0"/>
      <w:divBdr>
        <w:top w:val="none" w:sz="0" w:space="0" w:color="auto"/>
        <w:left w:val="none" w:sz="0" w:space="0" w:color="auto"/>
        <w:bottom w:val="none" w:sz="0" w:space="0" w:color="auto"/>
        <w:right w:val="none" w:sz="0" w:space="0" w:color="auto"/>
      </w:divBdr>
    </w:div>
    <w:div w:id="1654875324">
      <w:bodyDiv w:val="1"/>
      <w:marLeft w:val="0"/>
      <w:marRight w:val="0"/>
      <w:marTop w:val="0"/>
      <w:marBottom w:val="0"/>
      <w:divBdr>
        <w:top w:val="none" w:sz="0" w:space="0" w:color="auto"/>
        <w:left w:val="none" w:sz="0" w:space="0" w:color="auto"/>
        <w:bottom w:val="none" w:sz="0" w:space="0" w:color="auto"/>
        <w:right w:val="none" w:sz="0" w:space="0" w:color="auto"/>
      </w:divBdr>
    </w:div>
    <w:div w:id="1671249417">
      <w:bodyDiv w:val="1"/>
      <w:marLeft w:val="0"/>
      <w:marRight w:val="0"/>
      <w:marTop w:val="0"/>
      <w:marBottom w:val="0"/>
      <w:divBdr>
        <w:top w:val="none" w:sz="0" w:space="0" w:color="auto"/>
        <w:left w:val="none" w:sz="0" w:space="0" w:color="auto"/>
        <w:bottom w:val="none" w:sz="0" w:space="0" w:color="auto"/>
        <w:right w:val="none" w:sz="0" w:space="0" w:color="auto"/>
      </w:divBdr>
    </w:div>
    <w:div w:id="1899825773">
      <w:bodyDiv w:val="1"/>
      <w:marLeft w:val="0"/>
      <w:marRight w:val="0"/>
      <w:marTop w:val="0"/>
      <w:marBottom w:val="0"/>
      <w:divBdr>
        <w:top w:val="none" w:sz="0" w:space="0" w:color="auto"/>
        <w:left w:val="none" w:sz="0" w:space="0" w:color="auto"/>
        <w:bottom w:val="none" w:sz="0" w:space="0" w:color="auto"/>
        <w:right w:val="none" w:sz="0" w:space="0" w:color="auto"/>
      </w:divBdr>
    </w:div>
    <w:div w:id="1916470635">
      <w:bodyDiv w:val="1"/>
      <w:marLeft w:val="0"/>
      <w:marRight w:val="0"/>
      <w:marTop w:val="0"/>
      <w:marBottom w:val="0"/>
      <w:divBdr>
        <w:top w:val="none" w:sz="0" w:space="0" w:color="auto"/>
        <w:left w:val="none" w:sz="0" w:space="0" w:color="auto"/>
        <w:bottom w:val="none" w:sz="0" w:space="0" w:color="auto"/>
        <w:right w:val="none" w:sz="0" w:space="0" w:color="auto"/>
      </w:divBdr>
    </w:div>
    <w:div w:id="2072146802">
      <w:bodyDiv w:val="1"/>
      <w:marLeft w:val="0"/>
      <w:marRight w:val="0"/>
      <w:marTop w:val="0"/>
      <w:marBottom w:val="0"/>
      <w:divBdr>
        <w:top w:val="none" w:sz="0" w:space="0" w:color="auto"/>
        <w:left w:val="none" w:sz="0" w:space="0" w:color="auto"/>
        <w:bottom w:val="none" w:sz="0" w:space="0" w:color="auto"/>
        <w:right w:val="none" w:sz="0" w:space="0" w:color="auto"/>
      </w:divBdr>
    </w:div>
    <w:div w:id="2080442022">
      <w:bodyDiv w:val="1"/>
      <w:marLeft w:val="0"/>
      <w:marRight w:val="0"/>
      <w:marTop w:val="0"/>
      <w:marBottom w:val="0"/>
      <w:divBdr>
        <w:top w:val="none" w:sz="0" w:space="0" w:color="auto"/>
        <w:left w:val="none" w:sz="0" w:space="0" w:color="auto"/>
        <w:bottom w:val="none" w:sz="0" w:space="0" w:color="auto"/>
        <w:right w:val="none" w:sz="0" w:space="0" w:color="auto"/>
      </w:divBdr>
    </w:div>
    <w:div w:id="2080789975">
      <w:bodyDiv w:val="1"/>
      <w:marLeft w:val="0"/>
      <w:marRight w:val="0"/>
      <w:marTop w:val="0"/>
      <w:marBottom w:val="0"/>
      <w:divBdr>
        <w:top w:val="none" w:sz="0" w:space="0" w:color="auto"/>
        <w:left w:val="none" w:sz="0" w:space="0" w:color="auto"/>
        <w:bottom w:val="none" w:sz="0" w:space="0" w:color="auto"/>
        <w:right w:val="none" w:sz="0" w:space="0" w:color="auto"/>
      </w:divBdr>
      <w:divsChild>
        <w:div w:id="20937887">
          <w:marLeft w:val="0"/>
          <w:marRight w:val="0"/>
          <w:marTop w:val="0"/>
          <w:marBottom w:val="0"/>
          <w:divBdr>
            <w:top w:val="none" w:sz="0" w:space="0" w:color="auto"/>
            <w:left w:val="none" w:sz="0" w:space="0" w:color="auto"/>
            <w:bottom w:val="none" w:sz="0" w:space="0" w:color="auto"/>
            <w:right w:val="none" w:sz="0" w:space="0" w:color="auto"/>
          </w:divBdr>
          <w:divsChild>
            <w:div w:id="36059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439457">
      <w:bodyDiv w:val="1"/>
      <w:marLeft w:val="0"/>
      <w:marRight w:val="0"/>
      <w:marTop w:val="0"/>
      <w:marBottom w:val="0"/>
      <w:divBdr>
        <w:top w:val="none" w:sz="0" w:space="0" w:color="auto"/>
        <w:left w:val="none" w:sz="0" w:space="0" w:color="auto"/>
        <w:bottom w:val="none" w:sz="0" w:space="0" w:color="auto"/>
        <w:right w:val="none" w:sz="0" w:space="0" w:color="auto"/>
      </w:divBdr>
    </w:div>
    <w:div w:id="21232629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eenparentschools.org.nz/our-school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workandincome.govt.nz/individuals/a-z-benefits/young-parent-payment.html"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educationcounts.govt.nz/indicators/main/student-engagement-participation/1955" TargetMode="External"/><Relationship Id="rId1" Type="http://schemas.openxmlformats.org/officeDocument/2006/relationships/hyperlink" Target="mailto:rhema.vaithianathan@aut.ac.nz"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1135899999999998E-2"/>
          <c:y val="5.8991099999999998E-2"/>
          <c:w val="0.94342300000000001"/>
          <c:h val="0.61924599999999996"/>
        </c:manualLayout>
      </c:layout>
      <c:lineChart>
        <c:grouping val="standard"/>
        <c:varyColors val="0"/>
        <c:ser>
          <c:idx val="0"/>
          <c:order val="0"/>
          <c:tx>
            <c:strRef>
              <c:f>Sheet1!$A$2</c:f>
              <c:strCache>
                <c:ptCount val="1"/>
                <c:pt idx="0">
                  <c:v>13 years</c:v>
                </c:pt>
              </c:strCache>
            </c:strRef>
          </c:tx>
          <c:spPr>
            <a:ln w="19050" cap="rnd">
              <a:solidFill>
                <a:srgbClr val="404040"/>
              </a:solidFill>
              <a:prstDash val="dash"/>
              <a:round/>
            </a:ln>
            <a:effectLst/>
          </c:spPr>
          <c:marker>
            <c:symbol val="none"/>
          </c:marker>
          <c:cat>
            <c:strRef>
              <c:f>Sheet1!$B$1:$Z$1</c:f>
              <c:strCache>
                <c:ptCount val="25"/>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strCache>
            </c:strRef>
          </c:cat>
          <c:val>
            <c:numRef>
              <c:f>Sheet1!$B$2:$Z$2</c:f>
              <c:numCache>
                <c:formatCode>General</c:formatCode>
                <c:ptCount val="25"/>
                <c:pt idx="0">
                  <c:v>0.16</c:v>
                </c:pt>
                <c:pt idx="1">
                  <c:v>0.12</c:v>
                </c:pt>
                <c:pt idx="2">
                  <c:v>0.2</c:v>
                </c:pt>
                <c:pt idx="3">
                  <c:v>0.23</c:v>
                </c:pt>
                <c:pt idx="4">
                  <c:v>0.12</c:v>
                </c:pt>
                <c:pt idx="5">
                  <c:v>0.16</c:v>
                </c:pt>
                <c:pt idx="6">
                  <c:v>0.23</c:v>
                </c:pt>
                <c:pt idx="7">
                  <c:v>0.11</c:v>
                </c:pt>
                <c:pt idx="8">
                  <c:v>0.19</c:v>
                </c:pt>
                <c:pt idx="9">
                  <c:v>0.15</c:v>
                </c:pt>
                <c:pt idx="10">
                  <c:v>0.22</c:v>
                </c:pt>
                <c:pt idx="11">
                  <c:v>0.17</c:v>
                </c:pt>
                <c:pt idx="12">
                  <c:v>0.1</c:v>
                </c:pt>
                <c:pt idx="13">
                  <c:v>0.13</c:v>
                </c:pt>
                <c:pt idx="14">
                  <c:v>0.19</c:v>
                </c:pt>
                <c:pt idx="15">
                  <c:v>0.06</c:v>
                </c:pt>
                <c:pt idx="16">
                  <c:v>0.13</c:v>
                </c:pt>
                <c:pt idx="17">
                  <c:v>0.2</c:v>
                </c:pt>
                <c:pt idx="18">
                  <c:v>0.13</c:v>
                </c:pt>
                <c:pt idx="19">
                  <c:v>0.1</c:v>
                </c:pt>
                <c:pt idx="20">
                  <c:v>7.0000000000000007E-2</c:v>
                </c:pt>
                <c:pt idx="21">
                  <c:v>0.2</c:v>
                </c:pt>
                <c:pt idx="22">
                  <c:v>0.1</c:v>
                </c:pt>
                <c:pt idx="23">
                  <c:v>0.27</c:v>
                </c:pt>
                <c:pt idx="24">
                  <c:v>7.0000000000000007E-2</c:v>
                </c:pt>
              </c:numCache>
            </c:numRef>
          </c:val>
          <c:smooth val="0"/>
          <c:extLst xmlns:c16r2="http://schemas.microsoft.com/office/drawing/2015/06/chart">
            <c:ext xmlns:c16="http://schemas.microsoft.com/office/drawing/2014/chart" uri="{C3380CC4-5D6E-409C-BE32-E72D297353CC}">
              <c16:uniqueId val="{00000000-3E43-46E5-9CCE-23F641BD504E}"/>
            </c:ext>
          </c:extLst>
        </c:ser>
        <c:ser>
          <c:idx val="1"/>
          <c:order val="1"/>
          <c:tx>
            <c:strRef>
              <c:f>Sheet1!$A$3</c:f>
              <c:strCache>
                <c:ptCount val="1"/>
                <c:pt idx="0">
                  <c:v>14 years</c:v>
                </c:pt>
              </c:strCache>
            </c:strRef>
          </c:tx>
          <c:spPr>
            <a:ln w="19050" cap="rnd">
              <a:solidFill>
                <a:srgbClr val="262626"/>
              </a:solidFill>
              <a:prstDash val="solid"/>
              <a:round/>
            </a:ln>
            <a:effectLst/>
          </c:spPr>
          <c:marker>
            <c:symbol val="none"/>
          </c:marker>
          <c:cat>
            <c:strRef>
              <c:f>Sheet1!$B$1:$Z$1</c:f>
              <c:strCache>
                <c:ptCount val="25"/>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strCache>
            </c:strRef>
          </c:cat>
          <c:val>
            <c:numRef>
              <c:f>Sheet1!$B$3:$Z$3</c:f>
              <c:numCache>
                <c:formatCode>General</c:formatCode>
                <c:ptCount val="25"/>
                <c:pt idx="0">
                  <c:v>1.2</c:v>
                </c:pt>
                <c:pt idx="1">
                  <c:v>1.07</c:v>
                </c:pt>
                <c:pt idx="2">
                  <c:v>1</c:v>
                </c:pt>
                <c:pt idx="3">
                  <c:v>0.86</c:v>
                </c:pt>
                <c:pt idx="4">
                  <c:v>1.1200000000000001</c:v>
                </c:pt>
                <c:pt idx="5">
                  <c:v>1.3</c:v>
                </c:pt>
                <c:pt idx="6">
                  <c:v>0.77</c:v>
                </c:pt>
                <c:pt idx="7">
                  <c:v>1.73</c:v>
                </c:pt>
                <c:pt idx="8">
                  <c:v>1.1000000000000001</c:v>
                </c:pt>
                <c:pt idx="9">
                  <c:v>0.89</c:v>
                </c:pt>
                <c:pt idx="10">
                  <c:v>0.88</c:v>
                </c:pt>
                <c:pt idx="11">
                  <c:v>0.83</c:v>
                </c:pt>
                <c:pt idx="12">
                  <c:v>0.86</c:v>
                </c:pt>
                <c:pt idx="13">
                  <c:v>0.8</c:v>
                </c:pt>
                <c:pt idx="14">
                  <c:v>0.93</c:v>
                </c:pt>
                <c:pt idx="15">
                  <c:v>1.07</c:v>
                </c:pt>
                <c:pt idx="16">
                  <c:v>1</c:v>
                </c:pt>
                <c:pt idx="17">
                  <c:v>1.46</c:v>
                </c:pt>
                <c:pt idx="18">
                  <c:v>1.1599999999999999</c:v>
                </c:pt>
                <c:pt idx="19">
                  <c:v>0.86</c:v>
                </c:pt>
                <c:pt idx="20">
                  <c:v>0.8</c:v>
                </c:pt>
                <c:pt idx="21">
                  <c:v>0.64</c:v>
                </c:pt>
                <c:pt idx="22">
                  <c:v>0.51</c:v>
                </c:pt>
                <c:pt idx="23">
                  <c:v>0.41</c:v>
                </c:pt>
                <c:pt idx="24">
                  <c:v>0.8</c:v>
                </c:pt>
              </c:numCache>
            </c:numRef>
          </c:val>
          <c:smooth val="0"/>
          <c:extLst xmlns:c16r2="http://schemas.microsoft.com/office/drawing/2015/06/chart">
            <c:ext xmlns:c16="http://schemas.microsoft.com/office/drawing/2014/chart" uri="{C3380CC4-5D6E-409C-BE32-E72D297353CC}">
              <c16:uniqueId val="{00000001-3E43-46E5-9CCE-23F641BD504E}"/>
            </c:ext>
          </c:extLst>
        </c:ser>
        <c:ser>
          <c:idx val="2"/>
          <c:order val="2"/>
          <c:tx>
            <c:strRef>
              <c:f>Sheet1!$A$4</c:f>
              <c:strCache>
                <c:ptCount val="1"/>
                <c:pt idx="0">
                  <c:v>15 years</c:v>
                </c:pt>
              </c:strCache>
            </c:strRef>
          </c:tx>
          <c:spPr>
            <a:ln w="19050" cap="rnd">
              <a:solidFill>
                <a:srgbClr val="385724"/>
              </a:solidFill>
              <a:prstDash val="solid"/>
              <a:round/>
            </a:ln>
            <a:effectLst/>
          </c:spPr>
          <c:marker>
            <c:symbol val="none"/>
          </c:marker>
          <c:cat>
            <c:strRef>
              <c:f>Sheet1!$B$1:$Z$1</c:f>
              <c:strCache>
                <c:ptCount val="25"/>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strCache>
            </c:strRef>
          </c:cat>
          <c:val>
            <c:numRef>
              <c:f>Sheet1!$B$4:$Z$4</c:f>
              <c:numCache>
                <c:formatCode>General</c:formatCode>
                <c:ptCount val="25"/>
                <c:pt idx="0">
                  <c:v>5</c:v>
                </c:pt>
                <c:pt idx="1">
                  <c:v>5.5</c:v>
                </c:pt>
                <c:pt idx="2">
                  <c:v>4.26</c:v>
                </c:pt>
                <c:pt idx="3">
                  <c:v>4.63</c:v>
                </c:pt>
                <c:pt idx="4">
                  <c:v>5.1499999999999986</c:v>
                </c:pt>
                <c:pt idx="5">
                  <c:v>5.67</c:v>
                </c:pt>
                <c:pt idx="6">
                  <c:v>4.97</c:v>
                </c:pt>
                <c:pt idx="7">
                  <c:v>5.43</c:v>
                </c:pt>
                <c:pt idx="8">
                  <c:v>3.7</c:v>
                </c:pt>
                <c:pt idx="9">
                  <c:v>4.1099999999999994</c:v>
                </c:pt>
                <c:pt idx="10">
                  <c:v>4.45</c:v>
                </c:pt>
                <c:pt idx="11">
                  <c:v>4.4000000000000004</c:v>
                </c:pt>
                <c:pt idx="12">
                  <c:v>3.55</c:v>
                </c:pt>
                <c:pt idx="13">
                  <c:v>3.86</c:v>
                </c:pt>
                <c:pt idx="14">
                  <c:v>4.09</c:v>
                </c:pt>
                <c:pt idx="15">
                  <c:v>3.97</c:v>
                </c:pt>
                <c:pt idx="16">
                  <c:v>3.57</c:v>
                </c:pt>
                <c:pt idx="17">
                  <c:v>5.1099999999999994</c:v>
                </c:pt>
                <c:pt idx="18">
                  <c:v>5.29</c:v>
                </c:pt>
                <c:pt idx="19">
                  <c:v>3.83</c:v>
                </c:pt>
                <c:pt idx="20">
                  <c:v>3.83</c:v>
                </c:pt>
                <c:pt idx="21">
                  <c:v>3.26</c:v>
                </c:pt>
                <c:pt idx="22">
                  <c:v>2.95</c:v>
                </c:pt>
                <c:pt idx="23">
                  <c:v>2.81</c:v>
                </c:pt>
                <c:pt idx="24">
                  <c:v>2.46</c:v>
                </c:pt>
              </c:numCache>
            </c:numRef>
          </c:val>
          <c:smooth val="0"/>
          <c:extLst xmlns:c16r2="http://schemas.microsoft.com/office/drawing/2015/06/chart">
            <c:ext xmlns:c16="http://schemas.microsoft.com/office/drawing/2014/chart" uri="{C3380CC4-5D6E-409C-BE32-E72D297353CC}">
              <c16:uniqueId val="{00000002-3E43-46E5-9CCE-23F641BD504E}"/>
            </c:ext>
          </c:extLst>
        </c:ser>
        <c:ser>
          <c:idx val="3"/>
          <c:order val="3"/>
          <c:tx>
            <c:strRef>
              <c:f>Sheet1!$A$5</c:f>
              <c:strCache>
                <c:ptCount val="1"/>
                <c:pt idx="0">
                  <c:v>16 years</c:v>
                </c:pt>
              </c:strCache>
            </c:strRef>
          </c:tx>
          <c:spPr>
            <a:ln w="19050" cap="rnd">
              <a:solidFill>
                <a:srgbClr val="1F4E79"/>
              </a:solidFill>
              <a:prstDash val="solid"/>
              <a:round/>
            </a:ln>
            <a:effectLst/>
          </c:spPr>
          <c:marker>
            <c:symbol val="none"/>
          </c:marker>
          <c:cat>
            <c:strRef>
              <c:f>Sheet1!$B$1:$Z$1</c:f>
              <c:strCache>
                <c:ptCount val="25"/>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strCache>
            </c:strRef>
          </c:cat>
          <c:val>
            <c:numRef>
              <c:f>Sheet1!$B$5:$Z$5</c:f>
              <c:numCache>
                <c:formatCode>General</c:formatCode>
                <c:ptCount val="25"/>
                <c:pt idx="0">
                  <c:v>16.260000000000002</c:v>
                </c:pt>
                <c:pt idx="1">
                  <c:v>16.71</c:v>
                </c:pt>
                <c:pt idx="2">
                  <c:v>15.45</c:v>
                </c:pt>
                <c:pt idx="3">
                  <c:v>15.8</c:v>
                </c:pt>
                <c:pt idx="4">
                  <c:v>14.91</c:v>
                </c:pt>
                <c:pt idx="5">
                  <c:v>17.3</c:v>
                </c:pt>
                <c:pt idx="6">
                  <c:v>17.43</c:v>
                </c:pt>
                <c:pt idx="7">
                  <c:v>14.69</c:v>
                </c:pt>
                <c:pt idx="8">
                  <c:v>13.7</c:v>
                </c:pt>
                <c:pt idx="9">
                  <c:v>12.52</c:v>
                </c:pt>
                <c:pt idx="10">
                  <c:v>12.48</c:v>
                </c:pt>
                <c:pt idx="11">
                  <c:v>13.05</c:v>
                </c:pt>
                <c:pt idx="12">
                  <c:v>11.27</c:v>
                </c:pt>
                <c:pt idx="13">
                  <c:v>12.08</c:v>
                </c:pt>
                <c:pt idx="14">
                  <c:v>12.71</c:v>
                </c:pt>
                <c:pt idx="15">
                  <c:v>12.18</c:v>
                </c:pt>
                <c:pt idx="16">
                  <c:v>13.75</c:v>
                </c:pt>
                <c:pt idx="17">
                  <c:v>15.42</c:v>
                </c:pt>
                <c:pt idx="18">
                  <c:v>14.96</c:v>
                </c:pt>
                <c:pt idx="19">
                  <c:v>11.76</c:v>
                </c:pt>
                <c:pt idx="20">
                  <c:v>12.99</c:v>
                </c:pt>
                <c:pt idx="21">
                  <c:v>11.16</c:v>
                </c:pt>
                <c:pt idx="22">
                  <c:v>10</c:v>
                </c:pt>
                <c:pt idx="23">
                  <c:v>8.94</c:v>
                </c:pt>
                <c:pt idx="24">
                  <c:v>7.73</c:v>
                </c:pt>
              </c:numCache>
            </c:numRef>
          </c:val>
          <c:smooth val="0"/>
          <c:extLst xmlns:c16r2="http://schemas.microsoft.com/office/drawing/2015/06/chart">
            <c:ext xmlns:c16="http://schemas.microsoft.com/office/drawing/2014/chart" uri="{C3380CC4-5D6E-409C-BE32-E72D297353CC}">
              <c16:uniqueId val="{00000003-3E43-46E5-9CCE-23F641BD504E}"/>
            </c:ext>
          </c:extLst>
        </c:ser>
        <c:ser>
          <c:idx val="4"/>
          <c:order val="4"/>
          <c:tx>
            <c:strRef>
              <c:f>Sheet1!$A$6</c:f>
              <c:strCache>
                <c:ptCount val="1"/>
                <c:pt idx="0">
                  <c:v>17 years</c:v>
                </c:pt>
              </c:strCache>
            </c:strRef>
          </c:tx>
          <c:spPr>
            <a:ln w="19050" cap="rnd">
              <a:solidFill>
                <a:schemeClr val="accent5"/>
              </a:solidFill>
              <a:prstDash val="solid"/>
              <a:round/>
            </a:ln>
            <a:effectLst/>
          </c:spPr>
          <c:marker>
            <c:symbol val="none"/>
          </c:marker>
          <c:cat>
            <c:strRef>
              <c:f>Sheet1!$B$1:$Z$1</c:f>
              <c:strCache>
                <c:ptCount val="25"/>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strCache>
            </c:strRef>
          </c:cat>
          <c:val>
            <c:numRef>
              <c:f>Sheet1!$B$6:$Z$6</c:f>
              <c:numCache>
                <c:formatCode>General</c:formatCode>
                <c:ptCount val="25"/>
                <c:pt idx="0">
                  <c:v>32.22</c:v>
                </c:pt>
                <c:pt idx="1">
                  <c:v>32.119999999999997</c:v>
                </c:pt>
                <c:pt idx="2">
                  <c:v>31.33</c:v>
                </c:pt>
                <c:pt idx="3">
                  <c:v>27.95</c:v>
                </c:pt>
                <c:pt idx="4">
                  <c:v>31.77</c:v>
                </c:pt>
                <c:pt idx="5">
                  <c:v>33.840000000000003</c:v>
                </c:pt>
                <c:pt idx="6">
                  <c:v>30.55</c:v>
                </c:pt>
                <c:pt idx="7">
                  <c:v>30.98</c:v>
                </c:pt>
                <c:pt idx="8">
                  <c:v>27.81</c:v>
                </c:pt>
                <c:pt idx="9">
                  <c:v>28.35</c:v>
                </c:pt>
                <c:pt idx="10">
                  <c:v>25.74</c:v>
                </c:pt>
                <c:pt idx="11">
                  <c:v>24.4</c:v>
                </c:pt>
                <c:pt idx="12">
                  <c:v>24.95</c:v>
                </c:pt>
                <c:pt idx="13">
                  <c:v>27.4</c:v>
                </c:pt>
                <c:pt idx="14">
                  <c:v>26.85</c:v>
                </c:pt>
                <c:pt idx="15">
                  <c:v>26.13</c:v>
                </c:pt>
                <c:pt idx="16">
                  <c:v>29.09</c:v>
                </c:pt>
                <c:pt idx="17">
                  <c:v>30.46</c:v>
                </c:pt>
                <c:pt idx="18">
                  <c:v>31.59</c:v>
                </c:pt>
                <c:pt idx="19">
                  <c:v>28.66</c:v>
                </c:pt>
                <c:pt idx="20">
                  <c:v>26.25</c:v>
                </c:pt>
                <c:pt idx="21">
                  <c:v>22.62</c:v>
                </c:pt>
                <c:pt idx="22">
                  <c:v>21.96</c:v>
                </c:pt>
                <c:pt idx="23">
                  <c:v>18.05</c:v>
                </c:pt>
                <c:pt idx="24">
                  <c:v>15.86</c:v>
                </c:pt>
              </c:numCache>
            </c:numRef>
          </c:val>
          <c:smooth val="0"/>
          <c:extLst xmlns:c16r2="http://schemas.microsoft.com/office/drawing/2015/06/chart">
            <c:ext xmlns:c16="http://schemas.microsoft.com/office/drawing/2014/chart" uri="{C3380CC4-5D6E-409C-BE32-E72D297353CC}">
              <c16:uniqueId val="{00000004-3E43-46E5-9CCE-23F641BD504E}"/>
            </c:ext>
          </c:extLst>
        </c:ser>
        <c:ser>
          <c:idx val="5"/>
          <c:order val="5"/>
          <c:tx>
            <c:strRef>
              <c:f>Sheet1!$A$7</c:f>
              <c:strCache>
                <c:ptCount val="1"/>
                <c:pt idx="0">
                  <c:v>18 years</c:v>
                </c:pt>
              </c:strCache>
            </c:strRef>
          </c:tx>
          <c:spPr>
            <a:ln w="19050" cap="rnd">
              <a:solidFill>
                <a:schemeClr val="accent2"/>
              </a:solidFill>
              <a:prstDash val="solid"/>
              <a:round/>
            </a:ln>
            <a:effectLst/>
          </c:spPr>
          <c:marker>
            <c:symbol val="none"/>
          </c:marker>
          <c:cat>
            <c:strRef>
              <c:f>Sheet1!$B$1:$Z$1</c:f>
              <c:strCache>
                <c:ptCount val="25"/>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strCache>
            </c:strRef>
          </c:cat>
          <c:val>
            <c:numRef>
              <c:f>Sheet1!$B$7:$Z$7</c:f>
              <c:numCache>
                <c:formatCode>General</c:formatCode>
                <c:ptCount val="25"/>
                <c:pt idx="0">
                  <c:v>51.68</c:v>
                </c:pt>
                <c:pt idx="1">
                  <c:v>47.55</c:v>
                </c:pt>
                <c:pt idx="2">
                  <c:v>47.67</c:v>
                </c:pt>
                <c:pt idx="3">
                  <c:v>49.07</c:v>
                </c:pt>
                <c:pt idx="4">
                  <c:v>46.3</c:v>
                </c:pt>
                <c:pt idx="5">
                  <c:v>48.14</c:v>
                </c:pt>
                <c:pt idx="6">
                  <c:v>50.02</c:v>
                </c:pt>
                <c:pt idx="7">
                  <c:v>50.9</c:v>
                </c:pt>
                <c:pt idx="8">
                  <c:v>45.24</c:v>
                </c:pt>
                <c:pt idx="9">
                  <c:v>43.35</c:v>
                </c:pt>
                <c:pt idx="10">
                  <c:v>43.8</c:v>
                </c:pt>
                <c:pt idx="11">
                  <c:v>40.049999999999997</c:v>
                </c:pt>
                <c:pt idx="12">
                  <c:v>38.299999999999997</c:v>
                </c:pt>
                <c:pt idx="13">
                  <c:v>37.64</c:v>
                </c:pt>
                <c:pt idx="14">
                  <c:v>40.29</c:v>
                </c:pt>
                <c:pt idx="15">
                  <c:v>44.02</c:v>
                </c:pt>
                <c:pt idx="16">
                  <c:v>41.59</c:v>
                </c:pt>
                <c:pt idx="17">
                  <c:v>46.95</c:v>
                </c:pt>
                <c:pt idx="18">
                  <c:v>48.14</c:v>
                </c:pt>
                <c:pt idx="19">
                  <c:v>42.72</c:v>
                </c:pt>
                <c:pt idx="20">
                  <c:v>42.88</c:v>
                </c:pt>
                <c:pt idx="21">
                  <c:v>37.090000000000003</c:v>
                </c:pt>
                <c:pt idx="22">
                  <c:v>35.58</c:v>
                </c:pt>
                <c:pt idx="23">
                  <c:v>31.57</c:v>
                </c:pt>
                <c:pt idx="24">
                  <c:v>27.24</c:v>
                </c:pt>
              </c:numCache>
            </c:numRef>
          </c:val>
          <c:smooth val="0"/>
          <c:extLst xmlns:c16r2="http://schemas.microsoft.com/office/drawing/2015/06/chart">
            <c:ext xmlns:c16="http://schemas.microsoft.com/office/drawing/2014/chart" uri="{C3380CC4-5D6E-409C-BE32-E72D297353CC}">
              <c16:uniqueId val="{00000005-3E43-46E5-9CCE-23F641BD504E}"/>
            </c:ext>
          </c:extLst>
        </c:ser>
        <c:dLbls>
          <c:showLegendKey val="0"/>
          <c:showVal val="0"/>
          <c:showCatName val="0"/>
          <c:showSerName val="0"/>
          <c:showPercent val="0"/>
          <c:showBubbleSize val="0"/>
        </c:dLbls>
        <c:marker val="1"/>
        <c:smooth val="0"/>
        <c:axId val="325341568"/>
        <c:axId val="325343488"/>
      </c:lineChart>
      <c:catAx>
        <c:axId val="325341568"/>
        <c:scaling>
          <c:orientation val="minMax"/>
        </c:scaling>
        <c:delete val="0"/>
        <c:axPos val="b"/>
        <c:numFmt formatCode="General" sourceLinked="0"/>
        <c:majorTickMark val="none"/>
        <c:minorTickMark val="none"/>
        <c:tickLblPos val="low"/>
        <c:spPr>
          <a:ln w="12700" cap="flat">
            <a:solidFill>
              <a:srgbClr val="D9D9D9"/>
            </a:solidFill>
            <a:prstDash val="solid"/>
            <a:round/>
          </a:ln>
        </c:spPr>
        <c:txPr>
          <a:bodyPr rot="0"/>
          <a:lstStyle/>
          <a:p>
            <a:pPr>
              <a:defRPr sz="900" b="0" i="0" u="none" strike="noStrike">
                <a:solidFill>
                  <a:srgbClr val="595959"/>
                </a:solidFill>
                <a:latin typeface="Times New Roman"/>
              </a:defRPr>
            </a:pPr>
            <a:endParaRPr lang="en-US"/>
          </a:p>
        </c:txPr>
        <c:crossAx val="325343488"/>
        <c:crosses val="autoZero"/>
        <c:auto val="1"/>
        <c:lblAlgn val="ctr"/>
        <c:lblOffset val="100"/>
        <c:noMultiLvlLbl val="1"/>
      </c:catAx>
      <c:valAx>
        <c:axId val="325343488"/>
        <c:scaling>
          <c:orientation val="minMax"/>
        </c:scaling>
        <c:delete val="0"/>
        <c:axPos val="l"/>
        <c:majorGridlines>
          <c:spPr>
            <a:ln w="12700" cap="flat">
              <a:solidFill>
                <a:srgbClr val="D9D9D9"/>
              </a:solidFill>
              <a:prstDash val="solid"/>
              <a:round/>
            </a:ln>
          </c:spPr>
        </c:majorGridlines>
        <c:numFmt formatCode="0" sourceLinked="0"/>
        <c:majorTickMark val="none"/>
        <c:minorTickMark val="none"/>
        <c:tickLblPos val="nextTo"/>
        <c:spPr>
          <a:ln w="12700" cap="flat">
            <a:noFill/>
            <a:prstDash val="solid"/>
            <a:round/>
          </a:ln>
        </c:spPr>
        <c:txPr>
          <a:bodyPr rot="0"/>
          <a:lstStyle/>
          <a:p>
            <a:pPr>
              <a:defRPr sz="900" b="0" i="0" u="none" strike="noStrike">
                <a:solidFill>
                  <a:srgbClr val="595959"/>
                </a:solidFill>
                <a:latin typeface="Times New Roman"/>
              </a:defRPr>
            </a:pPr>
            <a:endParaRPr lang="en-US"/>
          </a:p>
        </c:txPr>
        <c:crossAx val="325341568"/>
        <c:crosses val="autoZero"/>
        <c:crossBetween val="between"/>
        <c:majorUnit val="15"/>
        <c:minorUnit val="7.5"/>
      </c:valAx>
      <c:spPr>
        <a:noFill/>
        <a:ln w="12700" cap="flat">
          <a:noFill/>
          <a:miter lim="400000"/>
        </a:ln>
        <a:effectLst/>
      </c:spPr>
    </c:plotArea>
    <c:legend>
      <c:legendPos val="b"/>
      <c:layout>
        <c:manualLayout>
          <c:xMode val="edge"/>
          <c:yMode val="edge"/>
          <c:x val="3.0484500000000001E-2"/>
          <c:y val="0.92850900000000003"/>
          <c:w val="0.95505300000000004"/>
          <c:h val="7.1491100000000002E-2"/>
        </c:manualLayout>
      </c:layout>
      <c:overlay val="1"/>
      <c:spPr>
        <a:noFill/>
        <a:ln w="12700" cap="flat">
          <a:noFill/>
          <a:miter lim="400000"/>
        </a:ln>
        <a:effectLst/>
      </c:spPr>
      <c:txPr>
        <a:bodyPr rot="0"/>
        <a:lstStyle/>
        <a:p>
          <a:pPr>
            <a:defRPr sz="900" b="0" i="0" u="none" strike="noStrike">
              <a:solidFill>
                <a:srgbClr val="595959"/>
              </a:solidFill>
              <a:latin typeface="Times New Roman"/>
            </a:defRPr>
          </a:pPr>
          <a:endParaRPr lang="en-US"/>
        </a:p>
      </c:txPr>
    </c:legend>
    <c:plotVisOnly val="1"/>
    <c:dispBlanksAs val="gap"/>
    <c:showDLblsOverMax val="1"/>
  </c:chart>
  <c:spPr>
    <a:solidFill>
      <a:srgbClr val="FFFFFF"/>
    </a:solidFill>
    <a:ln>
      <a:noFill/>
    </a:ln>
    <a:effectLst/>
  </c:spPr>
  <c:externalData r:id="rId1">
    <c:autoUpdate val="0"/>
  </c:externalData>
</c:chartSpace>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Calibri Light"/>
        <a:ea typeface="Calibri Light"/>
        <a:cs typeface="Calibri Light"/>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457200" rtl="0" fontAlgn="auto" latinLnBrk="0" hangingPunct="0">
          <a:lnSpc>
            <a:spcPct val="100000"/>
          </a:lnSpc>
          <a:spcBef>
            <a:spcPts val="1000"/>
          </a:spcBef>
          <a:spcAft>
            <a:spcPts val="0"/>
          </a:spcAft>
          <a:buClrTx/>
          <a:buSzTx/>
          <a:buFontTx/>
          <a:buNone/>
          <a:tabLst/>
          <a:defRPr kumimoji="0" sz="900" b="1"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0A7CE-485C-413F-B907-54FBAD8F8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Pages>
  <Words>14239</Words>
  <Characters>81167</Characters>
  <Application>Microsoft Office Word</Application>
  <DocSecurity>0</DocSecurity>
  <Lines>676</Lines>
  <Paragraphs>190</Paragraphs>
  <ScaleCrop>false</ScaleCrop>
  <HeadingPairs>
    <vt:vector size="2" baseType="variant">
      <vt:variant>
        <vt:lpstr>Title</vt:lpstr>
      </vt:variant>
      <vt:variant>
        <vt:i4>1</vt:i4>
      </vt:variant>
    </vt:vector>
  </HeadingPairs>
  <TitlesOfParts>
    <vt:vector size="1" baseType="lpstr">
      <vt:lpstr/>
    </vt:vector>
  </TitlesOfParts>
  <Company>Singapore Management University</Company>
  <LinksUpToDate>false</LinksUpToDate>
  <CharactersWithSpaces>95216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Rhema VAITHIANATHAN</dc:creator>
  <cp:keywords/>
  <dc:description/>
  <cp:lastModifiedBy>Moira Wilson</cp:lastModifiedBy>
  <cp:revision>5</cp:revision>
  <cp:lastPrinted>2016-09-25T22:24:00Z</cp:lastPrinted>
  <dcterms:created xsi:type="dcterms:W3CDTF">2017-02-06T23:02:00Z</dcterms:created>
  <dcterms:modified xsi:type="dcterms:W3CDTF">2017-02-20T21:12:00Z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A9210923</vt:lpwstr>
  </property>
  <property fmtid="{D5CDD505-2E9C-101B-9397-08002B2CF9AE}" pid="4" name="Objective-Title">
    <vt:lpwstr>20170224 - TPU Impact Study Working Paper</vt:lpwstr>
  </property>
  <property fmtid="{D5CDD505-2E9C-101B-9397-08002B2CF9AE}" pid="5" name="Objective-Comment">
    <vt:lpwstr/>
  </property>
  <property fmtid="{D5CDD505-2E9C-101B-9397-08002B2CF9AE}" pid="6" name="Objective-CreationStamp">
    <vt:filetime>2016-10-12T03:25:23Z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2017-02-20T22:39:20Z</vt:filetime>
  </property>
  <property fmtid="{D5CDD505-2E9C-101B-9397-08002B2CF9AE}" pid="10" name="Objective-ModificationStamp">
    <vt:filetime>2017-02-20T22:39:20Z</vt:filetime>
  </property>
  <property fmtid="{D5CDD505-2E9C-101B-9397-08002B2CF9AE}" pid="11" name="Objective-Owner">
    <vt:lpwstr>Moira Wilson</vt:lpwstr>
  </property>
  <property fmtid="{D5CDD505-2E9C-101B-9397-08002B2CF9AE}" pid="12" name="Objective-Path">
    <vt:lpwstr>Global Folder:MSD INFORMATION REPOSITORY:Social Research &amp; Evaluation:Children:Pathways through Service Systems - Phase 1:01 Project Planning:12 TPU evaluation:04 TPU Reporting:</vt:lpwstr>
  </property>
  <property fmtid="{D5CDD505-2E9C-101B-9397-08002B2CF9AE}" pid="13" name="Objective-Parent">
    <vt:lpwstr>04 TPU Reporting</vt:lpwstr>
  </property>
  <property fmtid="{D5CDD505-2E9C-101B-9397-08002B2CF9AE}" pid="14" name="Objective-State">
    <vt:lpwstr>Published</vt:lpwstr>
  </property>
  <property fmtid="{D5CDD505-2E9C-101B-9397-08002B2CF9AE}" pid="15" name="Objective-Version">
    <vt:lpwstr>20.0</vt:lpwstr>
  </property>
  <property fmtid="{D5CDD505-2E9C-101B-9397-08002B2CF9AE}" pid="16" name="Objective-VersionNumber">
    <vt:r8>23</vt:r8>
  </property>
  <property fmtid="{D5CDD505-2E9C-101B-9397-08002B2CF9AE}" pid="17" name="Objective-VersionComment">
    <vt:lpwstr/>
  </property>
  <property fmtid="{D5CDD505-2E9C-101B-9397-08002B2CF9AE}" pid="18" name="Objective-FileNumber">
    <vt:lpwstr>SR/CH/26/11-3557</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ies>
</file>