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0257F" w14:textId="50A5272D" w:rsidR="00161868" w:rsidRPr="00161868" w:rsidRDefault="00161868" w:rsidP="00161868">
      <w:pPr>
        <w:jc w:val="center"/>
        <w:rPr>
          <w:b/>
          <w:bCs/>
          <w:sz w:val="32"/>
          <w:szCs w:val="32"/>
          <w:lang w:val="en-GB"/>
        </w:rPr>
      </w:pPr>
      <w:r w:rsidRPr="00161868">
        <w:rPr>
          <w:b/>
          <w:bCs/>
          <w:sz w:val="32"/>
          <w:szCs w:val="32"/>
          <w:lang w:val="en-GB"/>
        </w:rPr>
        <w:t>The Accessibility Fund</w:t>
      </w:r>
    </w:p>
    <w:p w14:paraId="3AA67536" w14:textId="553CCEDF" w:rsidR="00161868" w:rsidRPr="00161868" w:rsidRDefault="00161868" w:rsidP="00161868">
      <w:pPr>
        <w:jc w:val="center"/>
        <w:rPr>
          <w:b/>
          <w:bCs/>
          <w:sz w:val="32"/>
          <w:szCs w:val="32"/>
          <w:lang w:val="en-GB"/>
        </w:rPr>
      </w:pPr>
      <w:r w:rsidRPr="00161868">
        <w:rPr>
          <w:b/>
          <w:bCs/>
          <w:sz w:val="32"/>
          <w:szCs w:val="32"/>
          <w:lang w:val="en-GB"/>
        </w:rPr>
        <w:t>Accessibility Self-Assessment Glossary</w:t>
      </w:r>
    </w:p>
    <w:p w14:paraId="7BFB88FF" w14:textId="7E2993FC" w:rsidR="00161868" w:rsidRPr="00161868" w:rsidRDefault="00161868" w:rsidP="00161868">
      <w:pPr>
        <w:rPr>
          <w:lang w:val="en-GB"/>
        </w:rPr>
      </w:pPr>
      <w:r w:rsidRPr="00161868">
        <w:rPr>
          <w:lang w:val="en-GB"/>
        </w:rPr>
        <w:t xml:space="preserve">This document provides a glossary to </w:t>
      </w:r>
      <w:r w:rsidR="0027427C">
        <w:rPr>
          <w:lang w:val="en-GB"/>
        </w:rPr>
        <w:t>define</w:t>
      </w:r>
      <w:r w:rsidRPr="00161868">
        <w:rPr>
          <w:lang w:val="en-GB"/>
        </w:rPr>
        <w:t xml:space="preserve"> the technical terminology used in the self-assessment.</w:t>
      </w:r>
    </w:p>
    <w:p w14:paraId="1EEB7F0C" w14:textId="77777777" w:rsidR="00161868" w:rsidRPr="00A102CF" w:rsidRDefault="00161868" w:rsidP="00161868">
      <w:pPr>
        <w:rPr>
          <w:lang w:val="en-GB"/>
        </w:rPr>
      </w:pPr>
      <w:r w:rsidRPr="00A102CF">
        <w:rPr>
          <w:b/>
          <w:bCs/>
          <w:lang w:val="en-GB"/>
        </w:rPr>
        <w:t>Accessible building</w:t>
      </w:r>
      <w:r w:rsidRPr="00A102CF">
        <w:rPr>
          <w:lang w:val="en-GB"/>
        </w:rPr>
        <w:t xml:space="preserve"> – a building disabled people can use in the same way as anyone else. It must consider accessibility in context of a journey, including – </w:t>
      </w:r>
    </w:p>
    <w:p w14:paraId="4B75AE73" w14:textId="77777777" w:rsidR="00161868" w:rsidRPr="00A102CF" w:rsidRDefault="00161868" w:rsidP="00161868">
      <w:pPr>
        <w:pStyle w:val="ListParagraph"/>
        <w:numPr>
          <w:ilvl w:val="0"/>
          <w:numId w:val="37"/>
        </w:numPr>
        <w:rPr>
          <w:lang w:val="en-GB"/>
        </w:rPr>
      </w:pPr>
      <w:r w:rsidRPr="00A102CF">
        <w:rPr>
          <w:lang w:val="en-GB"/>
        </w:rPr>
        <w:t>the route to the building</w:t>
      </w:r>
    </w:p>
    <w:p w14:paraId="7CB2495D" w14:textId="77777777" w:rsidR="00161868" w:rsidRPr="00A102CF" w:rsidRDefault="00161868" w:rsidP="00161868">
      <w:pPr>
        <w:pStyle w:val="ListParagraph"/>
        <w:numPr>
          <w:ilvl w:val="0"/>
          <w:numId w:val="37"/>
        </w:numPr>
        <w:rPr>
          <w:lang w:val="en-GB"/>
        </w:rPr>
      </w:pPr>
      <w:r w:rsidRPr="00A102CF">
        <w:rPr>
          <w:lang w:val="en-GB"/>
        </w:rPr>
        <w:t>the route through the building</w:t>
      </w:r>
    </w:p>
    <w:p w14:paraId="5EB581F3" w14:textId="77777777" w:rsidR="00161868" w:rsidRPr="00A102CF" w:rsidRDefault="00161868" w:rsidP="00161868">
      <w:pPr>
        <w:pStyle w:val="ListParagraph"/>
        <w:numPr>
          <w:ilvl w:val="0"/>
          <w:numId w:val="37"/>
        </w:numPr>
        <w:rPr>
          <w:lang w:val="en-GB"/>
        </w:rPr>
      </w:pPr>
      <w:r w:rsidRPr="00A102CF">
        <w:rPr>
          <w:lang w:val="en-GB"/>
        </w:rPr>
        <w:t xml:space="preserve">the facilities within the building </w:t>
      </w:r>
    </w:p>
    <w:p w14:paraId="74472935" w14:textId="77777777" w:rsidR="00161868" w:rsidRPr="00A102CF" w:rsidRDefault="00161868" w:rsidP="00161868">
      <w:pPr>
        <w:rPr>
          <w:lang w:val="en-GB"/>
        </w:rPr>
      </w:pPr>
      <w:r w:rsidRPr="00A102CF">
        <w:rPr>
          <w:lang w:val="en-GB"/>
        </w:rPr>
        <w:t xml:space="preserve">You can find a complete list of the minimum requirements for accessible public buildings under </w:t>
      </w:r>
      <w:hyperlink r:id="rId8" w:history="1">
        <w:r w:rsidRPr="00A102CF">
          <w:rPr>
            <w:color w:val="0000FF" w:themeColor="hyperlink"/>
            <w:u w:val="single"/>
            <w:lang w:val="en-GB"/>
          </w:rPr>
          <w:t>New Zealand Standard 4121:2001</w:t>
        </w:r>
      </w:hyperlink>
      <w:r w:rsidRPr="00A102CF">
        <w:rPr>
          <w:lang w:val="en-GB"/>
        </w:rPr>
        <w:t>.</w:t>
      </w:r>
    </w:p>
    <w:p w14:paraId="6904BF9A" w14:textId="77777777" w:rsidR="00161868" w:rsidRPr="00A102CF" w:rsidRDefault="00161868" w:rsidP="00161868">
      <w:pPr>
        <w:rPr>
          <w:lang w:val="en-GB"/>
        </w:rPr>
      </w:pPr>
      <w:r w:rsidRPr="00A102CF">
        <w:rPr>
          <w:b/>
          <w:bCs/>
          <w:lang w:val="en-GB"/>
        </w:rPr>
        <w:t>Accessible entrance</w:t>
      </w:r>
      <w:r w:rsidRPr="00A102CF">
        <w:rPr>
          <w:lang w:val="en-GB"/>
        </w:rPr>
        <w:t xml:space="preserve"> – an entrance all disabled people can use. The design should have – </w:t>
      </w:r>
    </w:p>
    <w:p w14:paraId="76375FC4" w14:textId="77777777" w:rsidR="00161868" w:rsidRPr="00A102CF" w:rsidRDefault="00161868" w:rsidP="00161868">
      <w:pPr>
        <w:pStyle w:val="ListParagraph"/>
        <w:numPr>
          <w:ilvl w:val="0"/>
          <w:numId w:val="39"/>
        </w:numPr>
        <w:rPr>
          <w:lang w:val="en-GB"/>
        </w:rPr>
      </w:pPr>
      <w:r w:rsidRPr="00A102CF">
        <w:rPr>
          <w:lang w:val="en-GB"/>
        </w:rPr>
        <w:t>a level threshold with a minimum of 1200mm x 1200mm floor space both inside and outside the door</w:t>
      </w:r>
    </w:p>
    <w:p w14:paraId="4561E6D4" w14:textId="77777777" w:rsidR="00161868" w:rsidRPr="00A102CF" w:rsidRDefault="00161868" w:rsidP="00161868">
      <w:pPr>
        <w:pStyle w:val="ListParagraph"/>
        <w:numPr>
          <w:ilvl w:val="0"/>
          <w:numId w:val="39"/>
        </w:numPr>
        <w:rPr>
          <w:lang w:val="en-GB"/>
        </w:rPr>
      </w:pPr>
      <w:r w:rsidRPr="00A102CF">
        <w:rPr>
          <w:lang w:val="en-GB"/>
        </w:rPr>
        <w:t>sufficient lighting to highlight and illuminate an easily distinguished doorway</w:t>
      </w:r>
    </w:p>
    <w:p w14:paraId="57E119F9" w14:textId="77777777" w:rsidR="00161868" w:rsidRPr="00A102CF" w:rsidRDefault="00161868" w:rsidP="00161868">
      <w:pPr>
        <w:pStyle w:val="ListParagraph"/>
        <w:numPr>
          <w:ilvl w:val="0"/>
          <w:numId w:val="39"/>
        </w:numPr>
        <w:rPr>
          <w:lang w:val="en-GB"/>
        </w:rPr>
      </w:pPr>
      <w:r w:rsidRPr="00A102CF">
        <w:rPr>
          <w:lang w:val="en-GB"/>
        </w:rPr>
        <w:t>if the entrance has an automatic door, the door must remain open for a minimum of 5 seconds with a visual strip device on the moving glass edges</w:t>
      </w:r>
    </w:p>
    <w:p w14:paraId="71AE3FD1" w14:textId="77777777" w:rsidR="00161868" w:rsidRPr="00A102CF" w:rsidRDefault="00161868" w:rsidP="00161868">
      <w:pPr>
        <w:pStyle w:val="ListParagraph"/>
        <w:numPr>
          <w:ilvl w:val="0"/>
          <w:numId w:val="39"/>
        </w:numPr>
        <w:rPr>
          <w:lang w:val="en-GB"/>
        </w:rPr>
      </w:pPr>
      <w:r w:rsidRPr="00A102CF">
        <w:rPr>
          <w:lang w:val="en-GB"/>
        </w:rPr>
        <w:t>Glass doors must have visibility glazing to identify a potential safety hazard.</w:t>
      </w:r>
    </w:p>
    <w:p w14:paraId="44D33760" w14:textId="77777777" w:rsidR="00161868" w:rsidRPr="00A102CF" w:rsidRDefault="00161868" w:rsidP="00161868">
      <w:pPr>
        <w:rPr>
          <w:lang w:val="en-GB"/>
        </w:rPr>
      </w:pPr>
      <w:r w:rsidRPr="00A102CF">
        <w:rPr>
          <w:b/>
          <w:bCs/>
          <w:lang w:val="en-GB"/>
        </w:rPr>
        <w:t>Accessible parking</w:t>
      </w:r>
      <w:r w:rsidRPr="00A102CF">
        <w:rPr>
          <w:lang w:val="en-GB"/>
        </w:rPr>
        <w:t xml:space="preserve"> – parking space(s) designated to disabled people and labelled with the international symbol of access (ISA). These should be – </w:t>
      </w:r>
    </w:p>
    <w:p w14:paraId="760040DA" w14:textId="77777777" w:rsidR="00161868" w:rsidRPr="00A102CF" w:rsidRDefault="00161868" w:rsidP="00161868">
      <w:pPr>
        <w:pStyle w:val="ListParagraph"/>
        <w:numPr>
          <w:ilvl w:val="0"/>
          <w:numId w:val="38"/>
        </w:numPr>
        <w:rPr>
          <w:lang w:val="en-GB"/>
        </w:rPr>
      </w:pPr>
      <w:r w:rsidRPr="00A102CF">
        <w:rPr>
          <w:lang w:val="en-GB"/>
        </w:rPr>
        <w:t>positioned as close as possible to the building entrance</w:t>
      </w:r>
    </w:p>
    <w:p w14:paraId="02C4E961" w14:textId="77777777" w:rsidR="00161868" w:rsidRPr="00A102CF" w:rsidRDefault="00161868" w:rsidP="00161868">
      <w:pPr>
        <w:pStyle w:val="ListParagraph"/>
        <w:numPr>
          <w:ilvl w:val="0"/>
          <w:numId w:val="38"/>
        </w:numPr>
        <w:rPr>
          <w:lang w:val="en-GB"/>
        </w:rPr>
      </w:pPr>
      <w:r w:rsidRPr="00A102CF">
        <w:rPr>
          <w:lang w:val="en-GB"/>
        </w:rPr>
        <w:t>with an accessible route free of moving vehicles, so disabled people can safely access the building in the same way as anyone else.</w:t>
      </w:r>
    </w:p>
    <w:p w14:paraId="5739DD38" w14:textId="77777777" w:rsidR="00161868" w:rsidRPr="00A102CF" w:rsidRDefault="00161868" w:rsidP="00161868">
      <w:pPr>
        <w:rPr>
          <w:lang w:val="en-GB"/>
        </w:rPr>
      </w:pPr>
      <w:r w:rsidRPr="00A102CF">
        <w:rPr>
          <w:b/>
          <w:bCs/>
          <w:lang w:val="en-GB"/>
        </w:rPr>
        <w:t>Accessible signage</w:t>
      </w:r>
      <w:r w:rsidRPr="00A102CF">
        <w:rPr>
          <w:lang w:val="en-GB"/>
        </w:rPr>
        <w:t xml:space="preserve"> – signs that all clients can read and understand, whether by sight or touch. Examples include – </w:t>
      </w:r>
    </w:p>
    <w:p w14:paraId="61E882EA" w14:textId="77777777" w:rsidR="00161868" w:rsidRPr="00A102CF" w:rsidRDefault="00161868" w:rsidP="00161868">
      <w:pPr>
        <w:numPr>
          <w:ilvl w:val="0"/>
          <w:numId w:val="33"/>
        </w:numPr>
        <w:contextualSpacing/>
        <w:rPr>
          <w:lang w:val="en-GB"/>
        </w:rPr>
      </w:pPr>
      <w:r w:rsidRPr="00A102CF">
        <w:rPr>
          <w:lang w:val="en-GB"/>
        </w:rPr>
        <w:t xml:space="preserve">signs for lifts, toilets, counters, floor directions, considering low vision or blind users, and those with cognitive impairments. </w:t>
      </w:r>
    </w:p>
    <w:p w14:paraId="2FF3261F" w14:textId="77777777" w:rsidR="00161868" w:rsidRDefault="00161868" w:rsidP="00161868">
      <w:pPr>
        <w:rPr>
          <w:lang w:val="en-GB"/>
        </w:rPr>
      </w:pPr>
      <w:r w:rsidRPr="00A102CF">
        <w:rPr>
          <w:lang w:val="en-GB"/>
        </w:rPr>
        <w:t xml:space="preserve">The most accessible signs – </w:t>
      </w:r>
    </w:p>
    <w:p w14:paraId="1E0A484F" w14:textId="77777777" w:rsidR="00161868" w:rsidRPr="00A102CF" w:rsidRDefault="00161868" w:rsidP="00161868">
      <w:pPr>
        <w:pStyle w:val="ListParagraph"/>
        <w:numPr>
          <w:ilvl w:val="0"/>
          <w:numId w:val="33"/>
        </w:numPr>
        <w:rPr>
          <w:lang w:val="en-GB"/>
        </w:rPr>
      </w:pPr>
      <w:r w:rsidRPr="00A102CF">
        <w:rPr>
          <w:lang w:val="en-GB"/>
        </w:rPr>
        <w:lastRenderedPageBreak/>
        <w:t>use braille, large print, and embossed pictures</w:t>
      </w:r>
    </w:p>
    <w:p w14:paraId="0B84B866" w14:textId="77777777" w:rsidR="00161868" w:rsidRPr="00A102CF" w:rsidRDefault="00161868" w:rsidP="00161868">
      <w:pPr>
        <w:pStyle w:val="ListParagraph"/>
        <w:numPr>
          <w:ilvl w:val="0"/>
          <w:numId w:val="33"/>
        </w:numPr>
        <w:rPr>
          <w:lang w:val="en-GB"/>
        </w:rPr>
      </w:pPr>
      <w:r w:rsidRPr="00A102CF">
        <w:rPr>
          <w:lang w:val="en-GB"/>
        </w:rPr>
        <w:t>are positioned at appropriate heights.</w:t>
      </w:r>
    </w:p>
    <w:p w14:paraId="7DA2CF48" w14:textId="2B366E04" w:rsidR="00161868" w:rsidRPr="00A102CF" w:rsidRDefault="00161868" w:rsidP="00161868">
      <w:pPr>
        <w:rPr>
          <w:lang w:val="en-GB"/>
        </w:rPr>
      </w:pPr>
      <w:r w:rsidRPr="00A102CF">
        <w:rPr>
          <w:lang w:val="en-GB"/>
        </w:rPr>
        <w:t>Blind Low Vision NZ provides useful</w:t>
      </w:r>
      <w:r w:rsidR="003B2F11">
        <w:rPr>
          <w:lang w:val="en-GB"/>
        </w:rPr>
        <w:t xml:space="preserve"> </w:t>
      </w:r>
      <w:hyperlink r:id="rId9" w:history="1">
        <w:r w:rsidR="003B2F11" w:rsidRPr="003B2F11">
          <w:rPr>
            <w:rStyle w:val="Hyperlink"/>
            <w:lang w:val="en-GB"/>
          </w:rPr>
          <w:t>accessible signage guidelines</w:t>
        </w:r>
      </w:hyperlink>
      <w:r w:rsidR="003B2F11">
        <w:rPr>
          <w:lang w:val="en-GB"/>
        </w:rPr>
        <w:t>.</w:t>
      </w:r>
    </w:p>
    <w:p w14:paraId="69F70021" w14:textId="77777777" w:rsidR="00161868" w:rsidRPr="00A102CF" w:rsidRDefault="00161868" w:rsidP="00161868">
      <w:pPr>
        <w:rPr>
          <w:lang w:val="en-GB"/>
        </w:rPr>
      </w:pPr>
      <w:r w:rsidRPr="00A102CF">
        <w:rPr>
          <w:b/>
          <w:bCs/>
          <w:lang w:val="en-GB"/>
        </w:rPr>
        <w:t>Accessible social media</w:t>
      </w:r>
      <w:r w:rsidRPr="00A102CF">
        <w:rPr>
          <w:lang w:val="en-GB"/>
        </w:rPr>
        <w:t xml:space="preserve"> – inclusive and accessible social media posts include adding – </w:t>
      </w:r>
    </w:p>
    <w:p w14:paraId="43CCDF4F" w14:textId="77777777" w:rsidR="00161868" w:rsidRPr="00A102CF" w:rsidRDefault="00161868" w:rsidP="00161868">
      <w:pPr>
        <w:numPr>
          <w:ilvl w:val="0"/>
          <w:numId w:val="34"/>
        </w:numPr>
        <w:contextualSpacing/>
        <w:rPr>
          <w:lang w:val="en-GB"/>
        </w:rPr>
      </w:pPr>
      <w:r w:rsidRPr="00A102CF">
        <w:rPr>
          <w:lang w:val="en-GB"/>
        </w:rPr>
        <w:t>Alt Text to all posts containing an image</w:t>
      </w:r>
    </w:p>
    <w:p w14:paraId="259FB411" w14:textId="77777777" w:rsidR="00161868" w:rsidRPr="00A102CF" w:rsidRDefault="00161868" w:rsidP="00161868">
      <w:pPr>
        <w:numPr>
          <w:ilvl w:val="0"/>
          <w:numId w:val="34"/>
        </w:numPr>
        <w:contextualSpacing/>
        <w:rPr>
          <w:lang w:val="en-GB"/>
        </w:rPr>
      </w:pPr>
      <w:r w:rsidRPr="00A102CF">
        <w:rPr>
          <w:lang w:val="en-GB"/>
        </w:rPr>
        <w:t>image description</w:t>
      </w:r>
      <w:r>
        <w:rPr>
          <w:lang w:val="en-GB"/>
        </w:rPr>
        <w:t>s</w:t>
      </w:r>
      <w:r w:rsidRPr="00A102CF">
        <w:rPr>
          <w:lang w:val="en-GB"/>
        </w:rPr>
        <w:t xml:space="preserve"> to explain features, colours, patterns, clothing, and environments shown in pictures</w:t>
      </w:r>
    </w:p>
    <w:p w14:paraId="7ACBA5E5" w14:textId="77777777" w:rsidR="00161868" w:rsidRPr="00A102CF" w:rsidRDefault="00161868" w:rsidP="00161868">
      <w:pPr>
        <w:numPr>
          <w:ilvl w:val="0"/>
          <w:numId w:val="34"/>
        </w:numPr>
        <w:contextualSpacing/>
        <w:rPr>
          <w:lang w:val="en-GB"/>
        </w:rPr>
      </w:pPr>
      <w:r w:rsidRPr="00A102CF">
        <w:rPr>
          <w:lang w:val="en-GB"/>
        </w:rPr>
        <w:t>captions in video content and for gifs or memes</w:t>
      </w:r>
    </w:p>
    <w:p w14:paraId="71A84B75" w14:textId="77777777" w:rsidR="00161868" w:rsidRPr="00A102CF" w:rsidRDefault="00161868" w:rsidP="00161868">
      <w:pPr>
        <w:rPr>
          <w:lang w:val="en-GB"/>
        </w:rPr>
      </w:pPr>
      <w:r w:rsidRPr="00A102CF">
        <w:rPr>
          <w:lang w:val="en-GB"/>
        </w:rPr>
        <w:t xml:space="preserve">Making content accessible also includes – </w:t>
      </w:r>
    </w:p>
    <w:p w14:paraId="6063BEB7" w14:textId="77777777" w:rsidR="00161868" w:rsidRPr="00A102CF" w:rsidRDefault="00161868" w:rsidP="00161868">
      <w:pPr>
        <w:pStyle w:val="ListParagraph"/>
        <w:numPr>
          <w:ilvl w:val="0"/>
          <w:numId w:val="40"/>
        </w:numPr>
        <w:rPr>
          <w:lang w:val="en-GB"/>
        </w:rPr>
      </w:pPr>
      <w:r w:rsidRPr="00A102CF">
        <w:rPr>
          <w:lang w:val="en-GB"/>
        </w:rPr>
        <w:t>avoiding strobing and flashing lights</w:t>
      </w:r>
    </w:p>
    <w:p w14:paraId="6D984C04" w14:textId="77777777" w:rsidR="00161868" w:rsidRPr="00A102CF" w:rsidRDefault="00161868" w:rsidP="00161868">
      <w:pPr>
        <w:pStyle w:val="ListParagraph"/>
        <w:numPr>
          <w:ilvl w:val="0"/>
          <w:numId w:val="40"/>
        </w:numPr>
        <w:rPr>
          <w:lang w:val="en-GB"/>
        </w:rPr>
      </w:pPr>
      <w:r w:rsidRPr="00A102CF">
        <w:rPr>
          <w:lang w:val="en-GB"/>
        </w:rPr>
        <w:t>limiting emoji’s</w:t>
      </w:r>
    </w:p>
    <w:p w14:paraId="06A937FB" w14:textId="77777777" w:rsidR="00161868" w:rsidRPr="00A102CF" w:rsidRDefault="00161868" w:rsidP="00161868">
      <w:pPr>
        <w:pStyle w:val="ListParagraph"/>
        <w:numPr>
          <w:ilvl w:val="0"/>
          <w:numId w:val="40"/>
        </w:numPr>
        <w:rPr>
          <w:lang w:val="en-GB"/>
        </w:rPr>
      </w:pPr>
      <w:r w:rsidRPr="00A102CF">
        <w:rPr>
          <w:lang w:val="en-GB"/>
        </w:rPr>
        <w:t xml:space="preserve">using plain text and Camel Case for hashtags </w:t>
      </w:r>
    </w:p>
    <w:p w14:paraId="24D55BD9" w14:textId="77777777" w:rsidR="00161868" w:rsidRPr="00A102CF" w:rsidRDefault="00161868" w:rsidP="00161868">
      <w:pPr>
        <w:rPr>
          <w:lang w:val="en-GB"/>
        </w:rPr>
      </w:pPr>
      <w:r w:rsidRPr="00A102CF">
        <w:rPr>
          <w:b/>
          <w:bCs/>
          <w:lang w:val="en-GB"/>
        </w:rPr>
        <w:t xml:space="preserve">Accessible toilet </w:t>
      </w:r>
      <w:r w:rsidRPr="00A102CF">
        <w:rPr>
          <w:lang w:val="en-GB"/>
        </w:rPr>
        <w:t xml:space="preserve">– accessible toilets are designed so anyone can use them, with a larger floor space and internally designed so a disabled person can use them independently. </w:t>
      </w:r>
    </w:p>
    <w:p w14:paraId="28314822" w14:textId="77777777" w:rsidR="00161868" w:rsidRPr="00A102CF" w:rsidRDefault="00161868" w:rsidP="00161868">
      <w:pPr>
        <w:rPr>
          <w:lang w:val="en-GB"/>
        </w:rPr>
      </w:pPr>
      <w:r w:rsidRPr="00A102CF">
        <w:rPr>
          <w:lang w:val="en-GB"/>
        </w:rPr>
        <w:t xml:space="preserve">To be ‘accessible’, they require specific dimensions, such as – </w:t>
      </w:r>
    </w:p>
    <w:p w14:paraId="05A911F4" w14:textId="77777777" w:rsidR="00161868" w:rsidRPr="00A102CF" w:rsidRDefault="00161868" w:rsidP="00161868">
      <w:pPr>
        <w:numPr>
          <w:ilvl w:val="0"/>
          <w:numId w:val="35"/>
        </w:numPr>
        <w:contextualSpacing/>
        <w:rPr>
          <w:lang w:val="en-GB"/>
        </w:rPr>
      </w:pPr>
      <w:r w:rsidRPr="00A102CF">
        <w:rPr>
          <w:lang w:val="en-GB"/>
        </w:rPr>
        <w:t>a 760mm minimum toilet entrance</w:t>
      </w:r>
    </w:p>
    <w:p w14:paraId="422269B3" w14:textId="77777777" w:rsidR="00161868" w:rsidRPr="00A102CF" w:rsidRDefault="00161868" w:rsidP="00161868">
      <w:pPr>
        <w:numPr>
          <w:ilvl w:val="0"/>
          <w:numId w:val="35"/>
        </w:numPr>
        <w:contextualSpacing/>
        <w:rPr>
          <w:lang w:val="en-GB"/>
        </w:rPr>
      </w:pPr>
      <w:r w:rsidRPr="00A102CF">
        <w:rPr>
          <w:lang w:val="en-GB"/>
        </w:rPr>
        <w:t>a 1900mm by 1600mm minimum floor space inside</w:t>
      </w:r>
    </w:p>
    <w:p w14:paraId="3D3DCA60" w14:textId="77777777" w:rsidR="00161868" w:rsidRPr="00A102CF" w:rsidRDefault="00161868" w:rsidP="00161868">
      <w:pPr>
        <w:numPr>
          <w:ilvl w:val="0"/>
          <w:numId w:val="35"/>
        </w:numPr>
        <w:contextualSpacing/>
        <w:rPr>
          <w:lang w:val="en-GB"/>
        </w:rPr>
      </w:pPr>
      <w:r w:rsidRPr="00A102CF">
        <w:rPr>
          <w:lang w:val="en-GB"/>
        </w:rPr>
        <w:t>a 1500mm turning circle</w:t>
      </w:r>
    </w:p>
    <w:p w14:paraId="06899042" w14:textId="77777777" w:rsidR="00161868" w:rsidRPr="00A102CF" w:rsidRDefault="00161868" w:rsidP="00161868">
      <w:pPr>
        <w:numPr>
          <w:ilvl w:val="0"/>
          <w:numId w:val="35"/>
        </w:numPr>
        <w:contextualSpacing/>
        <w:rPr>
          <w:lang w:val="en-GB"/>
        </w:rPr>
      </w:pPr>
      <w:r w:rsidRPr="00A102CF">
        <w:rPr>
          <w:lang w:val="en-GB"/>
        </w:rPr>
        <w:t>a sink with a 760mm wide and 1200mm deep clear space in front of it</w:t>
      </w:r>
    </w:p>
    <w:p w14:paraId="666FDD1C" w14:textId="77777777" w:rsidR="00161868" w:rsidRPr="00A102CF" w:rsidRDefault="00161868" w:rsidP="00161868">
      <w:pPr>
        <w:numPr>
          <w:ilvl w:val="0"/>
          <w:numId w:val="35"/>
        </w:numPr>
        <w:contextualSpacing/>
        <w:rPr>
          <w:lang w:val="en-GB"/>
        </w:rPr>
      </w:pPr>
      <w:r w:rsidRPr="00A102CF">
        <w:rPr>
          <w:lang w:val="en-GB"/>
        </w:rPr>
        <w:t>taps with lever handles</w:t>
      </w:r>
    </w:p>
    <w:p w14:paraId="6C8270A8" w14:textId="77777777" w:rsidR="00161868" w:rsidRPr="00A102CF" w:rsidRDefault="00161868" w:rsidP="00161868">
      <w:pPr>
        <w:numPr>
          <w:ilvl w:val="0"/>
          <w:numId w:val="35"/>
        </w:numPr>
        <w:contextualSpacing/>
        <w:rPr>
          <w:lang w:val="en-GB"/>
        </w:rPr>
      </w:pPr>
      <w:r w:rsidRPr="00A102CF">
        <w:rPr>
          <w:lang w:val="en-GB"/>
        </w:rPr>
        <w:t xml:space="preserve">a </w:t>
      </w:r>
      <w:r>
        <w:rPr>
          <w:lang w:val="en-GB"/>
        </w:rPr>
        <w:t xml:space="preserve">fixed </w:t>
      </w:r>
      <w:r w:rsidRPr="00A102CF">
        <w:rPr>
          <w:lang w:val="en-GB"/>
        </w:rPr>
        <w:t>grab rail</w:t>
      </w:r>
    </w:p>
    <w:p w14:paraId="6328D60A" w14:textId="77777777" w:rsidR="00161868" w:rsidRPr="00A102CF" w:rsidRDefault="00161868" w:rsidP="00161868">
      <w:pPr>
        <w:numPr>
          <w:ilvl w:val="0"/>
          <w:numId w:val="35"/>
        </w:numPr>
        <w:contextualSpacing/>
        <w:rPr>
          <w:lang w:val="en-GB"/>
        </w:rPr>
      </w:pPr>
      <w:r w:rsidRPr="00A102CF">
        <w:rPr>
          <w:lang w:val="en-GB"/>
        </w:rPr>
        <w:t xml:space="preserve">slip-resistant flooring </w:t>
      </w:r>
    </w:p>
    <w:p w14:paraId="30A824F6" w14:textId="77777777" w:rsidR="00161868" w:rsidRPr="00A102CF" w:rsidRDefault="00161868" w:rsidP="00161868">
      <w:pPr>
        <w:rPr>
          <w:lang w:val="en-GB"/>
        </w:rPr>
      </w:pPr>
      <w:r w:rsidRPr="00A102CF">
        <w:rPr>
          <w:b/>
          <w:bCs/>
          <w:lang w:val="en-GB"/>
        </w:rPr>
        <w:t xml:space="preserve">Accessible website – </w:t>
      </w:r>
      <w:r w:rsidRPr="00A102CF">
        <w:rPr>
          <w:lang w:val="en-GB"/>
        </w:rPr>
        <w:t xml:space="preserve">a website which anyone can use. Accessible web content considers things like – </w:t>
      </w:r>
    </w:p>
    <w:p w14:paraId="3D9EB75A" w14:textId="77777777" w:rsidR="00161868" w:rsidRPr="00A102CF" w:rsidRDefault="00161868" w:rsidP="00161868">
      <w:pPr>
        <w:numPr>
          <w:ilvl w:val="0"/>
          <w:numId w:val="36"/>
        </w:numPr>
        <w:contextualSpacing/>
        <w:rPr>
          <w:lang w:val="en-GB"/>
        </w:rPr>
      </w:pPr>
      <w:r w:rsidRPr="00A102CF">
        <w:rPr>
          <w:lang w:val="en-GB"/>
        </w:rPr>
        <w:t>font size and colour</w:t>
      </w:r>
    </w:p>
    <w:p w14:paraId="0CECC433" w14:textId="77777777" w:rsidR="00161868" w:rsidRPr="00A102CF" w:rsidRDefault="00161868" w:rsidP="00161868">
      <w:pPr>
        <w:numPr>
          <w:ilvl w:val="0"/>
          <w:numId w:val="36"/>
        </w:numPr>
        <w:contextualSpacing/>
        <w:rPr>
          <w:lang w:val="en-GB"/>
        </w:rPr>
      </w:pPr>
      <w:r w:rsidRPr="00A102CF">
        <w:rPr>
          <w:lang w:val="en-GB"/>
        </w:rPr>
        <w:t>captioning</w:t>
      </w:r>
    </w:p>
    <w:p w14:paraId="722F9D75" w14:textId="77777777" w:rsidR="00161868" w:rsidRPr="00A102CF" w:rsidRDefault="00161868" w:rsidP="00161868">
      <w:pPr>
        <w:numPr>
          <w:ilvl w:val="0"/>
          <w:numId w:val="36"/>
        </w:numPr>
        <w:contextualSpacing/>
        <w:rPr>
          <w:lang w:val="en-GB"/>
        </w:rPr>
      </w:pPr>
      <w:r w:rsidRPr="00A102CF">
        <w:rPr>
          <w:lang w:val="en-GB"/>
        </w:rPr>
        <w:t>ease of navigation</w:t>
      </w:r>
    </w:p>
    <w:p w14:paraId="27B895E7" w14:textId="77777777" w:rsidR="00161868" w:rsidRPr="00A102CF" w:rsidRDefault="00161868" w:rsidP="00161868">
      <w:pPr>
        <w:numPr>
          <w:ilvl w:val="0"/>
          <w:numId w:val="36"/>
        </w:numPr>
        <w:contextualSpacing/>
        <w:rPr>
          <w:lang w:val="en-GB"/>
        </w:rPr>
      </w:pPr>
      <w:r w:rsidRPr="00A102CF">
        <w:rPr>
          <w:lang w:val="en-GB"/>
        </w:rPr>
        <w:t>text readability</w:t>
      </w:r>
    </w:p>
    <w:p w14:paraId="6F5B9742" w14:textId="77777777" w:rsidR="00161868" w:rsidRPr="00A102CF" w:rsidRDefault="00161868" w:rsidP="00161868">
      <w:pPr>
        <w:numPr>
          <w:ilvl w:val="0"/>
          <w:numId w:val="36"/>
        </w:numPr>
        <w:contextualSpacing/>
        <w:rPr>
          <w:lang w:val="en-GB"/>
        </w:rPr>
      </w:pPr>
      <w:r w:rsidRPr="00A102CF">
        <w:rPr>
          <w:lang w:val="en-GB"/>
        </w:rPr>
        <w:t>the types of devices disabled people use to interact with websites (assistive technologies)</w:t>
      </w:r>
    </w:p>
    <w:p w14:paraId="27C69EBD" w14:textId="77777777" w:rsidR="00161868" w:rsidRPr="00A102CF" w:rsidRDefault="00161868" w:rsidP="00161868">
      <w:pPr>
        <w:rPr>
          <w:lang w:val="en-GB"/>
        </w:rPr>
      </w:pPr>
      <w:r w:rsidRPr="00A102CF">
        <w:rPr>
          <w:lang w:val="en-GB"/>
        </w:rPr>
        <w:t xml:space="preserve">For more information, see </w:t>
      </w:r>
      <w:hyperlink r:id="rId10" w:history="1">
        <w:r w:rsidRPr="00A102CF">
          <w:rPr>
            <w:color w:val="0000FF" w:themeColor="hyperlink"/>
            <w:u w:val="single"/>
          </w:rPr>
          <w:t xml:space="preserve">What is </w:t>
        </w:r>
        <w:r w:rsidRPr="00A102CF">
          <w:rPr>
            <w:color w:val="0000FF" w:themeColor="hyperlink"/>
            <w:u w:val="single"/>
          </w:rPr>
          <w:t>w</w:t>
        </w:r>
        <w:r w:rsidRPr="00A102CF">
          <w:rPr>
            <w:color w:val="0000FF" w:themeColor="hyperlink"/>
            <w:u w:val="single"/>
          </w:rPr>
          <w:t>eb accessibility? — Web Accessibility Guidance project — NZ</w:t>
        </w:r>
        <w:r w:rsidRPr="00A102CF">
          <w:rPr>
            <w:color w:val="0000FF" w:themeColor="hyperlink"/>
            <w:u w:val="single"/>
          </w:rPr>
          <w:t xml:space="preserve"> </w:t>
        </w:r>
        <w:r w:rsidRPr="00A102CF">
          <w:rPr>
            <w:color w:val="0000FF" w:themeColor="hyperlink"/>
            <w:u w:val="single"/>
          </w:rPr>
          <w:t>Government (govtnz.github.io)</w:t>
        </w:r>
      </w:hyperlink>
    </w:p>
    <w:p w14:paraId="09C47189" w14:textId="77777777" w:rsidR="00161868" w:rsidRPr="00E413A8" w:rsidRDefault="00161868" w:rsidP="00161868">
      <w:pPr>
        <w:rPr>
          <w:lang w:val="en-GB"/>
        </w:rPr>
      </w:pPr>
      <w:r w:rsidRPr="00E413A8">
        <w:rPr>
          <w:lang w:val="en-GB"/>
        </w:rPr>
        <w:t xml:space="preserve">You can also check </w:t>
      </w:r>
      <w:hyperlink r:id="rId11" w:history="1">
        <w:r w:rsidRPr="00E413A8">
          <w:rPr>
            <w:rStyle w:val="Hyperlink"/>
            <w:lang w:val="en-GB"/>
          </w:rPr>
          <w:t>MSD’s Acc</w:t>
        </w:r>
        <w:r w:rsidRPr="00E413A8">
          <w:rPr>
            <w:rStyle w:val="Hyperlink"/>
            <w:lang w:val="en-GB"/>
          </w:rPr>
          <w:t>e</w:t>
        </w:r>
        <w:r w:rsidRPr="00E413A8">
          <w:rPr>
            <w:rStyle w:val="Hyperlink"/>
            <w:lang w:val="en-GB"/>
          </w:rPr>
          <w:t>ssibility Guide</w:t>
        </w:r>
      </w:hyperlink>
      <w:r w:rsidRPr="00E413A8">
        <w:rPr>
          <w:lang w:val="en-GB"/>
        </w:rPr>
        <w:t>.</w:t>
      </w:r>
    </w:p>
    <w:p w14:paraId="50444313" w14:textId="77777777" w:rsidR="00161868" w:rsidRPr="00A102CF" w:rsidRDefault="00161868" w:rsidP="00161868">
      <w:pPr>
        <w:rPr>
          <w:lang w:val="en-GB"/>
        </w:rPr>
      </w:pPr>
      <w:r w:rsidRPr="00A102CF">
        <w:rPr>
          <w:b/>
          <w:bCs/>
          <w:lang w:val="en-GB"/>
        </w:rPr>
        <w:lastRenderedPageBreak/>
        <w:t xml:space="preserve">Accessibility Checker – </w:t>
      </w:r>
      <w:r w:rsidRPr="00A102CF">
        <w:rPr>
          <w:lang w:val="en-GB"/>
        </w:rPr>
        <w:t xml:space="preserve">software to test the accessibility of documents or a website. E.g., </w:t>
      </w:r>
    </w:p>
    <w:p w14:paraId="65CE137B" w14:textId="77777777" w:rsidR="00161868" w:rsidRPr="00A102CF" w:rsidRDefault="003B2F11" w:rsidP="00161868">
      <w:pPr>
        <w:rPr>
          <w:lang w:val="en-GB"/>
        </w:rPr>
      </w:pPr>
      <w:hyperlink r:id="rId12" w:history="1">
        <w:r w:rsidR="00161868" w:rsidRPr="00A102CF">
          <w:rPr>
            <w:color w:val="0000FF" w:themeColor="hyperlink"/>
            <w:u w:val="single"/>
            <w:lang w:val="en-GB"/>
          </w:rPr>
          <w:t xml:space="preserve">Microsoft Accessibility </w:t>
        </w:r>
        <w:r w:rsidR="00161868" w:rsidRPr="00A102CF">
          <w:rPr>
            <w:color w:val="0000FF" w:themeColor="hyperlink"/>
            <w:u w:val="single"/>
            <w:lang w:val="en-GB"/>
          </w:rPr>
          <w:t>C</w:t>
        </w:r>
        <w:r w:rsidR="00161868" w:rsidRPr="00A102CF">
          <w:rPr>
            <w:color w:val="0000FF" w:themeColor="hyperlink"/>
            <w:u w:val="single"/>
            <w:lang w:val="en-GB"/>
          </w:rPr>
          <w:t>hecker</w:t>
        </w:r>
      </w:hyperlink>
    </w:p>
    <w:p w14:paraId="2DCE3EE2" w14:textId="77777777" w:rsidR="00161868" w:rsidRPr="00A102CF" w:rsidRDefault="003B2F11" w:rsidP="00161868">
      <w:pPr>
        <w:rPr>
          <w:lang w:val="en-GB"/>
        </w:rPr>
      </w:pPr>
      <w:hyperlink r:id="rId13" w:history="1">
        <w:r w:rsidR="00161868" w:rsidRPr="00A102CF">
          <w:rPr>
            <w:color w:val="0000FF" w:themeColor="hyperlink"/>
            <w:u w:val="single"/>
            <w:lang w:val="en-GB"/>
          </w:rPr>
          <w:t xml:space="preserve">WAVE – web accessibility evaluation </w:t>
        </w:r>
        <w:r w:rsidR="00161868" w:rsidRPr="00A102CF">
          <w:rPr>
            <w:color w:val="0000FF" w:themeColor="hyperlink"/>
            <w:u w:val="single"/>
            <w:lang w:val="en-GB"/>
          </w:rPr>
          <w:t>t</w:t>
        </w:r>
        <w:r w:rsidR="00161868" w:rsidRPr="00A102CF">
          <w:rPr>
            <w:color w:val="0000FF" w:themeColor="hyperlink"/>
            <w:u w:val="single"/>
            <w:lang w:val="en-GB"/>
          </w:rPr>
          <w:t>ool</w:t>
        </w:r>
      </w:hyperlink>
      <w:r w:rsidR="00161868" w:rsidRPr="00A102CF">
        <w:rPr>
          <w:lang w:val="en-GB"/>
        </w:rPr>
        <w:t xml:space="preserve"> </w:t>
      </w:r>
    </w:p>
    <w:p w14:paraId="5C4F3ED7" w14:textId="77777777" w:rsidR="00161868" w:rsidRPr="00A102CF" w:rsidRDefault="003B2F11" w:rsidP="00161868">
      <w:pPr>
        <w:rPr>
          <w:lang w:val="en-GB"/>
        </w:rPr>
      </w:pPr>
      <w:hyperlink r:id="rId14" w:history="1">
        <w:r w:rsidR="00161868" w:rsidRPr="00A102CF">
          <w:rPr>
            <w:color w:val="0000FF" w:themeColor="hyperlink"/>
            <w:u w:val="single"/>
            <w:lang w:val="en-GB"/>
          </w:rPr>
          <w:t>Accessibility Insights fo</w:t>
        </w:r>
        <w:r w:rsidR="00161868" w:rsidRPr="00A102CF">
          <w:rPr>
            <w:color w:val="0000FF" w:themeColor="hyperlink"/>
            <w:u w:val="single"/>
            <w:lang w:val="en-GB"/>
          </w:rPr>
          <w:t>r</w:t>
        </w:r>
        <w:r w:rsidR="00161868" w:rsidRPr="00A102CF">
          <w:rPr>
            <w:color w:val="0000FF" w:themeColor="hyperlink"/>
            <w:u w:val="single"/>
            <w:lang w:val="en-GB"/>
          </w:rPr>
          <w:t xml:space="preserve"> Web</w:t>
        </w:r>
      </w:hyperlink>
    </w:p>
    <w:p w14:paraId="672A96AB" w14:textId="77777777" w:rsidR="00161868" w:rsidRPr="00A102CF" w:rsidRDefault="003B2F11" w:rsidP="00161868">
      <w:pPr>
        <w:rPr>
          <w:lang w:val="en-GB"/>
        </w:rPr>
      </w:pPr>
      <w:hyperlink r:id="rId15" w:history="1">
        <w:r w:rsidR="00161868" w:rsidRPr="00A102CF">
          <w:rPr>
            <w:color w:val="0000FF" w:themeColor="hyperlink"/>
            <w:u w:val="single"/>
            <w:lang w:val="en-GB"/>
          </w:rPr>
          <w:t>ANDI – Accessibility Tes</w:t>
        </w:r>
        <w:r w:rsidR="00161868" w:rsidRPr="00A102CF">
          <w:rPr>
            <w:color w:val="0000FF" w:themeColor="hyperlink"/>
            <w:u w:val="single"/>
            <w:lang w:val="en-GB"/>
          </w:rPr>
          <w:t>t</w:t>
        </w:r>
        <w:r w:rsidR="00161868" w:rsidRPr="00A102CF">
          <w:rPr>
            <w:color w:val="0000FF" w:themeColor="hyperlink"/>
            <w:u w:val="single"/>
            <w:lang w:val="en-GB"/>
          </w:rPr>
          <w:t>ing Tool</w:t>
        </w:r>
      </w:hyperlink>
    </w:p>
    <w:p w14:paraId="67E312C8" w14:textId="77777777" w:rsidR="00161868" w:rsidRPr="00A102CF" w:rsidRDefault="00161868" w:rsidP="00161868">
      <w:pPr>
        <w:rPr>
          <w:lang w:val="en-GB"/>
        </w:rPr>
      </w:pPr>
      <w:r w:rsidRPr="00A102CF">
        <w:rPr>
          <w:b/>
          <w:bCs/>
          <w:lang w:val="en-GB"/>
        </w:rPr>
        <w:t xml:space="preserve">Alternate formats </w:t>
      </w:r>
      <w:r w:rsidRPr="00A102CF">
        <w:rPr>
          <w:lang w:val="en-GB"/>
        </w:rPr>
        <w:t xml:space="preserve">– Offering information in formats other than text provides disabled people with the same access as everyone else. </w:t>
      </w:r>
      <w:r>
        <w:rPr>
          <w:lang w:val="en-GB"/>
        </w:rPr>
        <w:t>Alternate formats i</w:t>
      </w:r>
      <w:r w:rsidRPr="00A102CF">
        <w:rPr>
          <w:lang w:val="en-GB"/>
        </w:rPr>
        <w:t xml:space="preserve">nclude – </w:t>
      </w:r>
    </w:p>
    <w:p w14:paraId="0D547BBE" w14:textId="77777777" w:rsidR="00161868" w:rsidRPr="00E413A8" w:rsidRDefault="00161868" w:rsidP="00161868">
      <w:pPr>
        <w:pStyle w:val="ListParagraph"/>
        <w:numPr>
          <w:ilvl w:val="0"/>
          <w:numId w:val="41"/>
        </w:numPr>
        <w:rPr>
          <w:lang w:val="en-GB"/>
        </w:rPr>
      </w:pPr>
      <w:r w:rsidRPr="00E413A8">
        <w:rPr>
          <w:lang w:val="en-GB"/>
        </w:rPr>
        <w:t>New Zealand Sign Language (NZSL)</w:t>
      </w:r>
    </w:p>
    <w:p w14:paraId="7D1BEFE0" w14:textId="77777777" w:rsidR="00161868" w:rsidRPr="00E413A8" w:rsidRDefault="00161868" w:rsidP="00161868">
      <w:pPr>
        <w:pStyle w:val="ListParagraph"/>
        <w:numPr>
          <w:ilvl w:val="0"/>
          <w:numId w:val="41"/>
        </w:numPr>
        <w:rPr>
          <w:lang w:val="en-GB"/>
        </w:rPr>
      </w:pPr>
      <w:r w:rsidRPr="00E413A8">
        <w:rPr>
          <w:lang w:val="en-GB"/>
        </w:rPr>
        <w:t>Easy Read</w:t>
      </w:r>
    </w:p>
    <w:p w14:paraId="33CE6BFF" w14:textId="77777777" w:rsidR="00161868" w:rsidRPr="00E413A8" w:rsidRDefault="00161868" w:rsidP="00161868">
      <w:pPr>
        <w:pStyle w:val="ListParagraph"/>
        <w:numPr>
          <w:ilvl w:val="0"/>
          <w:numId w:val="41"/>
        </w:numPr>
        <w:rPr>
          <w:lang w:val="en-GB"/>
        </w:rPr>
      </w:pPr>
      <w:r w:rsidRPr="00E413A8">
        <w:rPr>
          <w:lang w:val="en-GB"/>
        </w:rPr>
        <w:t>Audio</w:t>
      </w:r>
    </w:p>
    <w:p w14:paraId="1111E6CA" w14:textId="77777777" w:rsidR="00161868" w:rsidRPr="00E413A8" w:rsidRDefault="00161868" w:rsidP="00161868">
      <w:pPr>
        <w:pStyle w:val="ListParagraph"/>
        <w:numPr>
          <w:ilvl w:val="0"/>
          <w:numId w:val="41"/>
        </w:numPr>
        <w:rPr>
          <w:lang w:val="en-GB"/>
        </w:rPr>
      </w:pPr>
      <w:r w:rsidRPr="00E413A8">
        <w:rPr>
          <w:lang w:val="en-GB"/>
        </w:rPr>
        <w:t>Braille</w:t>
      </w:r>
    </w:p>
    <w:p w14:paraId="76CF7BFE" w14:textId="77777777" w:rsidR="00161868" w:rsidRPr="00E413A8" w:rsidRDefault="00161868" w:rsidP="00161868">
      <w:pPr>
        <w:pStyle w:val="ListParagraph"/>
        <w:numPr>
          <w:ilvl w:val="0"/>
          <w:numId w:val="41"/>
        </w:numPr>
        <w:rPr>
          <w:lang w:val="en-GB"/>
        </w:rPr>
      </w:pPr>
      <w:r w:rsidRPr="00E413A8">
        <w:rPr>
          <w:lang w:val="en-GB"/>
        </w:rPr>
        <w:t>large print</w:t>
      </w:r>
    </w:p>
    <w:p w14:paraId="10D4AA59" w14:textId="77777777" w:rsidR="00161868" w:rsidRPr="00E413A8" w:rsidRDefault="00161868" w:rsidP="00161868">
      <w:pPr>
        <w:pStyle w:val="ListParagraph"/>
        <w:numPr>
          <w:ilvl w:val="0"/>
          <w:numId w:val="41"/>
        </w:numPr>
        <w:rPr>
          <w:lang w:val="en-GB"/>
        </w:rPr>
      </w:pPr>
      <w:r w:rsidRPr="00E413A8">
        <w:rPr>
          <w:lang w:val="en-GB"/>
        </w:rPr>
        <w:t>pictures, photos, and symbols</w:t>
      </w:r>
    </w:p>
    <w:p w14:paraId="4997E189" w14:textId="77777777" w:rsidR="00161868" w:rsidRDefault="00161868" w:rsidP="00161868">
      <w:pPr>
        <w:rPr>
          <w:lang w:val="en-GB"/>
        </w:rPr>
      </w:pPr>
      <w:r w:rsidRPr="00FF6C60">
        <w:rPr>
          <w:b/>
          <w:bCs/>
          <w:lang w:val="en-GB"/>
        </w:rPr>
        <w:t>Continuous handrail</w:t>
      </w:r>
      <w:r>
        <w:rPr>
          <w:lang w:val="en-GB"/>
        </w:rPr>
        <w:t xml:space="preserve"> – A handrail/banister for support and guidance which is continuous with each flight of stairs. For commercial properties, there must also be two handrails on both sides of the stairs.</w:t>
      </w:r>
    </w:p>
    <w:p w14:paraId="62B4305D" w14:textId="77777777" w:rsidR="00161868" w:rsidRDefault="00161868" w:rsidP="00161868">
      <w:pPr>
        <w:rPr>
          <w:lang w:val="en-GB"/>
        </w:rPr>
      </w:pPr>
      <w:r>
        <w:rPr>
          <w:b/>
          <w:bCs/>
          <w:lang w:val="en-GB"/>
        </w:rPr>
        <w:t xml:space="preserve">Grab rail </w:t>
      </w:r>
      <w:r w:rsidRPr="00D3485D">
        <w:rPr>
          <w:lang w:val="en-GB"/>
        </w:rPr>
        <w:t>– a</w:t>
      </w:r>
      <w:r>
        <w:rPr>
          <w:lang w:val="en-GB"/>
        </w:rPr>
        <w:t xml:space="preserve"> rail to assist disabled people, or anyone who needs extra assistance with sitting</w:t>
      </w:r>
      <w:r w:rsidRPr="00AC1CB3">
        <w:rPr>
          <w:lang w:val="en-GB"/>
        </w:rPr>
        <w:t xml:space="preserve"> </w:t>
      </w:r>
      <w:r>
        <w:rPr>
          <w:lang w:val="en-GB"/>
        </w:rPr>
        <w:t xml:space="preserve">and standing. These are usually installed in the bathroom, but can be fitted anywhere around the building to provide support, such as isolated and external door entrances. </w:t>
      </w:r>
    </w:p>
    <w:p w14:paraId="35B059B2" w14:textId="77777777" w:rsidR="00161868" w:rsidRDefault="00161868" w:rsidP="00161868">
      <w:pPr>
        <w:rPr>
          <w:lang w:val="en-GB"/>
        </w:rPr>
      </w:pPr>
      <w:r w:rsidRPr="00325EF1">
        <w:rPr>
          <w:b/>
          <w:bCs/>
          <w:lang w:val="en-GB"/>
        </w:rPr>
        <w:t>Internal accessible route</w:t>
      </w:r>
      <w:r>
        <w:rPr>
          <w:lang w:val="en-GB"/>
        </w:rPr>
        <w:t xml:space="preserve"> – corridors / hallways inside the building which are the main access-way to the rooms, and have no obstructions such as internal steps. They must be – </w:t>
      </w:r>
    </w:p>
    <w:p w14:paraId="496DC972" w14:textId="77777777" w:rsidR="00161868" w:rsidRDefault="00161868" w:rsidP="00161868">
      <w:pPr>
        <w:pStyle w:val="ListParagraph"/>
        <w:numPr>
          <w:ilvl w:val="0"/>
          <w:numId w:val="42"/>
        </w:numPr>
        <w:rPr>
          <w:lang w:val="en-GB"/>
        </w:rPr>
      </w:pPr>
      <w:r w:rsidRPr="00652E71">
        <w:rPr>
          <w:lang w:val="en-GB"/>
        </w:rPr>
        <w:t>a minimum width of 1200mm</w:t>
      </w:r>
    </w:p>
    <w:p w14:paraId="13D5F4B5" w14:textId="77777777" w:rsidR="00161868" w:rsidRPr="00652E71" w:rsidRDefault="00161868" w:rsidP="00161868">
      <w:pPr>
        <w:pStyle w:val="ListParagraph"/>
        <w:numPr>
          <w:ilvl w:val="0"/>
          <w:numId w:val="42"/>
        </w:numPr>
        <w:rPr>
          <w:lang w:val="en-GB"/>
        </w:rPr>
      </w:pPr>
      <w:r w:rsidRPr="00652E71">
        <w:rPr>
          <w:lang w:val="en-GB"/>
        </w:rPr>
        <w:t xml:space="preserve">with </w:t>
      </w:r>
      <w:r>
        <w:rPr>
          <w:lang w:val="en-GB"/>
        </w:rPr>
        <w:t xml:space="preserve">a </w:t>
      </w:r>
      <w:r w:rsidRPr="00652E71">
        <w:rPr>
          <w:lang w:val="en-GB"/>
        </w:rPr>
        <w:t>recommended turning space of 1500mm</w:t>
      </w:r>
    </w:p>
    <w:p w14:paraId="12197283" w14:textId="77777777" w:rsidR="00161868" w:rsidRDefault="00161868" w:rsidP="00161868">
      <w:pPr>
        <w:rPr>
          <w:lang w:val="en-GB"/>
        </w:rPr>
      </w:pPr>
      <w:r w:rsidRPr="00FF6C60">
        <w:rPr>
          <w:b/>
          <w:bCs/>
          <w:lang w:val="en-GB"/>
        </w:rPr>
        <w:t>Level threshold</w:t>
      </w:r>
      <w:r>
        <w:rPr>
          <w:lang w:val="en-GB"/>
        </w:rPr>
        <w:t xml:space="preserve"> – an entry point without any raised edges for someone to have to step over. The surface outside the door must be the same height as inside the door.</w:t>
      </w:r>
    </w:p>
    <w:p w14:paraId="754ACC40" w14:textId="77777777" w:rsidR="00161868" w:rsidRDefault="00161868" w:rsidP="00161868">
      <w:pPr>
        <w:rPr>
          <w:lang w:val="en-GB"/>
        </w:rPr>
      </w:pPr>
      <w:r w:rsidRPr="00FF6C60">
        <w:rPr>
          <w:b/>
          <w:bCs/>
          <w:lang w:val="en-GB"/>
        </w:rPr>
        <w:t>Lever door handle</w:t>
      </w:r>
      <w:r>
        <w:rPr>
          <w:lang w:val="en-GB"/>
        </w:rPr>
        <w:t xml:space="preserve"> – door handles which are easier to manage as they do not require a twist or grip motion.</w:t>
      </w:r>
    </w:p>
    <w:p w14:paraId="518AAA16" w14:textId="77777777" w:rsidR="00161868" w:rsidRPr="00897622" w:rsidRDefault="00161868" w:rsidP="00161868">
      <w:pPr>
        <w:rPr>
          <w:lang w:val="en-GB"/>
        </w:rPr>
      </w:pPr>
      <w:r w:rsidRPr="00FF6C60">
        <w:rPr>
          <w:b/>
          <w:bCs/>
          <w:lang w:val="en-GB"/>
        </w:rPr>
        <w:t>Manoeuvring space</w:t>
      </w:r>
      <w:r w:rsidRPr="00BE6DB9">
        <w:rPr>
          <w:lang w:val="en-GB"/>
        </w:rPr>
        <w:t xml:space="preserve"> – </w:t>
      </w:r>
      <w:r>
        <w:rPr>
          <w:lang w:val="en-GB"/>
        </w:rPr>
        <w:t xml:space="preserve">a </w:t>
      </w:r>
      <w:r w:rsidRPr="0093645A">
        <w:rPr>
          <w:b/>
          <w:bCs/>
          <w:lang w:val="en-GB"/>
        </w:rPr>
        <w:t>minimum</w:t>
      </w:r>
      <w:r>
        <w:rPr>
          <w:lang w:val="en-GB"/>
        </w:rPr>
        <w:t xml:space="preserve"> 1200mm by 1200mm but </w:t>
      </w:r>
      <w:r>
        <w:rPr>
          <w:b/>
          <w:bCs/>
          <w:lang w:val="en-GB"/>
        </w:rPr>
        <w:t xml:space="preserve">preferred </w:t>
      </w:r>
      <w:r>
        <w:rPr>
          <w:lang w:val="en-GB"/>
        </w:rPr>
        <w:t xml:space="preserve">1500mm by 1500mm (or greater) clear floor </w:t>
      </w:r>
      <w:r w:rsidRPr="0028319D">
        <w:rPr>
          <w:lang w:val="en-GB"/>
        </w:rPr>
        <w:t>space</w:t>
      </w:r>
      <w:r>
        <w:rPr>
          <w:b/>
          <w:bCs/>
          <w:lang w:val="en-GB"/>
        </w:rPr>
        <w:t xml:space="preserve"> </w:t>
      </w:r>
      <w:r>
        <w:rPr>
          <w:lang w:val="en-GB"/>
        </w:rPr>
        <w:t xml:space="preserve">providing sufficient </w:t>
      </w:r>
      <w:r>
        <w:rPr>
          <w:lang w:val="en-GB"/>
        </w:rPr>
        <w:lastRenderedPageBreak/>
        <w:t>room for wheelchairs, walkers, and other mobility aids to access built environments.</w:t>
      </w:r>
    </w:p>
    <w:p w14:paraId="4FABEB21" w14:textId="77777777" w:rsidR="00161868" w:rsidRDefault="00161868" w:rsidP="00161868">
      <w:pPr>
        <w:rPr>
          <w:lang w:val="en-GB"/>
        </w:rPr>
      </w:pPr>
      <w:r>
        <w:rPr>
          <w:b/>
          <w:bCs/>
          <w:lang w:val="en-GB"/>
        </w:rPr>
        <w:t>New Zealand relay services</w:t>
      </w:r>
      <w:r>
        <w:rPr>
          <w:lang w:val="en-GB"/>
        </w:rPr>
        <w:t xml:space="preserve"> – a free government-funded service which provides support for people who are Deaf, Deafblind, hard of hearing, and speech impaired. Services include video interpreters and relay assistants, enabling people with hearing and speech impairments to use the phone.</w:t>
      </w:r>
    </w:p>
    <w:p w14:paraId="1168225D" w14:textId="77777777" w:rsidR="00161868" w:rsidRDefault="00161868" w:rsidP="00161868">
      <w:pPr>
        <w:rPr>
          <w:lang w:val="en-GB"/>
        </w:rPr>
      </w:pPr>
      <w:r w:rsidRPr="009B0657">
        <w:rPr>
          <w:b/>
          <w:bCs/>
          <w:lang w:val="en-GB"/>
        </w:rPr>
        <w:t>Sensory overload</w:t>
      </w:r>
      <w:r>
        <w:rPr>
          <w:lang w:val="en-GB"/>
        </w:rPr>
        <w:t xml:space="preserve"> – is when your five senses – light, sounds, taste, touch, and smell – take in more than your brain can process. Sensory overload can be triggered by – </w:t>
      </w:r>
    </w:p>
    <w:p w14:paraId="62FB074D" w14:textId="77777777" w:rsidR="00161868" w:rsidRDefault="00161868" w:rsidP="00161868">
      <w:pPr>
        <w:pStyle w:val="ListParagraph"/>
        <w:numPr>
          <w:ilvl w:val="0"/>
          <w:numId w:val="43"/>
        </w:numPr>
        <w:rPr>
          <w:lang w:val="en-GB"/>
        </w:rPr>
      </w:pPr>
      <w:r w:rsidRPr="008E4017">
        <w:rPr>
          <w:lang w:val="en-GB"/>
        </w:rPr>
        <w:t>tightly packed spaces</w:t>
      </w:r>
    </w:p>
    <w:p w14:paraId="5353F3AE" w14:textId="77777777" w:rsidR="00161868" w:rsidRDefault="00161868" w:rsidP="00161868">
      <w:pPr>
        <w:pStyle w:val="ListParagraph"/>
        <w:numPr>
          <w:ilvl w:val="0"/>
          <w:numId w:val="43"/>
        </w:numPr>
        <w:rPr>
          <w:lang w:val="en-GB"/>
        </w:rPr>
      </w:pPr>
      <w:r w:rsidRPr="008E4017">
        <w:rPr>
          <w:lang w:val="en-GB"/>
        </w:rPr>
        <w:t>large crowds</w:t>
      </w:r>
    </w:p>
    <w:p w14:paraId="56B84AD4" w14:textId="77777777" w:rsidR="00161868" w:rsidRDefault="00161868" w:rsidP="00161868">
      <w:pPr>
        <w:pStyle w:val="ListParagraph"/>
        <w:numPr>
          <w:ilvl w:val="0"/>
          <w:numId w:val="43"/>
        </w:numPr>
        <w:rPr>
          <w:lang w:val="en-GB"/>
        </w:rPr>
      </w:pPr>
      <w:r w:rsidRPr="008E4017">
        <w:rPr>
          <w:lang w:val="en-GB"/>
        </w:rPr>
        <w:t>bright lights</w:t>
      </w:r>
    </w:p>
    <w:p w14:paraId="771B8114" w14:textId="77777777" w:rsidR="00161868" w:rsidRDefault="00161868" w:rsidP="00161868">
      <w:pPr>
        <w:pStyle w:val="ListParagraph"/>
        <w:numPr>
          <w:ilvl w:val="0"/>
          <w:numId w:val="43"/>
        </w:numPr>
        <w:rPr>
          <w:lang w:val="en-GB"/>
        </w:rPr>
      </w:pPr>
      <w:r w:rsidRPr="008E4017">
        <w:rPr>
          <w:lang w:val="en-GB"/>
        </w:rPr>
        <w:t xml:space="preserve">garish busy patterns and colours </w:t>
      </w:r>
    </w:p>
    <w:p w14:paraId="7533C2D7" w14:textId="77777777" w:rsidR="00161868" w:rsidRPr="008E4017" w:rsidRDefault="00161868" w:rsidP="00161868">
      <w:pPr>
        <w:rPr>
          <w:lang w:val="en-GB"/>
        </w:rPr>
      </w:pPr>
      <w:r w:rsidRPr="008E4017">
        <w:rPr>
          <w:lang w:val="en-GB"/>
        </w:rPr>
        <w:t>Experiencing sensory overload can lead to physical symptoms like anxiety, dizziness, confusion, feeling overwhelmed, agitation, and restlessness. It is commonly experienced by people who are hyper-sensitive (feel things too much) and often effects people with Autism, Foetal Alcohol Spectrum Disorder (FASD), ADHD, and PTSD.</w:t>
      </w:r>
    </w:p>
    <w:p w14:paraId="5DC6A592" w14:textId="6D68EB71" w:rsidR="00161868" w:rsidRPr="00E60A07" w:rsidRDefault="00161868" w:rsidP="00161868">
      <w:pPr>
        <w:rPr>
          <w:lang w:val="en-GB"/>
        </w:rPr>
      </w:pPr>
      <w:r w:rsidRPr="00FF6C60">
        <w:rPr>
          <w:b/>
          <w:bCs/>
          <w:lang w:val="en-GB"/>
        </w:rPr>
        <w:t xml:space="preserve">Slip-resistant </w:t>
      </w:r>
      <w:r w:rsidR="000A5E04">
        <w:rPr>
          <w:b/>
          <w:bCs/>
          <w:lang w:val="en-GB"/>
        </w:rPr>
        <w:t>flooring</w:t>
      </w:r>
      <w:r>
        <w:rPr>
          <w:lang w:val="en-GB"/>
        </w:rPr>
        <w:t xml:space="preserve"> – floor surfaces specifically designed to reduce and prevent slips, trips, and falls. The main types of materials used for slip-resistant flooring provide more ‘grip’.</w:t>
      </w:r>
    </w:p>
    <w:p w14:paraId="28CAA86F" w14:textId="77777777" w:rsidR="00161868" w:rsidRPr="006018E9" w:rsidRDefault="00161868" w:rsidP="00161868">
      <w:pPr>
        <w:rPr>
          <w:lang w:val="en-GB"/>
        </w:rPr>
      </w:pPr>
      <w:r>
        <w:rPr>
          <w:b/>
          <w:bCs/>
          <w:lang w:val="en-GB"/>
        </w:rPr>
        <w:t xml:space="preserve">Wet area bathroom – </w:t>
      </w:r>
      <w:r>
        <w:rPr>
          <w:lang w:val="en-GB"/>
        </w:rPr>
        <w:t>a waterproofed bathroom with an open shower area at the same level as the rest of the floor.</w:t>
      </w:r>
    </w:p>
    <w:p w14:paraId="01AC6E5D" w14:textId="77777777" w:rsidR="00161868" w:rsidRDefault="00161868" w:rsidP="00161868">
      <w:pPr>
        <w:rPr>
          <w:lang w:val="en-GB"/>
        </w:rPr>
      </w:pPr>
      <w:r w:rsidRPr="00FF6C60">
        <w:rPr>
          <w:b/>
          <w:bCs/>
          <w:lang w:val="en-GB"/>
        </w:rPr>
        <w:t>Wheelchair turning space</w:t>
      </w:r>
      <w:r>
        <w:rPr>
          <w:b/>
          <w:bCs/>
          <w:lang w:val="en-GB"/>
        </w:rPr>
        <w:t>/Turning circle</w:t>
      </w:r>
      <w:r>
        <w:rPr>
          <w:lang w:val="en-GB"/>
        </w:rPr>
        <w:t xml:space="preserve"> – a space in which a wheelchair can make a 90 degree turn without obstruction. The space must be at least 1500mm by 1500mm.</w:t>
      </w:r>
      <w:r w:rsidRPr="0028319D">
        <w:rPr>
          <w:i/>
          <w:iCs/>
          <w:lang w:val="en-GB"/>
        </w:rPr>
        <w:t xml:space="preserve"> </w:t>
      </w:r>
      <w:r>
        <w:rPr>
          <w:i/>
          <w:iCs/>
          <w:lang w:val="en-GB"/>
        </w:rPr>
        <w:t>Note: Inward opening doors can only be effective if they allow for a turning circle.</w:t>
      </w:r>
    </w:p>
    <w:p w14:paraId="4F129690" w14:textId="77777777" w:rsidR="00161868" w:rsidRDefault="00161868" w:rsidP="00161868">
      <w:pPr>
        <w:rPr>
          <w:lang w:val="en-GB"/>
        </w:rPr>
      </w:pPr>
    </w:p>
    <w:p w14:paraId="1726F5AC" w14:textId="77777777" w:rsidR="00161868" w:rsidRDefault="00161868" w:rsidP="00161868">
      <w:pPr>
        <w:rPr>
          <w:lang w:val="en-GB"/>
        </w:rPr>
      </w:pPr>
    </w:p>
    <w:p w14:paraId="46EFDC0F" w14:textId="77777777" w:rsidR="00F829F6" w:rsidRPr="00F113EF" w:rsidRDefault="00F829F6" w:rsidP="00F113EF"/>
    <w:sectPr w:rsidR="00F829F6" w:rsidRPr="00F113EF">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03B0" w14:textId="77777777" w:rsidR="001E3027" w:rsidRDefault="001E3027" w:rsidP="00161868">
      <w:pPr>
        <w:spacing w:after="0" w:line="240" w:lineRule="auto"/>
      </w:pPr>
      <w:r>
        <w:separator/>
      </w:r>
    </w:p>
  </w:endnote>
  <w:endnote w:type="continuationSeparator" w:id="0">
    <w:p w14:paraId="68F60708" w14:textId="77777777" w:rsidR="001E3027" w:rsidRDefault="001E3027" w:rsidP="0016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17FD" w14:textId="77777777" w:rsidR="001E3027" w:rsidRDefault="001E3027" w:rsidP="00161868">
      <w:pPr>
        <w:spacing w:after="0" w:line="240" w:lineRule="auto"/>
      </w:pPr>
      <w:r>
        <w:separator/>
      </w:r>
    </w:p>
  </w:footnote>
  <w:footnote w:type="continuationSeparator" w:id="0">
    <w:p w14:paraId="4981DBA1" w14:textId="77777777" w:rsidR="001E3027" w:rsidRDefault="001E3027" w:rsidP="00161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E9FD" w14:textId="67172786" w:rsidR="00161868" w:rsidRDefault="00161868">
    <w:pPr>
      <w:pStyle w:val="Header"/>
    </w:pPr>
    <w:r>
      <w:rPr>
        <w:noProof/>
        <w14:ligatures w14:val="standardContextual"/>
      </w:rPr>
      <mc:AlternateContent>
        <mc:Choice Requires="wps">
          <w:drawing>
            <wp:anchor distT="0" distB="0" distL="0" distR="0" simplePos="0" relativeHeight="251659264" behindDoc="0" locked="0" layoutInCell="1" allowOverlap="1" wp14:anchorId="7E543B75" wp14:editId="40F33E99">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6D6EED" w14:textId="2D4536CB"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43B75"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C6D6EED" w14:textId="2D4536CB"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EA58" w14:textId="5297804C" w:rsidR="00161868" w:rsidRDefault="00ED78D5">
    <w:pPr>
      <w:pStyle w:val="Header"/>
    </w:pPr>
    <w:r w:rsidRPr="006D79B8">
      <w:rPr>
        <w:noProof/>
        <w:color w:val="0000FF"/>
        <w:sz w:val="18"/>
        <w:lang w:eastAsia="en-NZ"/>
      </w:rPr>
      <w:drawing>
        <wp:anchor distT="0" distB="0" distL="114300" distR="114300" simplePos="0" relativeHeight="251661312" behindDoc="0" locked="0" layoutInCell="1" allowOverlap="1" wp14:anchorId="1921C70B" wp14:editId="6A53A0EB">
          <wp:simplePos x="0" y="0"/>
          <wp:positionH relativeFrom="column">
            <wp:posOffset>4265438</wp:posOffset>
          </wp:positionH>
          <wp:positionV relativeFrom="paragraph">
            <wp:posOffset>-175267</wp:posOffset>
          </wp:positionV>
          <wp:extent cx="1943100" cy="493395"/>
          <wp:effectExtent l="0" t="0" r="0" b="1905"/>
          <wp:wrapSquare wrapText="bothSides"/>
          <wp:docPr id="4" name="Picture 4" descr="Ministry of Social Development. ">
            <a:hlinkClick xmlns:a="http://schemas.openxmlformats.org/drawingml/2006/main" r:id="rId1" tooltip="&quot;Go to the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Social Development. ">
                    <a:hlinkClick r:id="rId1" tooltip="&quot;Go to the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7795" w14:textId="585D3498" w:rsidR="00161868" w:rsidRDefault="00161868">
    <w:pPr>
      <w:pStyle w:val="Header"/>
    </w:pPr>
    <w:r>
      <w:rPr>
        <w:noProof/>
        <w14:ligatures w14:val="standardContextual"/>
      </w:rPr>
      <mc:AlternateContent>
        <mc:Choice Requires="wps">
          <w:drawing>
            <wp:anchor distT="0" distB="0" distL="0" distR="0" simplePos="0" relativeHeight="251658240" behindDoc="0" locked="0" layoutInCell="1" allowOverlap="1" wp14:anchorId="0AB78882" wp14:editId="3A581946">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9F638" w14:textId="78F7ABEA"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78882"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2C9F638" w14:textId="78F7ABEA" w:rsidR="00161868" w:rsidRPr="00161868" w:rsidRDefault="00161868" w:rsidP="00161868">
                    <w:pPr>
                      <w:spacing w:after="0"/>
                      <w:rPr>
                        <w:rFonts w:ascii="Calibri" w:hAnsi="Calibri" w:cs="Calibri"/>
                        <w:noProof/>
                        <w:color w:val="000000"/>
                        <w:sz w:val="20"/>
                        <w:szCs w:val="20"/>
                      </w:rPr>
                    </w:pPr>
                    <w:r w:rsidRPr="00161868">
                      <w:rPr>
                        <w:rFonts w:ascii="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511E50"/>
    <w:multiLevelType w:val="hybridMultilevel"/>
    <w:tmpl w:val="4560E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BB7C02"/>
    <w:multiLevelType w:val="hybridMultilevel"/>
    <w:tmpl w:val="B574B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C2E21AF"/>
    <w:multiLevelType w:val="hybridMultilevel"/>
    <w:tmpl w:val="F6245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C502F4"/>
    <w:multiLevelType w:val="hybridMultilevel"/>
    <w:tmpl w:val="F55A15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617514D"/>
    <w:multiLevelType w:val="hybridMultilevel"/>
    <w:tmpl w:val="844E2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0B1676"/>
    <w:multiLevelType w:val="hybridMultilevel"/>
    <w:tmpl w:val="DC8694A8"/>
    <w:name w:val="CabNumeri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CE4CC7"/>
    <w:multiLevelType w:val="hybridMultilevel"/>
    <w:tmpl w:val="CCB6F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FA3F93"/>
    <w:multiLevelType w:val="hybridMultilevel"/>
    <w:tmpl w:val="4ECA12DC"/>
    <w:name w:val="CabNumeric222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C753B0F"/>
    <w:multiLevelType w:val="hybridMultilevel"/>
    <w:tmpl w:val="DF660734"/>
    <w:name w:val="CabNumeric22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834EAE"/>
    <w:multiLevelType w:val="hybridMultilevel"/>
    <w:tmpl w:val="4B64C5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9092F88"/>
    <w:multiLevelType w:val="hybridMultilevel"/>
    <w:tmpl w:val="5BA89EBE"/>
    <w:name w:val="CabNumeric2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820511597">
    <w:abstractNumId w:val="19"/>
  </w:num>
  <w:num w:numId="2" w16cid:durableId="2868577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6386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197926">
    <w:abstractNumId w:val="16"/>
  </w:num>
  <w:num w:numId="5" w16cid:durableId="1905793086">
    <w:abstractNumId w:val="9"/>
  </w:num>
  <w:num w:numId="6" w16cid:durableId="1061439223">
    <w:abstractNumId w:val="7"/>
  </w:num>
  <w:num w:numId="7" w16cid:durableId="639964133">
    <w:abstractNumId w:val="30"/>
  </w:num>
  <w:num w:numId="8" w16cid:durableId="66355800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124181">
    <w:abstractNumId w:val="9"/>
  </w:num>
  <w:num w:numId="10" w16cid:durableId="129059771">
    <w:abstractNumId w:val="13"/>
  </w:num>
  <w:num w:numId="11" w16cid:durableId="1142967120">
    <w:abstractNumId w:val="13"/>
  </w:num>
  <w:num w:numId="12" w16cid:durableId="702632775">
    <w:abstractNumId w:val="9"/>
  </w:num>
  <w:num w:numId="13" w16cid:durableId="1807621789">
    <w:abstractNumId w:val="10"/>
  </w:num>
  <w:num w:numId="14" w16cid:durableId="215747287">
    <w:abstractNumId w:val="22"/>
  </w:num>
  <w:num w:numId="15" w16cid:durableId="1272127134">
    <w:abstractNumId w:val="14"/>
  </w:num>
  <w:num w:numId="16" w16cid:durableId="919873714">
    <w:abstractNumId w:val="6"/>
  </w:num>
  <w:num w:numId="17" w16cid:durableId="2010479248">
    <w:abstractNumId w:val="5"/>
  </w:num>
  <w:num w:numId="18" w16cid:durableId="762605245">
    <w:abstractNumId w:val="4"/>
  </w:num>
  <w:num w:numId="19" w16cid:durableId="1754234335">
    <w:abstractNumId w:val="8"/>
  </w:num>
  <w:num w:numId="20" w16cid:durableId="438915116">
    <w:abstractNumId w:val="3"/>
  </w:num>
  <w:num w:numId="21" w16cid:durableId="562908920">
    <w:abstractNumId w:val="2"/>
  </w:num>
  <w:num w:numId="22" w16cid:durableId="1737850048">
    <w:abstractNumId w:val="1"/>
  </w:num>
  <w:num w:numId="23" w16cid:durableId="850873799">
    <w:abstractNumId w:val="0"/>
  </w:num>
  <w:num w:numId="24" w16cid:durableId="1418483573">
    <w:abstractNumId w:val="18"/>
  </w:num>
  <w:num w:numId="25" w16cid:durableId="438333497">
    <w:abstractNumId w:val="33"/>
  </w:num>
  <w:num w:numId="26" w16cid:durableId="1320692959">
    <w:abstractNumId w:val="35"/>
  </w:num>
  <w:num w:numId="27" w16cid:durableId="859783860">
    <w:abstractNumId w:val="31"/>
  </w:num>
  <w:num w:numId="28" w16cid:durableId="1492214383">
    <w:abstractNumId w:val="20"/>
  </w:num>
  <w:num w:numId="29" w16cid:durableId="2145004813">
    <w:abstractNumId w:val="12"/>
  </w:num>
  <w:num w:numId="30" w16cid:durableId="555701411">
    <w:abstractNumId w:val="21"/>
  </w:num>
  <w:num w:numId="31" w16cid:durableId="1079248810">
    <w:abstractNumId w:val="36"/>
  </w:num>
  <w:num w:numId="32" w16cid:durableId="812067691">
    <w:abstractNumId w:val="26"/>
  </w:num>
  <w:num w:numId="33" w16cid:durableId="295182114">
    <w:abstractNumId w:val="15"/>
  </w:num>
  <w:num w:numId="34" w16cid:durableId="270475556">
    <w:abstractNumId w:val="27"/>
  </w:num>
  <w:num w:numId="35" w16cid:durableId="452212709">
    <w:abstractNumId w:val="23"/>
  </w:num>
  <w:num w:numId="36" w16cid:durableId="282657693">
    <w:abstractNumId w:val="17"/>
  </w:num>
  <w:num w:numId="37" w16cid:durableId="1294945636">
    <w:abstractNumId w:val="11"/>
  </w:num>
  <w:num w:numId="38" w16cid:durableId="1182428613">
    <w:abstractNumId w:val="25"/>
  </w:num>
  <w:num w:numId="39" w16cid:durableId="1546481284">
    <w:abstractNumId w:val="37"/>
  </w:num>
  <w:num w:numId="40" w16cid:durableId="316153280">
    <w:abstractNumId w:val="32"/>
  </w:num>
  <w:num w:numId="41" w16cid:durableId="107430586">
    <w:abstractNumId w:val="28"/>
  </w:num>
  <w:num w:numId="42" w16cid:durableId="477460994">
    <w:abstractNumId w:val="34"/>
  </w:num>
  <w:num w:numId="43" w16cid:durableId="18558049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68"/>
    <w:rsid w:val="00000B4C"/>
    <w:rsid w:val="00005BBE"/>
    <w:rsid w:val="000106D0"/>
    <w:rsid w:val="00034336"/>
    <w:rsid w:val="00037CB0"/>
    <w:rsid w:val="000A576B"/>
    <w:rsid w:val="000A5E04"/>
    <w:rsid w:val="000B46F9"/>
    <w:rsid w:val="000E3BB9"/>
    <w:rsid w:val="00106AED"/>
    <w:rsid w:val="00161868"/>
    <w:rsid w:val="001D3744"/>
    <w:rsid w:val="001E3027"/>
    <w:rsid w:val="00213DA6"/>
    <w:rsid w:val="00216302"/>
    <w:rsid w:val="00236D2D"/>
    <w:rsid w:val="00245A2B"/>
    <w:rsid w:val="0027427C"/>
    <w:rsid w:val="002D1C62"/>
    <w:rsid w:val="002D367B"/>
    <w:rsid w:val="00354EC2"/>
    <w:rsid w:val="00397220"/>
    <w:rsid w:val="003B0A38"/>
    <w:rsid w:val="003B2F11"/>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B92B97"/>
    <w:rsid w:val="00C503A7"/>
    <w:rsid w:val="00C5215F"/>
    <w:rsid w:val="00CB4A28"/>
    <w:rsid w:val="00D34EA0"/>
    <w:rsid w:val="00DD6907"/>
    <w:rsid w:val="00DD7526"/>
    <w:rsid w:val="00E51799"/>
    <w:rsid w:val="00E671C3"/>
    <w:rsid w:val="00E90142"/>
    <w:rsid w:val="00E9269E"/>
    <w:rsid w:val="00EC1C7B"/>
    <w:rsid w:val="00ED78D5"/>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9B8E"/>
  <w15:chartTrackingRefBased/>
  <w15:docId w15:val="{8FC88AE3-3ACF-468E-8602-4746A603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68"/>
    <w:pPr>
      <w:spacing w:after="120" w:line="288" w:lineRule="auto"/>
    </w:pPr>
    <w:rPr>
      <w:rFonts w:ascii="Verdana" w:hAnsi="Verdana" w:cs="Arial"/>
      <w:kern w:val="0"/>
      <w:sz w:val="24"/>
      <w:szCs w:val="22"/>
      <w14:ligatures w14:val="none"/>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161868"/>
    <w:rPr>
      <w:color w:val="0000FF" w:themeColor="hyperlink"/>
      <w:u w:val="single"/>
    </w:rPr>
  </w:style>
  <w:style w:type="paragraph" w:styleId="Header">
    <w:name w:val="header"/>
    <w:basedOn w:val="Normal"/>
    <w:link w:val="HeaderChar"/>
    <w:uiPriority w:val="99"/>
    <w:unhideWhenUsed/>
    <w:rsid w:val="00161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868"/>
    <w:rPr>
      <w:rFonts w:ascii="Verdana" w:hAnsi="Verdana" w:cs="Arial"/>
      <w:kern w:val="0"/>
      <w:sz w:val="24"/>
      <w:szCs w:val="22"/>
      <w14:ligatures w14:val="none"/>
    </w:rPr>
  </w:style>
  <w:style w:type="character" w:styleId="UnresolvedMention">
    <w:name w:val="Unresolved Mention"/>
    <w:basedOn w:val="DefaultParagraphFont"/>
    <w:uiPriority w:val="99"/>
    <w:semiHidden/>
    <w:unhideWhenUsed/>
    <w:rsid w:val="003B2F11"/>
    <w:rPr>
      <w:color w:val="605E5C"/>
      <w:shd w:val="clear" w:color="auto" w:fill="E1DFDD"/>
    </w:rPr>
  </w:style>
  <w:style w:type="character" w:styleId="FollowedHyperlink">
    <w:name w:val="FollowedHyperlink"/>
    <w:basedOn w:val="DefaultParagraphFont"/>
    <w:uiPriority w:val="99"/>
    <w:semiHidden/>
    <w:unhideWhenUsed/>
    <w:rsid w:val="003B2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govt.nz/shop/nzs-41212001/" TargetMode="External"/><Relationship Id="rId13" Type="http://schemas.openxmlformats.org/officeDocument/2006/relationships/hyperlink" Target="https://wave.webaim.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microsoft.com/en-us/office/improve-accessibility-with-the-accessibility-checker-a16f6de0-2f39-4a2b-8bd8-5ad801426c7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msd.govt.nz%2Fdocuments%2Fabout-msd-and-our-work%2Fwork-programmes%2Faccessibility%2Faccessibility-guide-2021-3edition.docx&amp;wdOrigin=BROWSELINK" TargetMode="External"/><Relationship Id="rId5" Type="http://schemas.openxmlformats.org/officeDocument/2006/relationships/webSettings" Target="webSettings.xml"/><Relationship Id="rId15" Type="http://schemas.openxmlformats.org/officeDocument/2006/relationships/hyperlink" Target="https://www.ssa.gov/accessibility/andi/help/install.html" TargetMode="External"/><Relationship Id="rId10" Type="http://schemas.openxmlformats.org/officeDocument/2006/relationships/hyperlink" Target="https://govtnz.github.io/web-a11y-guidance/ka/fundamental-concepts-in-web-a11y/what-is-web-a11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indlowvision.org.nz/resources/accessibility-guidelines/accessible-signage-and-spaces/" TargetMode="External"/><Relationship Id="rId14" Type="http://schemas.openxmlformats.org/officeDocument/2006/relationships/hyperlink" Target="https://accessibilityinsights.io/docs/web/overview/"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ms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1058</Words>
  <Characters>6036</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Morris</dc:creator>
  <cp:keywords/>
  <dc:description/>
  <cp:lastModifiedBy>Alex Morris</cp:lastModifiedBy>
  <cp:revision>3</cp:revision>
  <dcterms:created xsi:type="dcterms:W3CDTF">2024-06-20T02:24:00Z</dcterms:created>
  <dcterms:modified xsi:type="dcterms:W3CDTF">2024-06-20T23:36:00Z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2024-06-07T02:56:36Z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a35998e7-97b0-417c-b39e-a824a304c09b</vt:lpwstr>
  </property>
  <property fmtid="{D5CDD505-2E9C-101B-9397-08002B2CF9AE}" pid="11" name="MSIP_Label_f43e46a9-9901-46e9-bfae-bb6189d4cb66_ContentBits">
    <vt:lpwstr>1</vt:lpwstr>
  </property>
</Properties>
</file>