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F6" w:rsidRPr="00BB2790" w:rsidRDefault="00FD7AB1" w:rsidP="00FD7AB1">
      <w:pPr>
        <w:pStyle w:val="Heading2"/>
        <w:rPr>
          <w:rFonts w:ascii="Verdana" w:hAnsi="Verdana"/>
        </w:rPr>
      </w:pPr>
      <w:r w:rsidRPr="00BB2790">
        <w:rPr>
          <w:rFonts w:ascii="Verdana" w:hAnsi="Verdana"/>
        </w:rPr>
        <w:t xml:space="preserve">Safe to </w:t>
      </w:r>
      <w:r w:rsidR="00BB2790">
        <w:rPr>
          <w:rFonts w:ascii="Verdana" w:hAnsi="Verdana"/>
        </w:rPr>
        <w:t>t</w:t>
      </w:r>
      <w:r w:rsidRPr="00BB2790">
        <w:rPr>
          <w:rFonts w:ascii="Verdana" w:hAnsi="Verdana"/>
        </w:rPr>
        <w:t>alk Dashboard Guid</w:t>
      </w:r>
      <w:r w:rsidR="00BB2790">
        <w:rPr>
          <w:rFonts w:ascii="Verdana" w:hAnsi="Verdana"/>
        </w:rPr>
        <w:t>e – November 2018</w:t>
      </w:r>
      <w:r w:rsidRPr="00BB2790">
        <w:rPr>
          <w:rFonts w:ascii="Verdana" w:hAnsi="Verdana"/>
        </w:rPr>
        <w:t xml:space="preserve"> </w:t>
      </w:r>
    </w:p>
    <w:p w:rsidR="00FD7AB1" w:rsidRPr="00BB2790" w:rsidRDefault="00FD7AB1" w:rsidP="00FD7AB1">
      <w:pPr>
        <w:rPr>
          <w:rFonts w:ascii="Verdana" w:hAnsi="Verdana"/>
          <w:sz w:val="20"/>
        </w:rPr>
      </w:pPr>
      <w:r w:rsidRPr="00BB2790">
        <w:rPr>
          <w:rFonts w:ascii="Verdana" w:hAnsi="Verdana"/>
          <w:sz w:val="20"/>
        </w:rPr>
        <w:t xml:space="preserve">The Safe to talk </w:t>
      </w:r>
      <w:r w:rsidR="00BB2790">
        <w:rPr>
          <w:rFonts w:ascii="Verdana" w:hAnsi="Verdana"/>
          <w:sz w:val="20"/>
        </w:rPr>
        <w:t>D</w:t>
      </w:r>
      <w:r w:rsidRPr="00BB2790">
        <w:rPr>
          <w:rFonts w:ascii="Verdana" w:hAnsi="Verdana"/>
          <w:sz w:val="20"/>
        </w:rPr>
        <w:t xml:space="preserve">ashboard provides an overview of the helpline, the people contacting it, </w:t>
      </w:r>
      <w:r w:rsidR="000F7BBA" w:rsidRPr="00BB2790">
        <w:rPr>
          <w:rFonts w:ascii="Verdana" w:hAnsi="Verdana"/>
          <w:sz w:val="20"/>
        </w:rPr>
        <w:t xml:space="preserve">and </w:t>
      </w:r>
      <w:r w:rsidRPr="00BB2790">
        <w:rPr>
          <w:rFonts w:ascii="Verdana" w:hAnsi="Verdana"/>
          <w:sz w:val="20"/>
        </w:rPr>
        <w:t xml:space="preserve">what </w:t>
      </w:r>
      <w:r w:rsidR="000F7BBA" w:rsidRPr="00BB2790">
        <w:rPr>
          <w:rFonts w:ascii="Verdana" w:hAnsi="Verdana"/>
          <w:sz w:val="20"/>
        </w:rPr>
        <w:t>information/support they</w:t>
      </w:r>
      <w:r w:rsidRPr="00BB2790">
        <w:rPr>
          <w:rFonts w:ascii="Verdana" w:hAnsi="Verdana"/>
          <w:sz w:val="20"/>
        </w:rPr>
        <w:t xml:space="preserve"> were </w:t>
      </w:r>
      <w:r w:rsidR="00BB2790">
        <w:rPr>
          <w:rFonts w:ascii="Verdana" w:hAnsi="Verdana"/>
          <w:sz w:val="20"/>
        </w:rPr>
        <w:t>seeking</w:t>
      </w:r>
      <w:r w:rsidRPr="00BB2790">
        <w:rPr>
          <w:rFonts w:ascii="Verdana" w:hAnsi="Verdana"/>
          <w:sz w:val="20"/>
        </w:rPr>
        <w:t>.</w:t>
      </w:r>
    </w:p>
    <w:p w:rsidR="00FD7AB1" w:rsidRPr="00BB2790" w:rsidRDefault="00FD7AB1" w:rsidP="00FD7AB1">
      <w:pPr>
        <w:rPr>
          <w:rFonts w:ascii="Verdana" w:hAnsi="Verdana"/>
          <w:sz w:val="20"/>
        </w:rPr>
      </w:pPr>
      <w:r w:rsidRPr="00BB2790">
        <w:rPr>
          <w:rFonts w:ascii="Verdana" w:hAnsi="Verdana"/>
          <w:sz w:val="20"/>
        </w:rPr>
        <w:t xml:space="preserve">Below is a guide to help interpret the </w:t>
      </w:r>
      <w:r w:rsidR="00D737B2" w:rsidRPr="00BB2790">
        <w:rPr>
          <w:rFonts w:ascii="Verdana" w:hAnsi="Verdana"/>
          <w:sz w:val="20"/>
        </w:rPr>
        <w:t>data for Safe to talk</w:t>
      </w:r>
      <w:r w:rsidRPr="00BB2790">
        <w:rPr>
          <w:rFonts w:ascii="Verdana" w:hAnsi="Verdana"/>
          <w:sz w:val="20"/>
        </w:rPr>
        <w:t xml:space="preserve"> and provide clarification on what some of the topics and labels might mean.</w:t>
      </w:r>
      <w:r w:rsidR="000F7BBA" w:rsidRPr="00BB2790">
        <w:rPr>
          <w:rFonts w:ascii="Verdana" w:hAnsi="Verdana"/>
          <w:sz w:val="20"/>
        </w:rPr>
        <w:t xml:space="preserve"> The Ministry of Social Development is continuing to work with Homecare Medical to refine the dashboard and how it is presented. Labels and headings may change on future Dashboards.</w:t>
      </w:r>
    </w:p>
    <w:p w:rsidR="00FD7AB1" w:rsidRPr="00793917" w:rsidRDefault="00FD7AB1" w:rsidP="00FD7AB1">
      <w:pPr>
        <w:pStyle w:val="Heading3"/>
        <w:numPr>
          <w:ilvl w:val="0"/>
          <w:numId w:val="34"/>
        </w:numPr>
        <w:rPr>
          <w:rFonts w:ascii="Verdana" w:hAnsi="Verdana"/>
          <w:sz w:val="22"/>
          <w:szCs w:val="22"/>
        </w:rPr>
      </w:pPr>
      <w:r w:rsidRPr="00793917">
        <w:rPr>
          <w:rFonts w:ascii="Verdana" w:hAnsi="Verdana"/>
          <w:sz w:val="22"/>
          <w:szCs w:val="22"/>
        </w:rPr>
        <w:t>Total contacts</w:t>
      </w:r>
    </w:p>
    <w:p w:rsidR="00FD7AB1" w:rsidRPr="00BB2790" w:rsidRDefault="00FD7AB1" w:rsidP="00FD7AB1">
      <w:pPr>
        <w:rPr>
          <w:rFonts w:ascii="Verdana" w:hAnsi="Verdana"/>
          <w:sz w:val="20"/>
        </w:rPr>
      </w:pPr>
      <w:r w:rsidRPr="00BB2790">
        <w:rPr>
          <w:rFonts w:ascii="Verdana" w:hAnsi="Verdana"/>
          <w:sz w:val="20"/>
        </w:rPr>
        <w:t xml:space="preserve">This is the total number of unique contacts Safe to talk has received since going live on 19 February 2018. </w:t>
      </w:r>
    </w:p>
    <w:p w:rsidR="00FD7AB1" w:rsidRPr="00793917" w:rsidRDefault="00FD7AB1" w:rsidP="00FD7AB1">
      <w:pPr>
        <w:pStyle w:val="Heading3"/>
        <w:numPr>
          <w:ilvl w:val="0"/>
          <w:numId w:val="34"/>
        </w:numPr>
        <w:rPr>
          <w:rFonts w:ascii="Verdana" w:hAnsi="Verdana"/>
          <w:sz w:val="22"/>
          <w:szCs w:val="22"/>
        </w:rPr>
      </w:pPr>
      <w:r w:rsidRPr="00793917">
        <w:rPr>
          <w:rFonts w:ascii="Verdana" w:hAnsi="Verdana"/>
          <w:sz w:val="22"/>
          <w:szCs w:val="22"/>
        </w:rPr>
        <w:t>Total service users</w:t>
      </w:r>
    </w:p>
    <w:p w:rsidR="00FD7AB1" w:rsidRPr="00BB2790" w:rsidRDefault="00FD7AB1" w:rsidP="00FD7AB1">
      <w:pPr>
        <w:rPr>
          <w:rFonts w:ascii="Verdana" w:hAnsi="Verdana"/>
          <w:sz w:val="20"/>
        </w:rPr>
      </w:pPr>
      <w:r w:rsidRPr="00BB2790">
        <w:rPr>
          <w:rFonts w:ascii="Verdana" w:hAnsi="Verdana"/>
          <w:sz w:val="20"/>
        </w:rPr>
        <w:t>This is the total number of individual users that have contacted Sa</w:t>
      </w:r>
      <w:r w:rsidR="0024556E" w:rsidRPr="00BB2790">
        <w:rPr>
          <w:rFonts w:ascii="Verdana" w:hAnsi="Verdana"/>
          <w:sz w:val="20"/>
        </w:rPr>
        <w:t xml:space="preserve">fe to talk </w:t>
      </w:r>
      <w:r w:rsidR="000F7BBA" w:rsidRPr="00BB2790">
        <w:rPr>
          <w:rFonts w:ascii="Verdana" w:hAnsi="Verdana"/>
          <w:sz w:val="20"/>
        </w:rPr>
        <w:t>(</w:t>
      </w:r>
      <w:r w:rsidR="0024556E" w:rsidRPr="00BB2790">
        <w:rPr>
          <w:rFonts w:ascii="Verdana" w:hAnsi="Verdana"/>
          <w:sz w:val="20"/>
        </w:rPr>
        <w:t>where</w:t>
      </w:r>
      <w:r w:rsidR="000F7BBA" w:rsidRPr="00BB2790">
        <w:rPr>
          <w:rFonts w:ascii="Verdana" w:hAnsi="Verdana"/>
          <w:sz w:val="20"/>
        </w:rPr>
        <w:t xml:space="preserve"> they can be identified)</w:t>
      </w:r>
      <w:r w:rsidR="0024556E" w:rsidRPr="00BB2790">
        <w:rPr>
          <w:rFonts w:ascii="Verdana" w:hAnsi="Verdana"/>
          <w:sz w:val="20"/>
        </w:rPr>
        <w:t xml:space="preserve"> since going live on 19 February 2018.</w:t>
      </w:r>
    </w:p>
    <w:p w:rsidR="0024556E" w:rsidRPr="00793917" w:rsidRDefault="0024556E" w:rsidP="0024556E">
      <w:pPr>
        <w:pStyle w:val="Heading3"/>
        <w:numPr>
          <w:ilvl w:val="0"/>
          <w:numId w:val="34"/>
        </w:numPr>
        <w:rPr>
          <w:rFonts w:ascii="Verdana" w:hAnsi="Verdana"/>
          <w:sz w:val="22"/>
          <w:szCs w:val="22"/>
        </w:rPr>
      </w:pPr>
      <w:r w:rsidRPr="00793917">
        <w:rPr>
          <w:rFonts w:ascii="Verdana" w:hAnsi="Verdana"/>
          <w:sz w:val="22"/>
          <w:szCs w:val="22"/>
        </w:rPr>
        <w:t>Contact volume – Safe to talk</w:t>
      </w:r>
    </w:p>
    <w:p w:rsidR="0024556E" w:rsidRPr="00BB2790" w:rsidRDefault="0024556E" w:rsidP="0024556E">
      <w:pPr>
        <w:rPr>
          <w:rFonts w:ascii="Verdana" w:hAnsi="Verdana"/>
          <w:sz w:val="20"/>
        </w:rPr>
      </w:pPr>
      <w:r w:rsidRPr="00BB2790">
        <w:rPr>
          <w:rFonts w:ascii="Verdana" w:hAnsi="Verdana"/>
          <w:sz w:val="20"/>
        </w:rPr>
        <w:t>This provides a timeline of the contact volume received by Safe to talk since going live on 19 February 2018. The graph also breaks down the data into what communication channel the user contacted Safe to talk on.</w:t>
      </w:r>
    </w:p>
    <w:p w:rsidR="0024556E" w:rsidRPr="00BB2790" w:rsidRDefault="0024556E" w:rsidP="0024556E">
      <w:pPr>
        <w:rPr>
          <w:rFonts w:ascii="Verdana" w:hAnsi="Verdana"/>
          <w:sz w:val="20"/>
        </w:rPr>
      </w:pPr>
      <w:r w:rsidRPr="00BB2790">
        <w:rPr>
          <w:rFonts w:ascii="Verdana" w:hAnsi="Verdana"/>
          <w:b/>
          <w:sz w:val="20"/>
        </w:rPr>
        <w:t>Note</w:t>
      </w:r>
      <w:r w:rsidR="00860BBB" w:rsidRPr="00BB2790">
        <w:rPr>
          <w:rFonts w:ascii="Verdana" w:hAnsi="Verdana"/>
          <w:b/>
          <w:sz w:val="20"/>
        </w:rPr>
        <w:t>:</w:t>
      </w:r>
      <w:r w:rsidRPr="00BB2790">
        <w:rPr>
          <w:rFonts w:ascii="Verdana" w:hAnsi="Verdana"/>
          <w:sz w:val="20"/>
        </w:rPr>
        <w:t xml:space="preserve"> Safe to talk originally went live in the Canterbu</w:t>
      </w:r>
      <w:r w:rsidR="004B4CF1" w:rsidRPr="00BB2790">
        <w:rPr>
          <w:rFonts w:ascii="Verdana" w:hAnsi="Verdana"/>
          <w:sz w:val="20"/>
        </w:rPr>
        <w:t>ry region on 19 February 2018</w:t>
      </w:r>
      <w:r w:rsidRPr="00BB2790">
        <w:rPr>
          <w:rFonts w:ascii="Verdana" w:hAnsi="Verdana"/>
          <w:sz w:val="20"/>
        </w:rPr>
        <w:t xml:space="preserve">. Safe to talk went live nationally </w:t>
      </w:r>
      <w:r w:rsidR="00BB2790" w:rsidRPr="00BB2790">
        <w:rPr>
          <w:rFonts w:ascii="Verdana" w:hAnsi="Verdana"/>
          <w:sz w:val="20"/>
        </w:rPr>
        <w:t>on</w:t>
      </w:r>
      <w:r w:rsidRPr="00BB2790">
        <w:rPr>
          <w:rFonts w:ascii="Verdana" w:hAnsi="Verdana"/>
          <w:sz w:val="20"/>
        </w:rPr>
        <w:t xml:space="preserve"> 16 April 2018 and a formal launch event was held on 1 June 2018.</w:t>
      </w:r>
    </w:p>
    <w:p w:rsidR="00860BBB" w:rsidRPr="00793917" w:rsidRDefault="00860BBB" w:rsidP="00860BBB">
      <w:pPr>
        <w:pStyle w:val="Heading3"/>
        <w:numPr>
          <w:ilvl w:val="0"/>
          <w:numId w:val="34"/>
        </w:numPr>
        <w:rPr>
          <w:rFonts w:ascii="Verdana" w:hAnsi="Verdana"/>
          <w:sz w:val="22"/>
          <w:szCs w:val="22"/>
        </w:rPr>
      </w:pPr>
      <w:r w:rsidRPr="00793917">
        <w:rPr>
          <w:rFonts w:ascii="Verdana" w:hAnsi="Verdana"/>
          <w:sz w:val="22"/>
          <w:szCs w:val="22"/>
        </w:rPr>
        <w:t>Ethnicity</w:t>
      </w:r>
    </w:p>
    <w:p w:rsidR="00860BBB" w:rsidRPr="00BB2790" w:rsidRDefault="00860BBB" w:rsidP="00860BBB">
      <w:pPr>
        <w:rPr>
          <w:rFonts w:ascii="Verdana" w:hAnsi="Verdana"/>
          <w:sz w:val="20"/>
        </w:rPr>
      </w:pPr>
      <w:r w:rsidRPr="00BB2790">
        <w:rPr>
          <w:rFonts w:ascii="Verdana" w:hAnsi="Verdana"/>
          <w:sz w:val="20"/>
        </w:rPr>
        <w:t>This relat</w:t>
      </w:r>
      <w:r w:rsidR="00D737B2" w:rsidRPr="00BB2790">
        <w:rPr>
          <w:rFonts w:ascii="Verdana" w:hAnsi="Verdana"/>
          <w:sz w:val="20"/>
        </w:rPr>
        <w:t xml:space="preserve">es to the ethnicity of the </w:t>
      </w:r>
      <w:r w:rsidR="00BB2790" w:rsidRPr="00BB2790">
        <w:rPr>
          <w:rFonts w:ascii="Verdana" w:hAnsi="Verdana"/>
          <w:sz w:val="20"/>
        </w:rPr>
        <w:t>person</w:t>
      </w:r>
      <w:r w:rsidR="00D737B2" w:rsidRPr="00BB2790">
        <w:rPr>
          <w:rFonts w:ascii="Verdana" w:hAnsi="Verdana"/>
          <w:sz w:val="20"/>
        </w:rPr>
        <w:t xml:space="preserve">, if reported </w:t>
      </w:r>
      <w:r w:rsidR="004B4CF1" w:rsidRPr="00BB2790">
        <w:rPr>
          <w:rFonts w:ascii="Verdana" w:hAnsi="Verdana"/>
          <w:sz w:val="20"/>
        </w:rPr>
        <w:t>to Safe to talk</w:t>
      </w:r>
      <w:r w:rsidR="006A5CE2" w:rsidRPr="00BB2790">
        <w:rPr>
          <w:rFonts w:ascii="Verdana" w:hAnsi="Verdana"/>
          <w:sz w:val="20"/>
        </w:rPr>
        <w:t>. Ethnicity information was provided by 30</w:t>
      </w:r>
      <w:r w:rsidR="00BB2790" w:rsidRPr="00BB2790">
        <w:rPr>
          <w:rFonts w:ascii="Verdana" w:hAnsi="Verdana"/>
          <w:sz w:val="20"/>
        </w:rPr>
        <w:t xml:space="preserve"> percent</w:t>
      </w:r>
      <w:r w:rsidR="006A5CE2" w:rsidRPr="00BB2790">
        <w:rPr>
          <w:rFonts w:ascii="Verdana" w:hAnsi="Verdana"/>
          <w:sz w:val="20"/>
        </w:rPr>
        <w:t xml:space="preserve"> of users from July to September 2018.</w:t>
      </w:r>
    </w:p>
    <w:p w:rsidR="00860BBB" w:rsidRPr="00793917" w:rsidRDefault="00860BBB" w:rsidP="00860BBB">
      <w:pPr>
        <w:pStyle w:val="Heading3"/>
        <w:numPr>
          <w:ilvl w:val="0"/>
          <w:numId w:val="34"/>
        </w:numPr>
        <w:rPr>
          <w:rFonts w:ascii="Verdana" w:hAnsi="Verdana"/>
          <w:sz w:val="22"/>
          <w:szCs w:val="22"/>
        </w:rPr>
      </w:pPr>
      <w:r w:rsidRPr="00793917">
        <w:rPr>
          <w:rFonts w:ascii="Verdana" w:hAnsi="Verdana"/>
          <w:sz w:val="22"/>
          <w:szCs w:val="22"/>
        </w:rPr>
        <w:t>Age</w:t>
      </w:r>
    </w:p>
    <w:p w:rsidR="00860BBB" w:rsidRPr="00BB2790" w:rsidRDefault="00860BBB" w:rsidP="00860BBB">
      <w:pPr>
        <w:rPr>
          <w:rFonts w:ascii="Verdana" w:hAnsi="Verdana"/>
          <w:sz w:val="20"/>
        </w:rPr>
      </w:pPr>
      <w:r w:rsidRPr="00BB2790">
        <w:rPr>
          <w:rFonts w:ascii="Verdana" w:hAnsi="Verdana"/>
          <w:sz w:val="20"/>
        </w:rPr>
        <w:t xml:space="preserve">This relates to the age </w:t>
      </w:r>
      <w:r w:rsidR="0008367E" w:rsidRPr="00BB2790">
        <w:rPr>
          <w:rFonts w:ascii="Verdana" w:hAnsi="Verdana"/>
          <w:sz w:val="20"/>
        </w:rPr>
        <w:t xml:space="preserve">of the </w:t>
      </w:r>
      <w:r w:rsidR="00BB2790" w:rsidRPr="00BB2790">
        <w:rPr>
          <w:rFonts w:ascii="Verdana" w:hAnsi="Verdana"/>
          <w:sz w:val="20"/>
        </w:rPr>
        <w:t>person</w:t>
      </w:r>
      <w:r w:rsidR="0008367E" w:rsidRPr="00BB2790">
        <w:rPr>
          <w:rFonts w:ascii="Verdana" w:hAnsi="Verdana"/>
          <w:sz w:val="20"/>
        </w:rPr>
        <w:t>, if reported to Safe to talk</w:t>
      </w:r>
      <w:r w:rsidR="006A5CE2" w:rsidRPr="00BB2790">
        <w:rPr>
          <w:rFonts w:ascii="Verdana" w:hAnsi="Verdana"/>
          <w:sz w:val="20"/>
        </w:rPr>
        <w:t>. Age information was provided by 32</w:t>
      </w:r>
      <w:r w:rsidR="00BB2790" w:rsidRPr="00BB2790">
        <w:rPr>
          <w:rFonts w:ascii="Verdana" w:hAnsi="Verdana"/>
          <w:sz w:val="20"/>
        </w:rPr>
        <w:t xml:space="preserve"> percent</w:t>
      </w:r>
      <w:r w:rsidR="006A5CE2" w:rsidRPr="00BB2790">
        <w:rPr>
          <w:rFonts w:ascii="Verdana" w:hAnsi="Verdana"/>
          <w:sz w:val="20"/>
        </w:rPr>
        <w:t xml:space="preserve"> of </w:t>
      </w:r>
      <w:r w:rsidR="00BB2790" w:rsidRPr="00BB2790">
        <w:rPr>
          <w:rFonts w:ascii="Verdana" w:hAnsi="Verdana"/>
          <w:sz w:val="20"/>
        </w:rPr>
        <w:t>people</w:t>
      </w:r>
      <w:r w:rsidR="006A5CE2" w:rsidRPr="00BB2790">
        <w:rPr>
          <w:rFonts w:ascii="Verdana" w:hAnsi="Verdana"/>
          <w:sz w:val="20"/>
        </w:rPr>
        <w:t xml:space="preserve"> from July to September 2018.</w:t>
      </w:r>
    </w:p>
    <w:p w:rsidR="00860BBB" w:rsidRPr="00793917" w:rsidRDefault="00860BBB" w:rsidP="00860BBB">
      <w:pPr>
        <w:pStyle w:val="Heading3"/>
        <w:numPr>
          <w:ilvl w:val="0"/>
          <w:numId w:val="34"/>
        </w:numPr>
        <w:rPr>
          <w:rFonts w:ascii="Verdana" w:hAnsi="Verdana"/>
          <w:sz w:val="22"/>
          <w:szCs w:val="22"/>
        </w:rPr>
      </w:pPr>
      <w:r w:rsidRPr="00793917">
        <w:rPr>
          <w:rFonts w:ascii="Verdana" w:hAnsi="Verdana"/>
          <w:sz w:val="22"/>
          <w:szCs w:val="22"/>
        </w:rPr>
        <w:t>Gender</w:t>
      </w:r>
    </w:p>
    <w:p w:rsidR="00860BBB" w:rsidRPr="00BB2790" w:rsidRDefault="00860BBB" w:rsidP="00860BBB">
      <w:pPr>
        <w:rPr>
          <w:rFonts w:ascii="Verdana" w:hAnsi="Verdana"/>
          <w:sz w:val="20"/>
        </w:rPr>
      </w:pPr>
      <w:r w:rsidRPr="00BB2790">
        <w:rPr>
          <w:rFonts w:ascii="Verdana" w:hAnsi="Verdana"/>
          <w:sz w:val="20"/>
        </w:rPr>
        <w:t xml:space="preserve">This relates to the gender </w:t>
      </w:r>
      <w:r w:rsidR="0008367E" w:rsidRPr="00BB2790">
        <w:rPr>
          <w:rFonts w:ascii="Verdana" w:hAnsi="Verdana"/>
          <w:sz w:val="20"/>
        </w:rPr>
        <w:t xml:space="preserve">of the </w:t>
      </w:r>
      <w:r w:rsidR="00BB2790" w:rsidRPr="00BB2790">
        <w:rPr>
          <w:rFonts w:ascii="Verdana" w:hAnsi="Verdana"/>
          <w:sz w:val="20"/>
        </w:rPr>
        <w:t>person</w:t>
      </w:r>
      <w:r w:rsidR="0008367E" w:rsidRPr="00BB2790">
        <w:rPr>
          <w:rFonts w:ascii="Verdana" w:hAnsi="Verdana"/>
          <w:sz w:val="20"/>
        </w:rPr>
        <w:t>, if reported to Safe to talk</w:t>
      </w:r>
      <w:r w:rsidR="006A5CE2" w:rsidRPr="00BB2790">
        <w:rPr>
          <w:rFonts w:ascii="Verdana" w:hAnsi="Verdana"/>
          <w:sz w:val="20"/>
        </w:rPr>
        <w:t>. Gender information was collected from 60</w:t>
      </w:r>
      <w:r w:rsidR="00BB2790" w:rsidRPr="00BB2790">
        <w:rPr>
          <w:rFonts w:ascii="Verdana" w:hAnsi="Verdana"/>
          <w:sz w:val="20"/>
        </w:rPr>
        <w:t xml:space="preserve"> percent</w:t>
      </w:r>
      <w:r w:rsidR="006A5CE2" w:rsidRPr="00BB2790">
        <w:rPr>
          <w:rFonts w:ascii="Verdana" w:hAnsi="Verdana"/>
          <w:sz w:val="20"/>
        </w:rPr>
        <w:t xml:space="preserve"> of </w:t>
      </w:r>
      <w:r w:rsidR="00BB2790" w:rsidRPr="00BB2790">
        <w:rPr>
          <w:rFonts w:ascii="Verdana" w:hAnsi="Verdana"/>
          <w:sz w:val="20"/>
        </w:rPr>
        <w:t>people</w:t>
      </w:r>
      <w:r w:rsidR="006A5CE2" w:rsidRPr="00BB2790">
        <w:rPr>
          <w:rFonts w:ascii="Verdana" w:hAnsi="Verdana"/>
          <w:sz w:val="20"/>
        </w:rPr>
        <w:t xml:space="preserve"> from July to September 2018.</w:t>
      </w:r>
    </w:p>
    <w:p w:rsidR="00DE2AD8" w:rsidRPr="00793917" w:rsidRDefault="00DE2AD8" w:rsidP="00DE2AD8">
      <w:pPr>
        <w:pStyle w:val="Heading3"/>
        <w:numPr>
          <w:ilvl w:val="0"/>
          <w:numId w:val="34"/>
        </w:numPr>
        <w:rPr>
          <w:rFonts w:ascii="Verdana" w:hAnsi="Verdana"/>
          <w:sz w:val="22"/>
          <w:szCs w:val="22"/>
        </w:rPr>
      </w:pPr>
      <w:r w:rsidRPr="00793917">
        <w:rPr>
          <w:rFonts w:ascii="Verdana" w:hAnsi="Verdana"/>
          <w:sz w:val="22"/>
          <w:szCs w:val="22"/>
        </w:rPr>
        <w:t>Contact Outcome</w:t>
      </w:r>
    </w:p>
    <w:p w:rsidR="00DE2AD8" w:rsidRPr="00BB2790" w:rsidRDefault="00DE2AD8" w:rsidP="00860BBB">
      <w:pPr>
        <w:rPr>
          <w:rFonts w:ascii="Verdana" w:hAnsi="Verdana"/>
          <w:sz w:val="20"/>
        </w:rPr>
      </w:pPr>
      <w:r w:rsidRPr="00BB2790">
        <w:rPr>
          <w:rFonts w:ascii="Verdana" w:hAnsi="Verdana"/>
          <w:sz w:val="20"/>
        </w:rPr>
        <w:t>This documents what the outcome of the contact was:</w:t>
      </w:r>
    </w:p>
    <w:p w:rsidR="00DE2AD8" w:rsidRPr="00BB2790" w:rsidRDefault="00DE2AD8" w:rsidP="00DE2AD8">
      <w:pPr>
        <w:pStyle w:val="ListParagraph"/>
        <w:numPr>
          <w:ilvl w:val="0"/>
          <w:numId w:val="35"/>
        </w:numPr>
        <w:rPr>
          <w:rFonts w:ascii="Verdana" w:hAnsi="Verdana"/>
          <w:b/>
          <w:i/>
          <w:sz w:val="20"/>
        </w:rPr>
      </w:pPr>
      <w:r w:rsidRPr="00BB2790">
        <w:rPr>
          <w:rFonts w:ascii="Verdana" w:hAnsi="Verdana"/>
          <w:b/>
          <w:i/>
          <w:sz w:val="20"/>
        </w:rPr>
        <w:t xml:space="preserve">Brief intervention </w:t>
      </w:r>
    </w:p>
    <w:p w:rsidR="00DE2AD8" w:rsidRPr="00BB2790" w:rsidRDefault="00DE2AD8" w:rsidP="00DE2AD8">
      <w:pPr>
        <w:pStyle w:val="ListParagraph"/>
        <w:numPr>
          <w:ilvl w:val="0"/>
          <w:numId w:val="35"/>
        </w:numPr>
        <w:rPr>
          <w:rFonts w:ascii="Verdana" w:hAnsi="Verdana"/>
          <w:b/>
          <w:i/>
          <w:sz w:val="20"/>
        </w:rPr>
      </w:pPr>
      <w:r w:rsidRPr="00BB2790">
        <w:rPr>
          <w:rFonts w:ascii="Verdana" w:hAnsi="Verdana"/>
          <w:b/>
          <w:i/>
          <w:sz w:val="20"/>
        </w:rPr>
        <w:t>Hang Up/Wrong number/Prank</w:t>
      </w:r>
    </w:p>
    <w:p w:rsidR="00DE2AD8" w:rsidRPr="00BB2790" w:rsidRDefault="00DE2AD8" w:rsidP="00DE2AD8">
      <w:pPr>
        <w:pStyle w:val="ListParagraph"/>
        <w:numPr>
          <w:ilvl w:val="0"/>
          <w:numId w:val="35"/>
        </w:numPr>
        <w:rPr>
          <w:rFonts w:ascii="Verdana" w:hAnsi="Verdana"/>
          <w:b/>
          <w:i/>
          <w:sz w:val="20"/>
        </w:rPr>
      </w:pPr>
      <w:r w:rsidRPr="00BB2790">
        <w:rPr>
          <w:rFonts w:ascii="Verdana" w:hAnsi="Verdana"/>
          <w:b/>
          <w:i/>
          <w:sz w:val="20"/>
        </w:rPr>
        <w:t>General support</w:t>
      </w:r>
    </w:p>
    <w:p w:rsidR="00DE2AD8" w:rsidRPr="00BB2790" w:rsidRDefault="00DE2AD8" w:rsidP="00DE2AD8">
      <w:pPr>
        <w:pStyle w:val="ListParagraph"/>
        <w:numPr>
          <w:ilvl w:val="0"/>
          <w:numId w:val="35"/>
        </w:numPr>
        <w:rPr>
          <w:rFonts w:ascii="Verdana" w:hAnsi="Verdana"/>
          <w:b/>
          <w:i/>
          <w:sz w:val="20"/>
        </w:rPr>
      </w:pPr>
      <w:r w:rsidRPr="00BB2790">
        <w:rPr>
          <w:rFonts w:ascii="Verdana" w:hAnsi="Verdana"/>
          <w:b/>
          <w:i/>
          <w:sz w:val="20"/>
        </w:rPr>
        <w:t>Other</w:t>
      </w:r>
    </w:p>
    <w:p w:rsidR="00DE2AD8" w:rsidRPr="00BB2790" w:rsidRDefault="00DE2AD8" w:rsidP="00DE2AD8">
      <w:pPr>
        <w:pStyle w:val="ListParagraph"/>
        <w:numPr>
          <w:ilvl w:val="0"/>
          <w:numId w:val="35"/>
        </w:numPr>
        <w:rPr>
          <w:rFonts w:ascii="Verdana" w:hAnsi="Verdana"/>
          <w:sz w:val="20"/>
        </w:rPr>
      </w:pPr>
      <w:r w:rsidRPr="00BB2790">
        <w:rPr>
          <w:rFonts w:ascii="Verdana" w:hAnsi="Verdana"/>
          <w:b/>
          <w:i/>
          <w:sz w:val="20"/>
        </w:rPr>
        <w:t>SU</w:t>
      </w:r>
      <w:r w:rsidRPr="00BB2790">
        <w:rPr>
          <w:rFonts w:ascii="Verdana" w:hAnsi="Verdana"/>
          <w:i/>
          <w:sz w:val="20"/>
        </w:rPr>
        <w:t xml:space="preserve"> </w:t>
      </w:r>
      <w:r w:rsidRPr="00BB2790">
        <w:rPr>
          <w:rFonts w:ascii="Verdana" w:hAnsi="Verdana"/>
          <w:sz w:val="20"/>
        </w:rPr>
        <w:t xml:space="preserve">[Service User] </w:t>
      </w:r>
      <w:r w:rsidRPr="00BB2790">
        <w:rPr>
          <w:rFonts w:ascii="Verdana" w:hAnsi="Verdana"/>
          <w:b/>
          <w:i/>
          <w:sz w:val="20"/>
        </w:rPr>
        <w:t xml:space="preserve">abandoned contact prior to outcome </w:t>
      </w:r>
    </w:p>
    <w:p w:rsidR="00DE2AD8" w:rsidRPr="00BB2790" w:rsidRDefault="00DE2AD8" w:rsidP="00DE2AD8">
      <w:pPr>
        <w:pStyle w:val="ListParagraph"/>
        <w:numPr>
          <w:ilvl w:val="0"/>
          <w:numId w:val="35"/>
        </w:numPr>
        <w:rPr>
          <w:rFonts w:ascii="Verdana" w:hAnsi="Verdana"/>
          <w:sz w:val="20"/>
        </w:rPr>
      </w:pPr>
      <w:r w:rsidRPr="00BB2790">
        <w:rPr>
          <w:rFonts w:ascii="Verdana" w:hAnsi="Verdana"/>
          <w:b/>
          <w:i/>
          <w:sz w:val="20"/>
        </w:rPr>
        <w:t xml:space="preserve">Set up call backs </w:t>
      </w:r>
      <w:r w:rsidRPr="00BB2790">
        <w:rPr>
          <w:rFonts w:ascii="Verdana" w:hAnsi="Verdana"/>
          <w:sz w:val="20"/>
        </w:rPr>
        <w:t xml:space="preserve">– Arranged for Safe to talk </w:t>
      </w:r>
      <w:r w:rsidR="00E30D8F" w:rsidRPr="00BB2790">
        <w:rPr>
          <w:rFonts w:ascii="Verdana" w:hAnsi="Verdana"/>
          <w:sz w:val="20"/>
        </w:rPr>
        <w:t>counsellor</w:t>
      </w:r>
      <w:r w:rsidRPr="00BB2790">
        <w:rPr>
          <w:rFonts w:ascii="Verdana" w:hAnsi="Verdana"/>
          <w:sz w:val="20"/>
        </w:rPr>
        <w:t xml:space="preserve"> to </w:t>
      </w:r>
      <w:r w:rsidR="00197A6C" w:rsidRPr="00BB2790">
        <w:rPr>
          <w:rFonts w:ascii="Verdana" w:hAnsi="Verdana"/>
          <w:sz w:val="20"/>
        </w:rPr>
        <w:t>contact the user in the future as requested</w:t>
      </w:r>
    </w:p>
    <w:p w:rsidR="00197A6C" w:rsidRPr="00BB2790" w:rsidRDefault="00197A6C" w:rsidP="00DE2AD8">
      <w:pPr>
        <w:pStyle w:val="ListParagraph"/>
        <w:numPr>
          <w:ilvl w:val="0"/>
          <w:numId w:val="35"/>
        </w:numPr>
        <w:rPr>
          <w:rFonts w:ascii="Verdana" w:hAnsi="Verdana"/>
          <w:sz w:val="20"/>
        </w:rPr>
      </w:pPr>
      <w:r w:rsidRPr="00BB2790">
        <w:rPr>
          <w:rFonts w:ascii="Verdana" w:hAnsi="Verdana"/>
          <w:b/>
          <w:i/>
          <w:sz w:val="20"/>
        </w:rPr>
        <w:t>Signposted to external service</w:t>
      </w:r>
      <w:r w:rsidRPr="00BB2790">
        <w:rPr>
          <w:rFonts w:ascii="Verdana" w:hAnsi="Verdana"/>
          <w:i/>
          <w:sz w:val="20"/>
        </w:rPr>
        <w:t xml:space="preserve">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provided with information and contact details about local provider as requested</w:t>
      </w:r>
    </w:p>
    <w:p w:rsidR="00197A6C" w:rsidRPr="00BB2790" w:rsidRDefault="00197A6C" w:rsidP="00DE2AD8">
      <w:pPr>
        <w:pStyle w:val="ListParagraph"/>
        <w:numPr>
          <w:ilvl w:val="0"/>
          <w:numId w:val="35"/>
        </w:numPr>
        <w:rPr>
          <w:rFonts w:ascii="Verdana" w:hAnsi="Verdana"/>
          <w:sz w:val="20"/>
        </w:rPr>
      </w:pPr>
      <w:r w:rsidRPr="00BB2790">
        <w:rPr>
          <w:rFonts w:ascii="Verdana" w:hAnsi="Verdana"/>
          <w:b/>
          <w:i/>
          <w:sz w:val="20"/>
        </w:rPr>
        <w:lastRenderedPageBreak/>
        <w:t xml:space="preserve">Followed existing support/management plan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continuing with support/management plan they created with Safe to talk </w:t>
      </w:r>
      <w:r w:rsidR="00E30D8F" w:rsidRPr="00BB2790">
        <w:rPr>
          <w:rFonts w:ascii="Verdana" w:hAnsi="Verdana"/>
          <w:sz w:val="20"/>
        </w:rPr>
        <w:t>counsellor</w:t>
      </w:r>
    </w:p>
    <w:p w:rsidR="00197A6C" w:rsidRPr="00BB2790" w:rsidRDefault="00197A6C" w:rsidP="00DE2AD8">
      <w:pPr>
        <w:pStyle w:val="ListParagraph"/>
        <w:numPr>
          <w:ilvl w:val="0"/>
          <w:numId w:val="35"/>
        </w:numPr>
        <w:rPr>
          <w:rFonts w:ascii="Verdana" w:hAnsi="Verdana"/>
          <w:sz w:val="20"/>
        </w:rPr>
      </w:pPr>
      <w:r w:rsidRPr="00BB2790">
        <w:rPr>
          <w:rFonts w:ascii="Verdana" w:hAnsi="Verdana"/>
          <w:b/>
          <w:i/>
          <w:sz w:val="20"/>
        </w:rPr>
        <w:t>Resources provided</w:t>
      </w:r>
      <w:r w:rsidRPr="00BB2790">
        <w:rPr>
          <w:rFonts w:ascii="Verdana" w:hAnsi="Verdana"/>
          <w:b/>
          <w:sz w:val="20"/>
        </w:rPr>
        <w:t xml:space="preserve"> </w:t>
      </w:r>
      <w:r w:rsidRPr="00BB2790">
        <w:rPr>
          <w:rFonts w:ascii="Verdana" w:hAnsi="Verdana"/>
          <w:sz w:val="20"/>
        </w:rPr>
        <w:t>– Information and resources about sexual harm</w:t>
      </w:r>
      <w:r w:rsidR="005F7C27" w:rsidRPr="00BB2790">
        <w:rPr>
          <w:rFonts w:ascii="Verdana" w:hAnsi="Verdana"/>
          <w:sz w:val="20"/>
        </w:rPr>
        <w:t xml:space="preserve"> and related services</w:t>
      </w:r>
      <w:r w:rsidRPr="00BB2790">
        <w:rPr>
          <w:rFonts w:ascii="Verdana" w:hAnsi="Verdana"/>
          <w:sz w:val="20"/>
        </w:rPr>
        <w:t xml:space="preserve"> provided to </w:t>
      </w:r>
      <w:r w:rsidR="00BB2790" w:rsidRPr="00BB2790">
        <w:rPr>
          <w:rFonts w:ascii="Verdana" w:hAnsi="Verdana"/>
          <w:sz w:val="20"/>
        </w:rPr>
        <w:t>person</w:t>
      </w:r>
    </w:p>
    <w:p w:rsidR="00197A6C" w:rsidRPr="00BB2790" w:rsidRDefault="00197A6C" w:rsidP="00DE2AD8">
      <w:pPr>
        <w:pStyle w:val="ListParagraph"/>
        <w:numPr>
          <w:ilvl w:val="0"/>
          <w:numId w:val="35"/>
        </w:numPr>
        <w:rPr>
          <w:rFonts w:ascii="Verdana" w:hAnsi="Verdana"/>
          <w:b/>
          <w:i/>
          <w:sz w:val="20"/>
        </w:rPr>
      </w:pPr>
      <w:r w:rsidRPr="00BB2790">
        <w:rPr>
          <w:rFonts w:ascii="Verdana" w:hAnsi="Verdana"/>
          <w:b/>
          <w:i/>
          <w:sz w:val="20"/>
        </w:rPr>
        <w:t>Declined advice/didn’t engage</w:t>
      </w:r>
    </w:p>
    <w:p w:rsidR="00FD7AB1"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Referral to internal service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referred to another helpline provided by Homecare Medical (e.g. Alcohol &amp; Drug Helpline, Gambling Helpline)</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Referral to external service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teleconferenced through to local provider </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No Contact Made </w:t>
      </w:r>
      <w:r w:rsidRPr="00BB2790">
        <w:rPr>
          <w:rFonts w:ascii="Verdana" w:hAnsi="Verdana"/>
          <w:sz w:val="20"/>
        </w:rPr>
        <w:t xml:space="preserve">– Safe to talk worker unable to contact </w:t>
      </w:r>
      <w:r w:rsidR="00BB2790" w:rsidRPr="00BB2790">
        <w:rPr>
          <w:rFonts w:ascii="Verdana" w:hAnsi="Verdana"/>
          <w:sz w:val="20"/>
        </w:rPr>
        <w:t>person</w:t>
      </w:r>
      <w:r w:rsidRPr="00BB2790">
        <w:rPr>
          <w:rFonts w:ascii="Verdana" w:hAnsi="Verdana"/>
          <w:sz w:val="20"/>
        </w:rPr>
        <w:t xml:space="preserve"> when providing follow up contact</w:t>
      </w:r>
      <w:r w:rsidR="005F7C27" w:rsidRPr="00BB2790">
        <w:rPr>
          <w:rFonts w:ascii="Verdana" w:hAnsi="Verdana"/>
          <w:sz w:val="20"/>
        </w:rPr>
        <w:t xml:space="preserve"> as previously arranged with </w:t>
      </w:r>
      <w:r w:rsidR="00BB2790" w:rsidRPr="00BB2790">
        <w:rPr>
          <w:rFonts w:ascii="Verdana" w:hAnsi="Verdana"/>
          <w:sz w:val="20"/>
        </w:rPr>
        <w:t>person</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Break glass – Police </w:t>
      </w:r>
      <w:r w:rsidRPr="00BB2790">
        <w:rPr>
          <w:rFonts w:ascii="Verdana" w:hAnsi="Verdana"/>
          <w:sz w:val="20"/>
        </w:rPr>
        <w:t xml:space="preserve">- Serious concerns for </w:t>
      </w:r>
      <w:r w:rsidR="00BB2790" w:rsidRPr="00BB2790">
        <w:rPr>
          <w:rFonts w:ascii="Verdana" w:hAnsi="Verdana"/>
          <w:sz w:val="20"/>
        </w:rPr>
        <w:t>person’s</w:t>
      </w:r>
      <w:r w:rsidRPr="00BB2790">
        <w:rPr>
          <w:rFonts w:ascii="Verdana" w:hAnsi="Verdana"/>
          <w:sz w:val="20"/>
        </w:rPr>
        <w:t xml:space="preserve"> safety – Police/Ambulance contacted</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Outside NZ </w:t>
      </w:r>
      <w:r w:rsidRPr="00BB2790">
        <w:rPr>
          <w:rFonts w:ascii="Verdana" w:hAnsi="Verdana"/>
          <w:b/>
          <w:sz w:val="20"/>
        </w:rPr>
        <w:t xml:space="preserve">– </w:t>
      </w:r>
      <w:r w:rsidR="00BB2790" w:rsidRPr="00BB2790">
        <w:rPr>
          <w:rFonts w:ascii="Verdana" w:hAnsi="Verdana"/>
          <w:sz w:val="20"/>
        </w:rPr>
        <w:t>Person</w:t>
      </w:r>
      <w:r w:rsidRPr="00BB2790">
        <w:rPr>
          <w:rFonts w:ascii="Verdana" w:hAnsi="Verdana"/>
          <w:sz w:val="20"/>
        </w:rPr>
        <w:t xml:space="preserve"> contacting Safe to talk was </w:t>
      </w:r>
      <w:r w:rsidR="005F7C27" w:rsidRPr="00BB2790">
        <w:rPr>
          <w:rFonts w:ascii="Verdana" w:hAnsi="Verdana"/>
          <w:sz w:val="20"/>
        </w:rPr>
        <w:t xml:space="preserve">from </w:t>
      </w:r>
      <w:r w:rsidRPr="00BB2790">
        <w:rPr>
          <w:rFonts w:ascii="Verdana" w:hAnsi="Verdana"/>
          <w:sz w:val="20"/>
        </w:rPr>
        <w:t>outside of New Zealand</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Sex </w:t>
      </w:r>
      <w:proofErr w:type="spellStart"/>
      <w:r w:rsidRPr="00BB2790">
        <w:rPr>
          <w:rFonts w:ascii="Verdana" w:hAnsi="Verdana"/>
          <w:b/>
          <w:i/>
          <w:sz w:val="20"/>
        </w:rPr>
        <w:t>grat</w:t>
      </w:r>
      <w:proofErr w:type="spellEnd"/>
      <w:r w:rsidRPr="00BB2790">
        <w:rPr>
          <w:rFonts w:ascii="Verdana" w:hAnsi="Verdana"/>
          <w:b/>
          <w:i/>
          <w:sz w:val="20"/>
        </w:rPr>
        <w:t xml:space="preserve">/abusive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contacting Safe to talk was abusive or was sexually gratuitous</w:t>
      </w:r>
    </w:p>
    <w:p w:rsidR="00197A6C"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DHB acute MH (CAT) </w:t>
      </w:r>
      <w:r w:rsidRPr="00BB2790">
        <w:rPr>
          <w:rFonts w:ascii="Verdana" w:hAnsi="Verdana"/>
          <w:sz w:val="20"/>
        </w:rPr>
        <w:t xml:space="preserve">– </w:t>
      </w:r>
      <w:r w:rsidR="00BB2790" w:rsidRPr="00BB2790">
        <w:rPr>
          <w:rFonts w:ascii="Verdana" w:hAnsi="Verdana"/>
          <w:sz w:val="20"/>
        </w:rPr>
        <w:t>Person</w:t>
      </w:r>
      <w:r w:rsidRPr="00BB2790">
        <w:rPr>
          <w:rFonts w:ascii="Verdana" w:hAnsi="Verdana"/>
          <w:sz w:val="20"/>
        </w:rPr>
        <w:t xml:space="preserve"> referred to DHB mental health services</w:t>
      </w:r>
    </w:p>
    <w:p w:rsidR="000B3AAD" w:rsidRPr="00BB2790" w:rsidRDefault="00197A6C" w:rsidP="00197A6C">
      <w:pPr>
        <w:pStyle w:val="ListParagraph"/>
        <w:numPr>
          <w:ilvl w:val="0"/>
          <w:numId w:val="35"/>
        </w:numPr>
        <w:rPr>
          <w:rFonts w:ascii="Verdana" w:hAnsi="Verdana"/>
          <w:sz w:val="20"/>
        </w:rPr>
      </w:pPr>
      <w:r w:rsidRPr="00BB2790">
        <w:rPr>
          <w:rFonts w:ascii="Verdana" w:hAnsi="Verdana"/>
          <w:b/>
          <w:i/>
          <w:sz w:val="20"/>
        </w:rPr>
        <w:t xml:space="preserve">Police (with consent) </w:t>
      </w:r>
      <w:r w:rsidRPr="00BB2790">
        <w:rPr>
          <w:rFonts w:ascii="Verdana" w:hAnsi="Verdana"/>
          <w:sz w:val="20"/>
        </w:rPr>
        <w:t>–</w:t>
      </w:r>
      <w:r w:rsidR="000B3AAD" w:rsidRPr="00BB2790">
        <w:rPr>
          <w:rFonts w:ascii="Verdana" w:hAnsi="Verdana"/>
          <w:sz w:val="20"/>
        </w:rPr>
        <w:t xml:space="preserve"> </w:t>
      </w:r>
      <w:r w:rsidR="00BB2790" w:rsidRPr="00BB2790">
        <w:rPr>
          <w:rFonts w:ascii="Verdana" w:hAnsi="Verdana"/>
          <w:sz w:val="20"/>
        </w:rPr>
        <w:t>Person</w:t>
      </w:r>
      <w:r w:rsidR="000B3AAD" w:rsidRPr="00BB2790">
        <w:rPr>
          <w:rFonts w:ascii="Verdana" w:hAnsi="Verdana"/>
          <w:sz w:val="20"/>
        </w:rPr>
        <w:t xml:space="preserve"> referred on to police (e.g. </w:t>
      </w:r>
      <w:r w:rsidR="005F7C27" w:rsidRPr="00BB2790">
        <w:rPr>
          <w:rFonts w:ascii="Verdana" w:hAnsi="Verdana"/>
          <w:sz w:val="20"/>
        </w:rPr>
        <w:t xml:space="preserve">they </w:t>
      </w:r>
      <w:r w:rsidR="000B3AAD" w:rsidRPr="00BB2790">
        <w:rPr>
          <w:rFonts w:ascii="Verdana" w:hAnsi="Verdana"/>
          <w:sz w:val="20"/>
        </w:rPr>
        <w:t>want to make a formal complaint)</w:t>
      </w:r>
    </w:p>
    <w:p w:rsidR="00197A6C" w:rsidRPr="00BB2790" w:rsidRDefault="000B3AAD" w:rsidP="00197A6C">
      <w:pPr>
        <w:pStyle w:val="ListParagraph"/>
        <w:numPr>
          <w:ilvl w:val="0"/>
          <w:numId w:val="35"/>
        </w:numPr>
        <w:rPr>
          <w:rFonts w:ascii="Verdana" w:hAnsi="Verdana"/>
          <w:b/>
          <w:i/>
          <w:sz w:val="20"/>
        </w:rPr>
      </w:pPr>
      <w:r w:rsidRPr="00BB2790">
        <w:rPr>
          <w:rFonts w:ascii="Verdana" w:hAnsi="Verdana"/>
          <w:b/>
          <w:i/>
          <w:sz w:val="20"/>
        </w:rPr>
        <w:t>Unknown</w:t>
      </w:r>
      <w:r w:rsidR="00197A6C" w:rsidRPr="00BB2790">
        <w:rPr>
          <w:rFonts w:ascii="Verdana" w:hAnsi="Verdana"/>
          <w:b/>
          <w:i/>
          <w:sz w:val="20"/>
        </w:rPr>
        <w:t xml:space="preserve"> </w:t>
      </w:r>
    </w:p>
    <w:p w:rsidR="000B3AAD" w:rsidRPr="00793917" w:rsidRDefault="000B3AAD" w:rsidP="000B3AAD">
      <w:pPr>
        <w:pStyle w:val="Heading3"/>
        <w:numPr>
          <w:ilvl w:val="0"/>
          <w:numId w:val="34"/>
        </w:numPr>
        <w:rPr>
          <w:rFonts w:ascii="Verdana" w:hAnsi="Verdana"/>
          <w:sz w:val="22"/>
          <w:szCs w:val="22"/>
        </w:rPr>
      </w:pPr>
      <w:r w:rsidRPr="00793917">
        <w:rPr>
          <w:rFonts w:ascii="Verdana" w:hAnsi="Verdana"/>
          <w:sz w:val="22"/>
          <w:szCs w:val="22"/>
        </w:rPr>
        <w:t>Reason for Contacting</w:t>
      </w:r>
    </w:p>
    <w:p w:rsidR="000B3AAD" w:rsidRPr="00BB2790" w:rsidRDefault="000B3AAD" w:rsidP="000B3AAD">
      <w:pPr>
        <w:rPr>
          <w:rFonts w:ascii="Verdana" w:hAnsi="Verdana"/>
          <w:sz w:val="20"/>
        </w:rPr>
      </w:pPr>
      <w:r w:rsidRPr="00BB2790">
        <w:rPr>
          <w:rFonts w:ascii="Verdana" w:hAnsi="Verdana"/>
          <w:sz w:val="20"/>
        </w:rPr>
        <w:t xml:space="preserve">This documents what the reason the </w:t>
      </w:r>
      <w:r w:rsidR="00BB2790" w:rsidRPr="00BB2790">
        <w:rPr>
          <w:rFonts w:ascii="Verdana" w:hAnsi="Verdana"/>
          <w:sz w:val="20"/>
        </w:rPr>
        <w:t>person</w:t>
      </w:r>
      <w:r w:rsidRPr="00BB2790">
        <w:rPr>
          <w:rFonts w:ascii="Verdana" w:hAnsi="Verdana"/>
          <w:sz w:val="20"/>
        </w:rPr>
        <w:t xml:space="preserve"> contacted Safe to talk for:</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Emotional support required</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Advice required</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 xml:space="preserve">Hang Up/wrong number </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Don’t know where to get help</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Talk to someone who understands</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Experiencing flashbacks</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What do you do?</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Call back</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Information on SH</w:t>
      </w:r>
      <w:r w:rsidRPr="00BB2790">
        <w:rPr>
          <w:rFonts w:ascii="Verdana" w:hAnsi="Verdana"/>
          <w:sz w:val="20"/>
        </w:rPr>
        <w:t xml:space="preserve"> [sexual harm]</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Information on another service</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First time disclosure</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Worried about someone else</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Worried about myself</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Information on Police process</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 xml:space="preserve">Reporting of SH </w:t>
      </w:r>
      <w:r w:rsidRPr="00BB2790">
        <w:rPr>
          <w:rFonts w:ascii="Verdana" w:hAnsi="Verdana"/>
          <w:sz w:val="20"/>
        </w:rPr>
        <w:t>[sexual harm]</w:t>
      </w:r>
      <w:r w:rsidRPr="00BB2790">
        <w:rPr>
          <w:rFonts w:ascii="Verdana" w:hAnsi="Verdana"/>
          <w:b/>
          <w:i/>
          <w:sz w:val="20"/>
        </w:rPr>
        <w:t>/</w:t>
      </w:r>
      <w:r w:rsidRPr="00BB2790">
        <w:rPr>
          <w:rFonts w:ascii="Verdana" w:hAnsi="Verdana"/>
          <w:sz w:val="20"/>
        </w:rPr>
        <w:t xml:space="preserve">[sexual] </w:t>
      </w:r>
      <w:r w:rsidRPr="00BB2790">
        <w:rPr>
          <w:rFonts w:ascii="Verdana" w:hAnsi="Verdana"/>
          <w:b/>
          <w:i/>
          <w:sz w:val="20"/>
        </w:rPr>
        <w:t>abuse</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Legal definitions</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Pornography use</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Advice on providers</w:t>
      </w:r>
    </w:p>
    <w:p w:rsidR="000B3AAD" w:rsidRPr="00BB2790" w:rsidRDefault="000B3AAD" w:rsidP="000B3AAD">
      <w:pPr>
        <w:pStyle w:val="ListParagraph"/>
        <w:numPr>
          <w:ilvl w:val="0"/>
          <w:numId w:val="35"/>
        </w:numPr>
        <w:rPr>
          <w:rFonts w:ascii="Verdana" w:hAnsi="Verdana"/>
          <w:b/>
          <w:i/>
          <w:sz w:val="20"/>
        </w:rPr>
      </w:pPr>
      <w:r w:rsidRPr="00BB2790">
        <w:rPr>
          <w:rFonts w:ascii="Verdana" w:hAnsi="Verdana"/>
          <w:b/>
          <w:i/>
          <w:sz w:val="20"/>
        </w:rPr>
        <w:t>Physical abuse</w:t>
      </w:r>
    </w:p>
    <w:p w:rsidR="000B3AAD" w:rsidRPr="00793917" w:rsidRDefault="000B3AAD" w:rsidP="00AC01FA">
      <w:pPr>
        <w:pStyle w:val="Heading3"/>
        <w:numPr>
          <w:ilvl w:val="0"/>
          <w:numId w:val="34"/>
        </w:numPr>
        <w:rPr>
          <w:rFonts w:ascii="Verdana" w:hAnsi="Verdana"/>
          <w:sz w:val="22"/>
          <w:szCs w:val="22"/>
        </w:rPr>
      </w:pPr>
      <w:r w:rsidRPr="00793917">
        <w:rPr>
          <w:rFonts w:ascii="Verdana" w:hAnsi="Verdana"/>
          <w:sz w:val="22"/>
          <w:szCs w:val="22"/>
        </w:rPr>
        <w:t>Caller types</w:t>
      </w:r>
    </w:p>
    <w:p w:rsidR="00AC01FA" w:rsidRPr="00793917" w:rsidRDefault="00AC01FA" w:rsidP="000F7BBA">
      <w:pPr>
        <w:pStyle w:val="Heading3"/>
        <w:numPr>
          <w:ilvl w:val="0"/>
          <w:numId w:val="34"/>
        </w:numPr>
        <w:rPr>
          <w:rFonts w:ascii="Verdana" w:hAnsi="Verdana"/>
          <w:sz w:val="22"/>
          <w:szCs w:val="22"/>
        </w:rPr>
      </w:pPr>
      <w:bookmarkStart w:id="0" w:name="_GoBack"/>
      <w:bookmarkEnd w:id="0"/>
      <w:r w:rsidRPr="00793917">
        <w:rPr>
          <w:rFonts w:ascii="Verdana" w:hAnsi="Verdana"/>
          <w:sz w:val="22"/>
          <w:szCs w:val="22"/>
        </w:rPr>
        <w:t>Highest % of calls by DHB</w:t>
      </w:r>
    </w:p>
    <w:p w:rsidR="00AC01FA" w:rsidRPr="00BB2790" w:rsidRDefault="00AC01FA" w:rsidP="000B3AAD">
      <w:pPr>
        <w:rPr>
          <w:rFonts w:ascii="Verdana" w:hAnsi="Verdana"/>
          <w:sz w:val="20"/>
        </w:rPr>
      </w:pPr>
      <w:r w:rsidRPr="00BB2790">
        <w:rPr>
          <w:rFonts w:ascii="Verdana" w:hAnsi="Verdana"/>
          <w:sz w:val="20"/>
        </w:rPr>
        <w:t>This documents wh</w:t>
      </w:r>
      <w:r w:rsidR="000F7BBA" w:rsidRPr="00BB2790">
        <w:rPr>
          <w:rFonts w:ascii="Verdana" w:hAnsi="Verdana"/>
          <w:sz w:val="20"/>
        </w:rPr>
        <w:t xml:space="preserve">at area the </w:t>
      </w:r>
      <w:r w:rsidR="00BB2790" w:rsidRPr="00BB2790">
        <w:rPr>
          <w:rFonts w:ascii="Verdana" w:hAnsi="Verdana"/>
          <w:sz w:val="20"/>
        </w:rPr>
        <w:t>person</w:t>
      </w:r>
      <w:r w:rsidR="000F7BBA" w:rsidRPr="00BB2790">
        <w:rPr>
          <w:rFonts w:ascii="Verdana" w:hAnsi="Verdana"/>
          <w:sz w:val="20"/>
        </w:rPr>
        <w:t xml:space="preserve"> is contacting Safe to talk from</w:t>
      </w:r>
      <w:r w:rsidRPr="00BB2790">
        <w:rPr>
          <w:rFonts w:ascii="Verdana" w:hAnsi="Verdana"/>
          <w:sz w:val="20"/>
        </w:rPr>
        <w:t>.</w:t>
      </w:r>
      <w:r w:rsidR="000F7BBA" w:rsidRPr="00BB2790">
        <w:rPr>
          <w:rFonts w:ascii="Verdana" w:hAnsi="Verdana"/>
          <w:sz w:val="20"/>
        </w:rPr>
        <w:t xml:space="preserve"> This is based on District Health Board boundaries which can be found here</w:t>
      </w:r>
      <w:r w:rsidR="00BB2790" w:rsidRPr="00BB2790">
        <w:rPr>
          <w:rFonts w:ascii="Verdana" w:hAnsi="Verdana"/>
          <w:sz w:val="20"/>
        </w:rPr>
        <w:t>:</w:t>
      </w:r>
      <w:r w:rsidR="000F7BBA" w:rsidRPr="00BB2790">
        <w:rPr>
          <w:rFonts w:ascii="Verdana" w:hAnsi="Verdana"/>
          <w:sz w:val="20"/>
        </w:rPr>
        <w:t xml:space="preserve"> </w:t>
      </w:r>
      <w:hyperlink r:id="rId7" w:history="1">
        <w:r w:rsidR="000F7BBA" w:rsidRPr="00BB2790">
          <w:rPr>
            <w:rStyle w:val="Hyperlink"/>
            <w:rFonts w:ascii="Verdana" w:hAnsi="Verdana"/>
            <w:sz w:val="20"/>
          </w:rPr>
          <w:t>https://www.health.govt.nz/new-zealand-health-system/key-health-sector-organisations-and-people/district-health-boards/location-boundaries-map</w:t>
        </w:r>
      </w:hyperlink>
      <w:r w:rsidR="00BB2790" w:rsidRPr="00BB2790">
        <w:rPr>
          <w:rFonts w:ascii="Verdana" w:hAnsi="Verdana"/>
          <w:sz w:val="20"/>
        </w:rPr>
        <w:t>.</w:t>
      </w:r>
    </w:p>
    <w:sectPr w:rsidR="00AC01FA" w:rsidRPr="00BB2790" w:rsidSect="00793917">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D32436E"/>
    <w:multiLevelType w:val="hybridMultilevel"/>
    <w:tmpl w:val="37482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4BF141E"/>
    <w:multiLevelType w:val="hybridMultilevel"/>
    <w:tmpl w:val="65C8415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7FE9556D"/>
    <w:multiLevelType w:val="hybridMultilevel"/>
    <w:tmpl w:val="14B832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8"/>
  </w:num>
  <w:num w:numId="32">
    <w:abstractNumId w:val="21"/>
  </w:num>
  <w:num w:numId="33">
    <w:abstractNumId w:val="29"/>
  </w:num>
  <w:num w:numId="34">
    <w:abstractNumId w:val="27"/>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ylan Norton">
    <w15:presenceInfo w15:providerId="AD" w15:userId="S::dylan.norton@homecaremedical.co.nz::c1014369-82a0-4a76-8ac1-2bb7f2c1b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B1"/>
    <w:rsid w:val="00000B4C"/>
    <w:rsid w:val="00005BBE"/>
    <w:rsid w:val="000106D0"/>
    <w:rsid w:val="00034336"/>
    <w:rsid w:val="00037CB0"/>
    <w:rsid w:val="0008367E"/>
    <w:rsid w:val="000A576B"/>
    <w:rsid w:val="000B3AAD"/>
    <w:rsid w:val="000E3BB9"/>
    <w:rsid w:val="000F7BBA"/>
    <w:rsid w:val="00106AED"/>
    <w:rsid w:val="00197A6C"/>
    <w:rsid w:val="001D3744"/>
    <w:rsid w:val="001E11AA"/>
    <w:rsid w:val="00213DA6"/>
    <w:rsid w:val="00216302"/>
    <w:rsid w:val="00236D2D"/>
    <w:rsid w:val="0024556E"/>
    <w:rsid w:val="00245A2B"/>
    <w:rsid w:val="002D1C62"/>
    <w:rsid w:val="002D367B"/>
    <w:rsid w:val="00354EC2"/>
    <w:rsid w:val="003904AD"/>
    <w:rsid w:val="00397220"/>
    <w:rsid w:val="003A3C89"/>
    <w:rsid w:val="003B0A38"/>
    <w:rsid w:val="003E3722"/>
    <w:rsid w:val="004227ED"/>
    <w:rsid w:val="00445BCE"/>
    <w:rsid w:val="00454F25"/>
    <w:rsid w:val="004710B8"/>
    <w:rsid w:val="004B4CF1"/>
    <w:rsid w:val="00533E65"/>
    <w:rsid w:val="0056681E"/>
    <w:rsid w:val="00572AA9"/>
    <w:rsid w:val="00595906"/>
    <w:rsid w:val="005B11F9"/>
    <w:rsid w:val="005F7C27"/>
    <w:rsid w:val="00631D73"/>
    <w:rsid w:val="006546BE"/>
    <w:rsid w:val="006A5CE2"/>
    <w:rsid w:val="006B19BD"/>
    <w:rsid w:val="00793917"/>
    <w:rsid w:val="007A5625"/>
    <w:rsid w:val="007B201A"/>
    <w:rsid w:val="007C2143"/>
    <w:rsid w:val="007F3ACD"/>
    <w:rsid w:val="0080133F"/>
    <w:rsid w:val="0080498F"/>
    <w:rsid w:val="00860654"/>
    <w:rsid w:val="00860BBB"/>
    <w:rsid w:val="00903467"/>
    <w:rsid w:val="00906EAA"/>
    <w:rsid w:val="00970DD2"/>
    <w:rsid w:val="009D15F1"/>
    <w:rsid w:val="009D2B10"/>
    <w:rsid w:val="00A2199C"/>
    <w:rsid w:val="00A43896"/>
    <w:rsid w:val="00A6244E"/>
    <w:rsid w:val="00AC01FA"/>
    <w:rsid w:val="00B41635"/>
    <w:rsid w:val="00B5357A"/>
    <w:rsid w:val="00BB2790"/>
    <w:rsid w:val="00C503A7"/>
    <w:rsid w:val="00C5215F"/>
    <w:rsid w:val="00CB4A28"/>
    <w:rsid w:val="00D34EA0"/>
    <w:rsid w:val="00D737B2"/>
    <w:rsid w:val="00DD6907"/>
    <w:rsid w:val="00DD7526"/>
    <w:rsid w:val="00DE2AD8"/>
    <w:rsid w:val="00E30D8F"/>
    <w:rsid w:val="00E671C3"/>
    <w:rsid w:val="00E90142"/>
    <w:rsid w:val="00E9269E"/>
    <w:rsid w:val="00F06EE8"/>
    <w:rsid w:val="00F07349"/>
    <w:rsid w:val="00F113EF"/>
    <w:rsid w:val="00F126F3"/>
    <w:rsid w:val="00F22AE5"/>
    <w:rsid w:val="00F829C0"/>
    <w:rsid w:val="00F829F6"/>
    <w:rsid w:val="00FD7A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iPriority="22" w:unhideWhenUsed="0"/>
    <w:lsdException w:name="Emphasis" w:semiHidden="0" w:uiPriority="20"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latentStyles>
  <w:style w:type="paragraph" w:default="1" w:styleId="Normal">
    <w:name w:val="Normal"/>
    <w:qFormat/>
    <w:rsid w:val="000A576B"/>
    <w:pPr>
      <w:spacing w:after="120" w:line="288" w:lineRule="auto"/>
    </w:p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11"/>
      </w:numPr>
      <w:spacing w:before="120"/>
    </w:pPr>
    <w:rPr>
      <w:rFonts w:ascii="Verdana"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0F7BBA"/>
    <w:rPr>
      <w:color w:val="0000FF" w:themeColor="hyperlink"/>
      <w:u w:val="single"/>
    </w:rPr>
  </w:style>
  <w:style w:type="paragraph" w:styleId="CommentSubject">
    <w:name w:val="annotation subject"/>
    <w:basedOn w:val="CommentText"/>
    <w:next w:val="CommentText"/>
    <w:link w:val="CommentSubjectChar"/>
    <w:uiPriority w:val="99"/>
    <w:semiHidden/>
    <w:rsid w:val="005F7C27"/>
    <w:rPr>
      <w:b/>
      <w:bCs/>
      <w:sz w:val="20"/>
    </w:rPr>
  </w:style>
  <w:style w:type="character" w:customStyle="1" w:styleId="CommentSubjectChar">
    <w:name w:val="Comment Subject Char"/>
    <w:basedOn w:val="CommentTextChar"/>
    <w:link w:val="CommentSubject"/>
    <w:uiPriority w:val="99"/>
    <w:semiHidden/>
    <w:rsid w:val="005F7C27"/>
    <w:rPr>
      <w:rFonts w:ascii="Verdana" w:hAnsi="Verdana" w:cs="Ari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iPriority="22" w:unhideWhenUsed="0"/>
    <w:lsdException w:name="Emphasis" w:semiHidden="0" w:uiPriority="20"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latentStyles>
  <w:style w:type="paragraph" w:default="1" w:styleId="Normal">
    <w:name w:val="Normal"/>
    <w:qFormat/>
    <w:rsid w:val="000A576B"/>
    <w:pPr>
      <w:spacing w:after="120" w:line="288" w:lineRule="auto"/>
    </w:p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11"/>
      </w:numPr>
      <w:spacing w:before="120"/>
    </w:pPr>
    <w:rPr>
      <w:rFonts w:ascii="Verdana"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0F7BBA"/>
    <w:rPr>
      <w:color w:val="0000FF" w:themeColor="hyperlink"/>
      <w:u w:val="single"/>
    </w:rPr>
  </w:style>
  <w:style w:type="paragraph" w:styleId="CommentSubject">
    <w:name w:val="annotation subject"/>
    <w:basedOn w:val="CommentText"/>
    <w:next w:val="CommentText"/>
    <w:link w:val="CommentSubjectChar"/>
    <w:uiPriority w:val="99"/>
    <w:semiHidden/>
    <w:rsid w:val="005F7C27"/>
    <w:rPr>
      <w:b/>
      <w:bCs/>
      <w:sz w:val="20"/>
    </w:rPr>
  </w:style>
  <w:style w:type="character" w:customStyle="1" w:styleId="CommentSubjectChar">
    <w:name w:val="Comment Subject Char"/>
    <w:basedOn w:val="CommentTextChar"/>
    <w:link w:val="CommentSubject"/>
    <w:uiPriority w:val="99"/>
    <w:semiHidden/>
    <w:rsid w:val="005F7C27"/>
    <w:rPr>
      <w:rFonts w:ascii="Verdana" w:hAnsi="Verdana"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alth.govt.nz/new-zealand-health-system/key-health-sector-organisations-and-people/district-health-boards/location-boundaries-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D90F-C44C-4536-89B0-88F17ACC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Manley</dc:creator>
  <cp:lastModifiedBy>Carol Cowie</cp:lastModifiedBy>
  <cp:revision>4</cp:revision>
  <dcterms:created xsi:type="dcterms:W3CDTF">2018-11-02T02:54:00Z</dcterms:created>
  <dcterms:modified xsi:type="dcterms:W3CDTF">2018-11-02T03:04:00Z</dcterms:modified>
</cp:coreProperties>
</file>