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Borders>
          <w:bottom w:val="single" w:sz="12" w:space="0" w:color="auto"/>
        </w:tblBorders>
        <w:tblLayout w:type="fixed"/>
        <w:tblCellMar>
          <w:left w:w="0" w:type="dxa"/>
          <w:right w:w="0" w:type="dxa"/>
        </w:tblCellMar>
        <w:tblLook w:val="01E0" w:firstRow="1" w:lastRow="1" w:firstColumn="1" w:lastColumn="1" w:noHBand="0" w:noVBand="0"/>
      </w:tblPr>
      <w:tblGrid>
        <w:gridCol w:w="7797"/>
        <w:gridCol w:w="1417"/>
      </w:tblGrid>
      <w:tr w:rsidR="00D56D8D" w14:paraId="7D267FEB" w14:textId="77777777" w:rsidTr="00DE0A3D">
        <w:trPr>
          <w:cantSplit/>
        </w:trPr>
        <w:tc>
          <w:tcPr>
            <w:tcW w:w="7797" w:type="dxa"/>
            <w:shd w:val="clear" w:color="auto" w:fill="auto"/>
            <w:vAlign w:val="bottom"/>
          </w:tcPr>
          <w:p w14:paraId="3787CD39" w14:textId="458AF9EE" w:rsidR="00D56D8D" w:rsidRPr="00DE0A3D" w:rsidRDefault="008133A8" w:rsidP="00743C23">
            <w:pPr>
              <w:pStyle w:val="Heading1"/>
              <w:spacing w:after="60"/>
              <w:rPr>
                <w:b w:val="0"/>
                <w:sz w:val="44"/>
                <w:szCs w:val="44"/>
              </w:rPr>
            </w:pPr>
            <w:bookmarkStart w:id="0" w:name="_GoBack"/>
            <w:bookmarkEnd w:id="0"/>
            <w:r>
              <w:t>F</w:t>
            </w:r>
            <w:r w:rsidR="003005C4">
              <w:t>act</w:t>
            </w:r>
            <w:r w:rsidR="00743C23">
              <w:t xml:space="preserve"> S</w:t>
            </w:r>
            <w:r w:rsidR="003005C4">
              <w:t xml:space="preserve">heet </w:t>
            </w:r>
            <w:r w:rsidR="00C37086">
              <w:br/>
            </w:r>
            <w:r w:rsidR="00316E05" w:rsidRPr="00DE0A3D">
              <w:rPr>
                <w:b w:val="0"/>
                <w:sz w:val="36"/>
                <w:szCs w:val="44"/>
              </w:rPr>
              <w:t>Care and Support W</w:t>
            </w:r>
            <w:r w:rsidR="003005C4" w:rsidRPr="00DE0A3D">
              <w:rPr>
                <w:b w:val="0"/>
                <w:sz w:val="36"/>
                <w:szCs w:val="44"/>
              </w:rPr>
              <w:t>orker</w:t>
            </w:r>
            <w:r w:rsidR="00AE3424">
              <w:rPr>
                <w:b w:val="0"/>
                <w:sz w:val="36"/>
                <w:szCs w:val="44"/>
              </w:rPr>
              <w:t>s</w:t>
            </w:r>
            <w:r w:rsidR="003005C4" w:rsidRPr="00DE0A3D">
              <w:rPr>
                <w:b w:val="0"/>
                <w:sz w:val="36"/>
                <w:szCs w:val="44"/>
              </w:rPr>
              <w:t xml:space="preserve"> </w:t>
            </w:r>
            <w:r w:rsidR="00DE0A3D" w:rsidRPr="00DE0A3D">
              <w:rPr>
                <w:b w:val="0"/>
                <w:sz w:val="36"/>
                <w:szCs w:val="44"/>
              </w:rPr>
              <w:t>(</w:t>
            </w:r>
            <w:r w:rsidR="00316E05" w:rsidRPr="00DE0A3D">
              <w:rPr>
                <w:b w:val="0"/>
                <w:sz w:val="36"/>
                <w:szCs w:val="44"/>
              </w:rPr>
              <w:t>P</w:t>
            </w:r>
            <w:r w:rsidR="003005C4" w:rsidRPr="00DE0A3D">
              <w:rPr>
                <w:b w:val="0"/>
                <w:sz w:val="36"/>
                <w:szCs w:val="44"/>
              </w:rPr>
              <w:t xml:space="preserve">ay </w:t>
            </w:r>
            <w:r w:rsidR="00316E05" w:rsidRPr="00DE0A3D">
              <w:rPr>
                <w:b w:val="0"/>
                <w:sz w:val="36"/>
                <w:szCs w:val="44"/>
              </w:rPr>
              <w:t>E</w:t>
            </w:r>
            <w:r w:rsidR="003005C4" w:rsidRPr="00DE0A3D">
              <w:rPr>
                <w:b w:val="0"/>
                <w:sz w:val="36"/>
                <w:szCs w:val="44"/>
              </w:rPr>
              <w:t>quity</w:t>
            </w:r>
            <w:r w:rsidR="00DE0A3D" w:rsidRPr="00DE0A3D">
              <w:rPr>
                <w:b w:val="0"/>
                <w:sz w:val="36"/>
                <w:szCs w:val="44"/>
              </w:rPr>
              <w:t>)</w:t>
            </w:r>
            <w:r w:rsidR="003005C4" w:rsidRPr="00DE0A3D">
              <w:rPr>
                <w:b w:val="0"/>
                <w:sz w:val="36"/>
                <w:szCs w:val="44"/>
              </w:rPr>
              <w:t xml:space="preserve"> </w:t>
            </w:r>
            <w:r w:rsidR="00DE0A3D" w:rsidRPr="00DE0A3D">
              <w:rPr>
                <w:b w:val="0"/>
                <w:sz w:val="36"/>
                <w:szCs w:val="44"/>
              </w:rPr>
              <w:br/>
            </w:r>
            <w:r w:rsidR="00316E05" w:rsidRPr="00DE0A3D">
              <w:rPr>
                <w:b w:val="0"/>
                <w:sz w:val="36"/>
                <w:szCs w:val="44"/>
              </w:rPr>
              <w:t>Settlement A</w:t>
            </w:r>
            <w:r w:rsidR="003005C4" w:rsidRPr="00DE0A3D">
              <w:rPr>
                <w:b w:val="0"/>
                <w:sz w:val="36"/>
                <w:szCs w:val="44"/>
              </w:rPr>
              <w:t>greement</w:t>
            </w:r>
            <w:r w:rsidR="00D37F8E">
              <w:rPr>
                <w:b w:val="0"/>
                <w:sz w:val="36"/>
                <w:szCs w:val="44"/>
              </w:rPr>
              <w:t xml:space="preserve">   </w:t>
            </w:r>
          </w:p>
        </w:tc>
        <w:tc>
          <w:tcPr>
            <w:tcW w:w="1417" w:type="dxa"/>
            <w:shd w:val="clear" w:color="auto" w:fill="auto"/>
            <w:vAlign w:val="bottom"/>
          </w:tcPr>
          <w:p w14:paraId="6EBDA9C3" w14:textId="56748A53" w:rsidR="00423830" w:rsidRPr="00E43A89" w:rsidRDefault="00A812AB" w:rsidP="00A812AB">
            <w:pPr>
              <w:spacing w:after="120"/>
              <w:rPr>
                <w:color w:val="002B7F"/>
                <w:sz w:val="28"/>
                <w:szCs w:val="28"/>
              </w:rPr>
            </w:pPr>
            <w:r>
              <w:rPr>
                <w:sz w:val="28"/>
                <w:szCs w:val="28"/>
              </w:rPr>
              <w:t>Dec</w:t>
            </w:r>
            <w:r w:rsidR="003005C4">
              <w:rPr>
                <w:sz w:val="28"/>
                <w:szCs w:val="28"/>
              </w:rPr>
              <w:t xml:space="preserve"> 201</w:t>
            </w:r>
            <w:r w:rsidR="00AE3424">
              <w:rPr>
                <w:sz w:val="28"/>
                <w:szCs w:val="28"/>
              </w:rPr>
              <w:t>8</w:t>
            </w:r>
          </w:p>
        </w:tc>
      </w:tr>
    </w:tbl>
    <w:p w14:paraId="2CE0B705" w14:textId="4577EE28" w:rsidR="00DE0A3D" w:rsidRDefault="00DE0A3D" w:rsidP="003005C4"/>
    <w:p w14:paraId="454DF82A" w14:textId="4C4868F1" w:rsidR="008133A8" w:rsidRDefault="008133A8" w:rsidP="008133A8">
      <w:pPr>
        <w:pStyle w:val="Heading2"/>
        <w:shd w:val="clear" w:color="auto" w:fill="FFFFFF"/>
        <w:rPr>
          <w:color w:val="002639"/>
          <w:sz w:val="37"/>
          <w:szCs w:val="37"/>
          <w:lang w:val="en"/>
        </w:rPr>
      </w:pPr>
      <w:r>
        <w:rPr>
          <w:color w:val="002639"/>
          <w:sz w:val="37"/>
          <w:szCs w:val="37"/>
          <w:lang w:val="en"/>
        </w:rPr>
        <w:t>Background</w:t>
      </w:r>
    </w:p>
    <w:p w14:paraId="47AC1A35" w14:textId="76F08028" w:rsidR="001B08FF" w:rsidRDefault="008133A8" w:rsidP="008133A8">
      <w:pPr>
        <w:spacing w:before="120"/>
        <w:rPr>
          <w:rFonts w:ascii="Verdana" w:hAnsi="Verdana"/>
          <w:sz w:val="20"/>
          <w:szCs w:val="20"/>
        </w:rPr>
      </w:pPr>
      <w:r w:rsidRPr="009525A6">
        <w:rPr>
          <w:rFonts w:ascii="Verdana" w:hAnsi="Verdana"/>
          <w:sz w:val="20"/>
          <w:szCs w:val="20"/>
        </w:rPr>
        <w:t xml:space="preserve">On 18 April 2017, the Government announced a $2 billion pay equity settlement for 55,000 care and support workers in New Zealand’s aged and disability residential care and home </w:t>
      </w:r>
      <w:r>
        <w:rPr>
          <w:rFonts w:ascii="Verdana" w:hAnsi="Verdana"/>
          <w:sz w:val="20"/>
          <w:szCs w:val="20"/>
        </w:rPr>
        <w:t xml:space="preserve">and community support services. </w:t>
      </w:r>
    </w:p>
    <w:p w14:paraId="30F7F8C9" w14:textId="62207EB6" w:rsidR="00551160" w:rsidRDefault="002C7B3F" w:rsidP="008133A8">
      <w:pPr>
        <w:spacing w:before="120"/>
        <w:rPr>
          <w:rFonts w:ascii="Verdana" w:hAnsi="Verdana"/>
          <w:sz w:val="20"/>
          <w:szCs w:val="20"/>
        </w:rPr>
      </w:pPr>
      <w:r>
        <w:rPr>
          <w:rFonts w:ascii="Verdana" w:hAnsi="Verdana"/>
          <w:sz w:val="20"/>
          <w:szCs w:val="20"/>
        </w:rPr>
        <w:t xml:space="preserve">The Care and Support Workers (Pay Equity) Settlement Bill </w:t>
      </w:r>
      <w:r w:rsidR="00551160">
        <w:rPr>
          <w:rFonts w:ascii="Verdana" w:hAnsi="Verdana"/>
          <w:sz w:val="20"/>
          <w:szCs w:val="20"/>
        </w:rPr>
        <w:t xml:space="preserve">relates to workers </w:t>
      </w:r>
      <w:r w:rsidR="00551160" w:rsidRPr="002C7B3F">
        <w:rPr>
          <w:rFonts w:ascii="Verdana" w:hAnsi="Verdana"/>
          <w:sz w:val="20"/>
          <w:szCs w:val="20"/>
        </w:rPr>
        <w:t>funded by the Ministry of Health, the Accident Compensation Corporation (ACC), and</w:t>
      </w:r>
      <w:r w:rsidR="00551160">
        <w:rPr>
          <w:rFonts w:ascii="Verdana" w:hAnsi="Verdana"/>
          <w:sz w:val="20"/>
          <w:szCs w:val="20"/>
        </w:rPr>
        <w:t xml:space="preserve"> district health boards (DHBs). The Bill excludes workers funded through MSD/MVCOT contracts. </w:t>
      </w:r>
    </w:p>
    <w:p w14:paraId="26A746E8" w14:textId="77777777" w:rsidR="002C7B3F" w:rsidRPr="002C7B3F" w:rsidRDefault="002C7B3F" w:rsidP="002C7B3F">
      <w:pPr>
        <w:spacing w:before="120"/>
        <w:rPr>
          <w:rFonts w:ascii="Verdana" w:hAnsi="Verdana"/>
          <w:sz w:val="20"/>
          <w:szCs w:val="20"/>
        </w:rPr>
      </w:pPr>
      <w:r w:rsidRPr="002C7B3F">
        <w:rPr>
          <w:rFonts w:ascii="Verdana" w:hAnsi="Verdana"/>
          <w:sz w:val="20"/>
          <w:szCs w:val="20"/>
        </w:rPr>
        <w:t>A settlement was agreed between the Crown, Crown agencies, and relevant unions in April 2017. The agreement establishes a matrix of pay rates, linked to qualifications, to be phased in over the 5-year term of the agreement. The parties to the settlement agreed that elements of it would be legislated.</w:t>
      </w:r>
    </w:p>
    <w:p w14:paraId="766D9F27" w14:textId="77777777" w:rsidR="002C7B3F" w:rsidRDefault="002C7B3F" w:rsidP="002C7B3F">
      <w:pPr>
        <w:spacing w:before="120"/>
        <w:rPr>
          <w:rFonts w:ascii="Verdana" w:hAnsi="Verdana"/>
          <w:sz w:val="20"/>
          <w:szCs w:val="20"/>
        </w:rPr>
      </w:pPr>
      <w:r w:rsidRPr="009D65EB">
        <w:rPr>
          <w:rFonts w:ascii="Verdana" w:hAnsi="Verdana"/>
          <w:sz w:val="20"/>
          <w:szCs w:val="20"/>
        </w:rPr>
        <w:t xml:space="preserve">The </w:t>
      </w:r>
      <w:r>
        <w:rPr>
          <w:rFonts w:ascii="Verdana" w:hAnsi="Verdana"/>
          <w:sz w:val="20"/>
          <w:szCs w:val="20"/>
        </w:rPr>
        <w:t>Settlement A</w:t>
      </w:r>
      <w:r w:rsidRPr="009D65EB">
        <w:rPr>
          <w:rFonts w:ascii="Verdana" w:hAnsi="Verdana"/>
          <w:sz w:val="20"/>
          <w:szCs w:val="20"/>
        </w:rPr>
        <w:t xml:space="preserve">greement </w:t>
      </w:r>
      <w:r>
        <w:rPr>
          <w:rFonts w:ascii="Verdana" w:hAnsi="Verdana"/>
          <w:sz w:val="20"/>
          <w:szCs w:val="20"/>
        </w:rPr>
        <w:t>is</w:t>
      </w:r>
      <w:r w:rsidRPr="009D65EB">
        <w:rPr>
          <w:rFonts w:ascii="Verdana" w:hAnsi="Verdana"/>
          <w:sz w:val="20"/>
          <w:szCs w:val="20"/>
        </w:rPr>
        <w:t xml:space="preserve"> the resu</w:t>
      </w:r>
      <w:r>
        <w:rPr>
          <w:rFonts w:ascii="Verdana" w:hAnsi="Verdana"/>
          <w:sz w:val="20"/>
          <w:szCs w:val="20"/>
        </w:rPr>
        <w:t xml:space="preserve">lt of the </w:t>
      </w:r>
      <w:proofErr w:type="spellStart"/>
      <w:r>
        <w:rPr>
          <w:rFonts w:ascii="Verdana" w:hAnsi="Verdana"/>
          <w:sz w:val="20"/>
          <w:szCs w:val="20"/>
        </w:rPr>
        <w:t>TerraNova</w:t>
      </w:r>
      <w:proofErr w:type="spellEnd"/>
      <w:r w:rsidRPr="009D65EB">
        <w:rPr>
          <w:rFonts w:ascii="Verdana" w:hAnsi="Verdana"/>
          <w:sz w:val="20"/>
          <w:szCs w:val="20"/>
        </w:rPr>
        <w:t xml:space="preserve"> case </w:t>
      </w:r>
      <w:r>
        <w:rPr>
          <w:rFonts w:ascii="Verdana" w:hAnsi="Verdana"/>
          <w:sz w:val="20"/>
          <w:szCs w:val="20"/>
        </w:rPr>
        <w:t xml:space="preserve">which </w:t>
      </w:r>
      <w:r w:rsidRPr="009D65EB">
        <w:rPr>
          <w:rFonts w:ascii="Verdana" w:hAnsi="Verdana"/>
          <w:sz w:val="20"/>
          <w:szCs w:val="20"/>
        </w:rPr>
        <w:t>successfully argued a caregiver’s pay is less than would be paid to a male with the same skill set in a different occupation, because caregivers are predominantly female.</w:t>
      </w:r>
      <w:r>
        <w:rPr>
          <w:rFonts w:ascii="Verdana" w:hAnsi="Verdana"/>
          <w:sz w:val="20"/>
          <w:szCs w:val="20"/>
        </w:rPr>
        <w:t xml:space="preserve"> </w:t>
      </w:r>
    </w:p>
    <w:p w14:paraId="4C316D3A" w14:textId="59380A54" w:rsidR="002C7B3F" w:rsidRPr="002C7B3F" w:rsidRDefault="00B1578D" w:rsidP="002C7B3F">
      <w:pPr>
        <w:pStyle w:val="Heading2"/>
        <w:shd w:val="clear" w:color="auto" w:fill="FFFFFF"/>
        <w:rPr>
          <w:color w:val="002639"/>
          <w:sz w:val="37"/>
          <w:szCs w:val="37"/>
          <w:lang w:val="en"/>
        </w:rPr>
      </w:pPr>
      <w:r>
        <w:rPr>
          <w:color w:val="002639"/>
          <w:sz w:val="37"/>
          <w:szCs w:val="37"/>
          <w:lang w:val="en"/>
        </w:rPr>
        <w:t>MSD / MVCOT Settle</w:t>
      </w:r>
      <w:r w:rsidR="002C7B3F" w:rsidRPr="002C7B3F">
        <w:rPr>
          <w:color w:val="002639"/>
          <w:sz w:val="37"/>
          <w:szCs w:val="37"/>
          <w:lang w:val="en"/>
        </w:rPr>
        <w:t>m</w:t>
      </w:r>
      <w:r>
        <w:rPr>
          <w:color w:val="002639"/>
          <w:sz w:val="37"/>
          <w:szCs w:val="37"/>
          <w:lang w:val="en"/>
        </w:rPr>
        <w:t>en</w:t>
      </w:r>
      <w:r w:rsidR="002C7B3F" w:rsidRPr="002C7B3F">
        <w:rPr>
          <w:color w:val="002639"/>
          <w:sz w:val="37"/>
          <w:szCs w:val="37"/>
          <w:lang w:val="en"/>
        </w:rPr>
        <w:t>t Agreement</w:t>
      </w:r>
    </w:p>
    <w:p w14:paraId="5CA431F5" w14:textId="5EAE94BF" w:rsidR="002C7B3F" w:rsidRDefault="002C7B3F" w:rsidP="002C7B3F">
      <w:pPr>
        <w:spacing w:before="240" w:after="120"/>
        <w:jc w:val="both"/>
        <w:rPr>
          <w:rFonts w:ascii="Verdana" w:hAnsi="Verdana"/>
          <w:sz w:val="20"/>
          <w:szCs w:val="20"/>
        </w:rPr>
      </w:pPr>
      <w:r w:rsidRPr="00CF170C">
        <w:rPr>
          <w:rFonts w:ascii="Verdana" w:eastAsiaTheme="minorHAnsi" w:hAnsi="Verdana"/>
          <w:sz w:val="20"/>
          <w:szCs w:val="20"/>
        </w:rPr>
        <w:t xml:space="preserve">1678 </w:t>
      </w:r>
      <w:r w:rsidR="00B1578D">
        <w:rPr>
          <w:rFonts w:ascii="Verdana" w:eastAsiaTheme="minorHAnsi" w:hAnsi="Verdana"/>
          <w:sz w:val="20"/>
          <w:szCs w:val="20"/>
        </w:rPr>
        <w:t xml:space="preserve">care and support </w:t>
      </w:r>
      <w:r w:rsidRPr="00CF170C">
        <w:rPr>
          <w:rFonts w:ascii="Verdana" w:eastAsiaTheme="minorHAnsi" w:hAnsi="Verdana"/>
          <w:sz w:val="20"/>
          <w:szCs w:val="20"/>
        </w:rPr>
        <w:t xml:space="preserve">workers </w:t>
      </w:r>
      <w:r>
        <w:rPr>
          <w:rFonts w:ascii="Verdana" w:eastAsiaTheme="minorHAnsi" w:hAnsi="Verdana"/>
          <w:sz w:val="20"/>
          <w:szCs w:val="20"/>
        </w:rPr>
        <w:t>are funded through 263 contracted</w:t>
      </w:r>
      <w:r w:rsidRPr="00CF170C">
        <w:rPr>
          <w:rFonts w:ascii="Verdana" w:eastAsiaTheme="minorHAnsi" w:hAnsi="Verdana"/>
          <w:sz w:val="20"/>
          <w:szCs w:val="20"/>
        </w:rPr>
        <w:t xml:space="preserve"> services </w:t>
      </w:r>
      <w:r>
        <w:rPr>
          <w:rFonts w:ascii="Verdana" w:eastAsiaTheme="minorHAnsi" w:hAnsi="Verdana"/>
          <w:sz w:val="20"/>
          <w:szCs w:val="20"/>
        </w:rPr>
        <w:t xml:space="preserve">which are </w:t>
      </w:r>
      <w:r w:rsidRPr="00CF170C">
        <w:rPr>
          <w:rFonts w:ascii="Verdana" w:eastAsiaTheme="minorHAnsi" w:hAnsi="Verdana"/>
          <w:sz w:val="20"/>
          <w:szCs w:val="20"/>
        </w:rPr>
        <w:t xml:space="preserve">accessed by about </w:t>
      </w:r>
      <w:r w:rsidR="00845447">
        <w:rPr>
          <w:rFonts w:ascii="Verdana" w:eastAsiaTheme="minorHAnsi" w:hAnsi="Verdana"/>
          <w:sz w:val="20"/>
          <w:szCs w:val="20"/>
        </w:rPr>
        <w:t>24</w:t>
      </w:r>
      <w:r w:rsidRPr="00CF170C">
        <w:rPr>
          <w:rFonts w:ascii="Verdana" w:eastAsiaTheme="minorHAnsi" w:hAnsi="Verdana"/>
          <w:sz w:val="20"/>
          <w:szCs w:val="20"/>
        </w:rPr>
        <w:t xml:space="preserve">,500 </w:t>
      </w:r>
      <w:r>
        <w:rPr>
          <w:rFonts w:ascii="Verdana" w:eastAsiaTheme="minorHAnsi" w:hAnsi="Verdana"/>
          <w:sz w:val="20"/>
          <w:szCs w:val="20"/>
        </w:rPr>
        <w:t xml:space="preserve">MSD and MVCOT clients. These workers </w:t>
      </w:r>
      <w:r w:rsidR="001A353D">
        <w:rPr>
          <w:rFonts w:ascii="Verdana" w:eastAsiaTheme="minorHAnsi" w:hAnsi="Verdana"/>
          <w:sz w:val="20"/>
          <w:szCs w:val="20"/>
        </w:rPr>
        <w:t>are</w:t>
      </w:r>
      <w:r>
        <w:rPr>
          <w:rFonts w:ascii="Verdana" w:eastAsiaTheme="minorHAnsi" w:hAnsi="Verdana"/>
          <w:sz w:val="20"/>
          <w:szCs w:val="20"/>
        </w:rPr>
        <w:t xml:space="preserve"> not covered by the </w:t>
      </w:r>
      <w:r>
        <w:rPr>
          <w:rFonts w:ascii="Verdana" w:hAnsi="Verdana"/>
          <w:sz w:val="20"/>
          <w:szCs w:val="20"/>
        </w:rPr>
        <w:t>Care and Support Workers (Pay Equity) Settlement Bill.</w:t>
      </w:r>
      <w:r w:rsidR="005C3E02">
        <w:rPr>
          <w:rFonts w:ascii="Verdana" w:hAnsi="Verdana"/>
          <w:sz w:val="20"/>
          <w:szCs w:val="20"/>
        </w:rPr>
        <w:t xml:space="preserve"> </w:t>
      </w:r>
    </w:p>
    <w:p w14:paraId="283D6A4A" w14:textId="6A8D411F" w:rsidR="00B42473" w:rsidRDefault="00B42473" w:rsidP="002C7B3F">
      <w:pPr>
        <w:spacing w:before="240" w:after="120"/>
        <w:jc w:val="both"/>
        <w:rPr>
          <w:rFonts w:ascii="Verdana" w:hAnsi="Verdana"/>
          <w:sz w:val="20"/>
          <w:szCs w:val="20"/>
        </w:rPr>
      </w:pPr>
      <w:r>
        <w:rPr>
          <w:rFonts w:ascii="Verdana" w:eastAsiaTheme="minorHAnsi" w:hAnsi="Verdana"/>
          <w:sz w:val="20"/>
          <w:szCs w:val="20"/>
        </w:rPr>
        <w:t>Implementation has a</w:t>
      </w:r>
      <w:r w:rsidRPr="00CF170C">
        <w:rPr>
          <w:rFonts w:ascii="Verdana" w:eastAsiaTheme="minorHAnsi" w:hAnsi="Verdana"/>
          <w:sz w:val="20"/>
          <w:szCs w:val="20"/>
        </w:rPr>
        <w:t xml:space="preserve"> projected cost of $</w:t>
      </w:r>
      <w:r w:rsidR="00845447">
        <w:rPr>
          <w:rFonts w:ascii="Verdana" w:eastAsiaTheme="minorHAnsi" w:hAnsi="Verdana"/>
          <w:sz w:val="20"/>
          <w:szCs w:val="20"/>
        </w:rPr>
        <w:t>55.8</w:t>
      </w:r>
      <w:r w:rsidRPr="00CF170C">
        <w:rPr>
          <w:rFonts w:ascii="Verdana" w:eastAsiaTheme="minorHAnsi" w:hAnsi="Verdana"/>
          <w:sz w:val="20"/>
          <w:szCs w:val="20"/>
        </w:rPr>
        <w:t xml:space="preserve"> million over five years</w:t>
      </w:r>
      <w:r>
        <w:rPr>
          <w:rFonts w:ascii="Verdana" w:eastAsiaTheme="minorHAnsi" w:hAnsi="Verdana"/>
          <w:sz w:val="20"/>
          <w:szCs w:val="20"/>
        </w:rPr>
        <w:t>.</w:t>
      </w:r>
    </w:p>
    <w:p w14:paraId="5E1DFB35" w14:textId="769984D8" w:rsidR="001B08FF" w:rsidRDefault="001B08FF" w:rsidP="001B08FF">
      <w:pPr>
        <w:spacing w:before="120"/>
        <w:rPr>
          <w:rFonts w:ascii="Verdana" w:hAnsi="Verdana"/>
          <w:sz w:val="20"/>
          <w:szCs w:val="20"/>
        </w:rPr>
      </w:pPr>
      <w:r>
        <w:rPr>
          <w:rFonts w:ascii="Verdana" w:hAnsi="Verdana"/>
          <w:sz w:val="20"/>
          <w:szCs w:val="20"/>
        </w:rPr>
        <w:t>The MSD/MVCOT s</w:t>
      </w:r>
      <w:r w:rsidRPr="009D65EB">
        <w:rPr>
          <w:rFonts w:ascii="Verdana" w:hAnsi="Verdana"/>
          <w:sz w:val="20"/>
          <w:szCs w:val="20"/>
        </w:rPr>
        <w:t xml:space="preserve">ettlement </w:t>
      </w:r>
      <w:r w:rsidR="002C7B3F">
        <w:rPr>
          <w:rFonts w:ascii="Verdana" w:hAnsi="Verdana"/>
          <w:sz w:val="20"/>
          <w:szCs w:val="20"/>
        </w:rPr>
        <w:t xml:space="preserve">agreement </w:t>
      </w:r>
      <w:r w:rsidR="00B1578D">
        <w:rPr>
          <w:rFonts w:ascii="Verdana" w:hAnsi="Verdana"/>
          <w:sz w:val="20"/>
          <w:szCs w:val="20"/>
        </w:rPr>
        <w:t>align</w:t>
      </w:r>
      <w:r w:rsidR="009F1F35">
        <w:rPr>
          <w:rFonts w:ascii="Verdana" w:hAnsi="Verdana"/>
          <w:sz w:val="20"/>
          <w:szCs w:val="20"/>
        </w:rPr>
        <w:t>s</w:t>
      </w:r>
      <w:r w:rsidRPr="009D65EB">
        <w:rPr>
          <w:rFonts w:ascii="Verdana" w:hAnsi="Verdana"/>
          <w:sz w:val="20"/>
          <w:szCs w:val="20"/>
        </w:rPr>
        <w:t xml:space="preserve"> the pay rates of disability care and support workers with the pay rates of workers carrying out similar work and covered by the </w:t>
      </w:r>
      <w:proofErr w:type="spellStart"/>
      <w:r w:rsidRPr="009D65EB">
        <w:rPr>
          <w:rFonts w:ascii="Verdana" w:hAnsi="Verdana"/>
          <w:sz w:val="20"/>
          <w:szCs w:val="20"/>
        </w:rPr>
        <w:t>TerraNova</w:t>
      </w:r>
      <w:proofErr w:type="spellEnd"/>
      <w:r w:rsidRPr="009D65EB">
        <w:rPr>
          <w:rFonts w:ascii="Verdana" w:hAnsi="Verdana"/>
          <w:sz w:val="20"/>
          <w:szCs w:val="20"/>
        </w:rPr>
        <w:t xml:space="preserve"> Settlement.</w:t>
      </w:r>
    </w:p>
    <w:p w14:paraId="74E20901" w14:textId="223A097E" w:rsidR="00970694" w:rsidRDefault="008133A8" w:rsidP="001B08FF">
      <w:pPr>
        <w:spacing w:before="120"/>
        <w:rPr>
          <w:rFonts w:ascii="Verdana" w:hAnsi="Verdana"/>
          <w:sz w:val="20"/>
          <w:szCs w:val="20"/>
        </w:rPr>
      </w:pPr>
      <w:r w:rsidRPr="009D65EB">
        <w:rPr>
          <w:rFonts w:ascii="Verdana" w:hAnsi="Verdana"/>
          <w:sz w:val="20"/>
          <w:szCs w:val="20"/>
        </w:rPr>
        <w:t xml:space="preserve">The Ministries </w:t>
      </w:r>
      <w:r>
        <w:rPr>
          <w:rFonts w:ascii="Verdana" w:hAnsi="Verdana"/>
          <w:sz w:val="20"/>
          <w:szCs w:val="20"/>
        </w:rPr>
        <w:t xml:space="preserve">regard the implementation of the pay equity settlement agreement as an opportunity to contribute to a </w:t>
      </w:r>
      <w:r w:rsidRPr="009D65EB">
        <w:rPr>
          <w:rFonts w:ascii="Verdana" w:hAnsi="Verdana"/>
          <w:sz w:val="20"/>
          <w:szCs w:val="20"/>
        </w:rPr>
        <w:t>better paid, more stable and highly trained workforce, resulting in higher quality and mor</w:t>
      </w:r>
      <w:r>
        <w:rPr>
          <w:rFonts w:ascii="Verdana" w:hAnsi="Verdana"/>
          <w:sz w:val="20"/>
          <w:szCs w:val="20"/>
        </w:rPr>
        <w:t xml:space="preserve">e consistent care for clients. </w:t>
      </w:r>
    </w:p>
    <w:p w14:paraId="5245A9DD" w14:textId="77777777" w:rsidR="00B83E43" w:rsidRDefault="00B83E43">
      <w:pPr>
        <w:spacing w:line="240" w:lineRule="auto"/>
        <w:rPr>
          <w:rFonts w:cs="Arial"/>
          <w:b/>
          <w:bCs/>
          <w:iCs/>
          <w:color w:val="002639"/>
          <w:sz w:val="37"/>
          <w:szCs w:val="37"/>
          <w:lang w:val="en"/>
        </w:rPr>
      </w:pPr>
      <w:r>
        <w:rPr>
          <w:color w:val="002639"/>
          <w:sz w:val="37"/>
          <w:szCs w:val="37"/>
          <w:lang w:val="en"/>
        </w:rPr>
        <w:br w:type="page"/>
      </w:r>
    </w:p>
    <w:p w14:paraId="27EF760B" w14:textId="5BAE8C35" w:rsidR="00B1578D" w:rsidRPr="001A353D" w:rsidRDefault="001A353D" w:rsidP="001A353D">
      <w:pPr>
        <w:pStyle w:val="Heading2"/>
        <w:shd w:val="clear" w:color="auto" w:fill="FFFFFF"/>
        <w:rPr>
          <w:color w:val="002639"/>
          <w:sz w:val="37"/>
          <w:szCs w:val="37"/>
          <w:lang w:val="en"/>
        </w:rPr>
      </w:pPr>
      <w:r w:rsidRPr="001A353D">
        <w:rPr>
          <w:color w:val="002639"/>
          <w:sz w:val="37"/>
          <w:szCs w:val="37"/>
          <w:lang w:val="en"/>
        </w:rPr>
        <w:lastRenderedPageBreak/>
        <w:t>Implementation</w:t>
      </w:r>
    </w:p>
    <w:p w14:paraId="0730B6B2" w14:textId="7B80F3B9" w:rsidR="00AE4579" w:rsidRDefault="00AE4579" w:rsidP="00AE4579">
      <w:pPr>
        <w:spacing w:before="120"/>
        <w:rPr>
          <w:rFonts w:ascii="Verdana" w:hAnsi="Verdana"/>
          <w:sz w:val="20"/>
          <w:szCs w:val="20"/>
        </w:rPr>
      </w:pPr>
      <w:r>
        <w:rPr>
          <w:rFonts w:ascii="Verdana" w:hAnsi="Verdana"/>
          <w:sz w:val="20"/>
          <w:szCs w:val="20"/>
        </w:rPr>
        <w:t xml:space="preserve">The Ministries </w:t>
      </w:r>
      <w:r w:rsidRPr="009D65EB">
        <w:rPr>
          <w:rFonts w:ascii="Verdana" w:hAnsi="Verdana"/>
          <w:sz w:val="20"/>
          <w:szCs w:val="20"/>
        </w:rPr>
        <w:t xml:space="preserve">have reached </w:t>
      </w:r>
      <w:r w:rsidR="00E4343D">
        <w:rPr>
          <w:rFonts w:ascii="Verdana" w:hAnsi="Verdana"/>
          <w:sz w:val="20"/>
          <w:szCs w:val="20"/>
        </w:rPr>
        <w:t xml:space="preserve">an </w:t>
      </w:r>
      <w:r w:rsidRPr="009D65EB">
        <w:rPr>
          <w:rFonts w:ascii="Verdana" w:hAnsi="Verdana"/>
          <w:sz w:val="20"/>
          <w:szCs w:val="20"/>
        </w:rPr>
        <w:t xml:space="preserve">agreement with unions to fund significant pay increases and </w:t>
      </w:r>
      <w:r w:rsidR="00845447">
        <w:rPr>
          <w:rFonts w:ascii="Verdana" w:hAnsi="Verdana"/>
          <w:sz w:val="20"/>
          <w:szCs w:val="20"/>
        </w:rPr>
        <w:t>supporting</w:t>
      </w:r>
      <w:r>
        <w:rPr>
          <w:rFonts w:ascii="Verdana" w:hAnsi="Verdana"/>
          <w:sz w:val="20"/>
          <w:szCs w:val="20"/>
        </w:rPr>
        <w:t xml:space="preserve"> staff training, effective </w:t>
      </w:r>
      <w:r w:rsidR="00845447">
        <w:rPr>
          <w:rFonts w:ascii="Verdana" w:hAnsi="Verdana"/>
          <w:sz w:val="20"/>
          <w:szCs w:val="20"/>
        </w:rPr>
        <w:t>as from</w:t>
      </w:r>
      <w:r>
        <w:rPr>
          <w:rFonts w:ascii="Verdana" w:hAnsi="Verdana"/>
          <w:sz w:val="20"/>
          <w:szCs w:val="20"/>
        </w:rPr>
        <w:t>1 July 2017.</w:t>
      </w:r>
    </w:p>
    <w:p w14:paraId="53A1AD15" w14:textId="6B3B50B3" w:rsidR="00AE4579" w:rsidRDefault="00AE4579" w:rsidP="00AE4579">
      <w:pPr>
        <w:spacing w:before="120"/>
        <w:rPr>
          <w:rFonts w:ascii="Verdana" w:hAnsi="Verdana"/>
          <w:sz w:val="20"/>
          <w:szCs w:val="20"/>
        </w:rPr>
      </w:pPr>
      <w:r w:rsidRPr="008C5577">
        <w:rPr>
          <w:rFonts w:ascii="Verdana" w:hAnsi="Verdana"/>
          <w:sz w:val="20"/>
          <w:szCs w:val="20"/>
        </w:rPr>
        <w:t>Cabinet approved funding on 10 July 2017</w:t>
      </w:r>
      <w:r>
        <w:rPr>
          <w:rFonts w:ascii="Verdana" w:hAnsi="Verdana"/>
          <w:sz w:val="20"/>
          <w:szCs w:val="20"/>
        </w:rPr>
        <w:t xml:space="preserve"> to implement a Settlement Agreement for workers funded through MSD and MVCOT contracts. </w:t>
      </w:r>
    </w:p>
    <w:p w14:paraId="5D93DFC8" w14:textId="1F062FC8" w:rsidR="00AE4579" w:rsidRDefault="00AE4579" w:rsidP="00AE4579">
      <w:pPr>
        <w:spacing w:before="120"/>
        <w:rPr>
          <w:rFonts w:ascii="Verdana" w:hAnsi="Verdana"/>
          <w:sz w:val="20"/>
          <w:szCs w:val="20"/>
        </w:rPr>
      </w:pPr>
      <w:r>
        <w:rPr>
          <w:rFonts w:ascii="Verdana" w:hAnsi="Verdana"/>
          <w:sz w:val="20"/>
          <w:szCs w:val="20"/>
        </w:rPr>
        <w:t xml:space="preserve">The Settlement Agreement </w:t>
      </w:r>
      <w:r w:rsidR="00817465">
        <w:rPr>
          <w:rFonts w:ascii="Verdana" w:hAnsi="Verdana"/>
          <w:sz w:val="20"/>
          <w:szCs w:val="20"/>
        </w:rPr>
        <w:t>required</w:t>
      </w:r>
      <w:r w:rsidR="005C3E02">
        <w:rPr>
          <w:rFonts w:ascii="Verdana" w:hAnsi="Verdana"/>
          <w:sz w:val="20"/>
          <w:szCs w:val="20"/>
        </w:rPr>
        <w:t xml:space="preserve"> approval</w:t>
      </w:r>
      <w:r>
        <w:rPr>
          <w:rFonts w:ascii="Verdana" w:hAnsi="Verdana"/>
          <w:sz w:val="20"/>
          <w:szCs w:val="20"/>
        </w:rPr>
        <w:t xml:space="preserve"> by Ministers, and </w:t>
      </w:r>
      <w:r w:rsidR="00845447">
        <w:rPr>
          <w:rFonts w:ascii="Verdana" w:hAnsi="Verdana"/>
          <w:sz w:val="20"/>
          <w:szCs w:val="20"/>
        </w:rPr>
        <w:t xml:space="preserve">ratification by the </w:t>
      </w:r>
      <w:r>
        <w:rPr>
          <w:rFonts w:ascii="Verdana" w:hAnsi="Verdana"/>
          <w:sz w:val="20"/>
          <w:szCs w:val="20"/>
        </w:rPr>
        <w:t>unions.</w:t>
      </w:r>
    </w:p>
    <w:p w14:paraId="21648282" w14:textId="59FD3F26" w:rsidR="00B1578D" w:rsidRDefault="00B1578D" w:rsidP="00B1578D">
      <w:pPr>
        <w:spacing w:before="120"/>
        <w:rPr>
          <w:rFonts w:ascii="Verdana" w:hAnsi="Verdana"/>
          <w:sz w:val="20"/>
          <w:szCs w:val="20"/>
        </w:rPr>
      </w:pPr>
      <w:r>
        <w:rPr>
          <w:rFonts w:ascii="Verdana" w:hAnsi="Verdana"/>
          <w:sz w:val="20"/>
          <w:szCs w:val="20"/>
        </w:rPr>
        <w:t xml:space="preserve">Following union ratification, implementation </w:t>
      </w:r>
      <w:r w:rsidR="007A29A4">
        <w:rPr>
          <w:rFonts w:ascii="Verdana" w:hAnsi="Verdana"/>
          <w:sz w:val="20"/>
          <w:szCs w:val="20"/>
        </w:rPr>
        <w:t>of the settlement a</w:t>
      </w:r>
      <w:r>
        <w:rPr>
          <w:rFonts w:ascii="Verdana" w:hAnsi="Verdana"/>
          <w:sz w:val="20"/>
          <w:szCs w:val="20"/>
        </w:rPr>
        <w:t xml:space="preserve">greement </w:t>
      </w:r>
      <w:r w:rsidR="00AE3424">
        <w:rPr>
          <w:rFonts w:ascii="Verdana" w:hAnsi="Verdana"/>
          <w:sz w:val="20"/>
          <w:szCs w:val="20"/>
        </w:rPr>
        <w:t>was</w:t>
      </w:r>
      <w:r>
        <w:rPr>
          <w:rFonts w:ascii="Verdana" w:hAnsi="Verdana"/>
          <w:sz w:val="20"/>
          <w:szCs w:val="20"/>
        </w:rPr>
        <w:t xml:space="preserve"> achieved through a standard variation to contract with employers who are funded by MSD/MVCOT for services carried out by workers who are eligible for the pay increase.</w:t>
      </w:r>
    </w:p>
    <w:p w14:paraId="5B39331E" w14:textId="1FF57EEE" w:rsidR="00E4343D" w:rsidRDefault="00E4343D" w:rsidP="00E4343D">
      <w:pPr>
        <w:pStyle w:val="Heading2"/>
        <w:shd w:val="clear" w:color="auto" w:fill="FFFFFF"/>
        <w:rPr>
          <w:color w:val="002639"/>
          <w:sz w:val="37"/>
          <w:szCs w:val="37"/>
          <w:lang w:val="en"/>
        </w:rPr>
      </w:pPr>
      <w:r>
        <w:rPr>
          <w:color w:val="002639"/>
          <w:sz w:val="37"/>
          <w:szCs w:val="37"/>
          <w:lang w:val="en"/>
        </w:rPr>
        <w:t>Privacy C</w:t>
      </w:r>
      <w:r w:rsidRPr="00E4343D">
        <w:rPr>
          <w:color w:val="002639"/>
          <w:sz w:val="37"/>
          <w:szCs w:val="37"/>
          <w:lang w:val="en"/>
        </w:rPr>
        <w:t>onsiderations</w:t>
      </w:r>
    </w:p>
    <w:p w14:paraId="2CB78902" w14:textId="4DD14BF5" w:rsidR="00E4343D" w:rsidRPr="00387FB7" w:rsidRDefault="00E4343D" w:rsidP="00E4343D">
      <w:pPr>
        <w:rPr>
          <w:rFonts w:ascii="Verdana" w:hAnsi="Verdana"/>
          <w:sz w:val="20"/>
          <w:szCs w:val="20"/>
        </w:rPr>
      </w:pPr>
      <w:r w:rsidRPr="00387FB7">
        <w:rPr>
          <w:rFonts w:ascii="Verdana" w:hAnsi="Verdana"/>
          <w:sz w:val="20"/>
          <w:szCs w:val="20"/>
        </w:rPr>
        <w:t>The</w:t>
      </w:r>
      <w:r w:rsidR="007A29A4">
        <w:rPr>
          <w:rFonts w:ascii="Verdana" w:hAnsi="Verdana"/>
          <w:sz w:val="20"/>
          <w:szCs w:val="20"/>
        </w:rPr>
        <w:t xml:space="preserve"> s</w:t>
      </w:r>
      <w:r w:rsidRPr="00387FB7">
        <w:rPr>
          <w:rFonts w:ascii="Verdana" w:hAnsi="Verdana"/>
          <w:sz w:val="20"/>
          <w:szCs w:val="20"/>
        </w:rPr>
        <w:t>ettlement</w:t>
      </w:r>
      <w:r w:rsidR="007A29A4">
        <w:rPr>
          <w:rFonts w:ascii="Verdana" w:hAnsi="Verdana"/>
          <w:sz w:val="20"/>
          <w:szCs w:val="20"/>
        </w:rPr>
        <w:t xml:space="preserve"> a</w:t>
      </w:r>
      <w:r>
        <w:rPr>
          <w:rFonts w:ascii="Verdana" w:hAnsi="Verdana"/>
          <w:sz w:val="20"/>
          <w:szCs w:val="20"/>
        </w:rPr>
        <w:t>greement</w:t>
      </w:r>
      <w:r w:rsidRPr="00387FB7">
        <w:rPr>
          <w:rFonts w:ascii="Verdana" w:hAnsi="Verdana"/>
          <w:sz w:val="20"/>
          <w:szCs w:val="20"/>
        </w:rPr>
        <w:t xml:space="preserve"> </w:t>
      </w:r>
      <w:r>
        <w:rPr>
          <w:rFonts w:ascii="Verdana" w:hAnsi="Verdana"/>
          <w:sz w:val="20"/>
          <w:szCs w:val="20"/>
        </w:rPr>
        <w:t>will require</w:t>
      </w:r>
      <w:r w:rsidRPr="00387FB7">
        <w:rPr>
          <w:rFonts w:ascii="Verdana" w:hAnsi="Verdana"/>
          <w:sz w:val="20"/>
          <w:szCs w:val="20"/>
        </w:rPr>
        <w:t xml:space="preserve"> records to be kept which associate details of employment with the unique identifier of an employee number. Employee names are not required to be associated with the data. The records relating to individual employees must include:</w:t>
      </w:r>
    </w:p>
    <w:p w14:paraId="180FDC48" w14:textId="77777777" w:rsidR="00E4343D" w:rsidRPr="00387FB7" w:rsidRDefault="00E4343D" w:rsidP="00E4343D">
      <w:pPr>
        <w:pStyle w:val="ListParagraph"/>
        <w:numPr>
          <w:ilvl w:val="0"/>
          <w:numId w:val="18"/>
        </w:numPr>
        <w:spacing w:before="120" w:line="240" w:lineRule="auto"/>
        <w:rPr>
          <w:rFonts w:ascii="Verdana" w:hAnsi="Verdana" w:cs="Arial"/>
          <w:sz w:val="20"/>
          <w:szCs w:val="20"/>
        </w:rPr>
      </w:pPr>
      <w:r w:rsidRPr="00387FB7">
        <w:rPr>
          <w:rFonts w:ascii="Verdana" w:hAnsi="Verdana" w:cs="Arial"/>
          <w:sz w:val="20"/>
          <w:szCs w:val="20"/>
        </w:rPr>
        <w:t xml:space="preserve">Level of qualification </w:t>
      </w:r>
    </w:p>
    <w:p w14:paraId="338285BB" w14:textId="77777777" w:rsidR="00E4343D" w:rsidRPr="00387FB7" w:rsidRDefault="00E4343D" w:rsidP="00E4343D">
      <w:pPr>
        <w:pStyle w:val="ListParagraph"/>
        <w:numPr>
          <w:ilvl w:val="0"/>
          <w:numId w:val="18"/>
        </w:numPr>
        <w:spacing w:before="120" w:line="240" w:lineRule="auto"/>
        <w:rPr>
          <w:rFonts w:ascii="Verdana" w:hAnsi="Verdana" w:cs="Arial"/>
          <w:sz w:val="20"/>
          <w:szCs w:val="20"/>
        </w:rPr>
      </w:pPr>
      <w:r w:rsidRPr="00387FB7">
        <w:rPr>
          <w:rFonts w:ascii="Verdana" w:hAnsi="Verdana" w:cs="Arial"/>
          <w:sz w:val="20"/>
          <w:szCs w:val="20"/>
        </w:rPr>
        <w:t>Length of time of continuous employment</w:t>
      </w:r>
    </w:p>
    <w:p w14:paraId="31512D07" w14:textId="77777777" w:rsidR="00E4343D" w:rsidRPr="00387FB7" w:rsidRDefault="00E4343D" w:rsidP="00E4343D">
      <w:pPr>
        <w:pStyle w:val="ListParagraph"/>
        <w:numPr>
          <w:ilvl w:val="0"/>
          <w:numId w:val="18"/>
        </w:numPr>
        <w:spacing w:before="120" w:line="240" w:lineRule="auto"/>
        <w:rPr>
          <w:rFonts w:ascii="Verdana" w:hAnsi="Verdana" w:cs="Arial"/>
          <w:sz w:val="20"/>
          <w:szCs w:val="20"/>
        </w:rPr>
      </w:pPr>
      <w:r w:rsidRPr="00387FB7">
        <w:rPr>
          <w:rFonts w:ascii="Verdana" w:hAnsi="Verdana" w:cs="Arial"/>
          <w:sz w:val="20"/>
          <w:szCs w:val="20"/>
        </w:rPr>
        <w:t>Wages and time record</w:t>
      </w:r>
    </w:p>
    <w:p w14:paraId="09AA10FB" w14:textId="77777777" w:rsidR="00970694" w:rsidRPr="00970694" w:rsidRDefault="00970694" w:rsidP="00970694">
      <w:pPr>
        <w:pStyle w:val="Heading2"/>
        <w:shd w:val="clear" w:color="auto" w:fill="FFFFFF"/>
        <w:rPr>
          <w:color w:val="002639"/>
          <w:sz w:val="37"/>
          <w:szCs w:val="37"/>
          <w:lang w:val="en"/>
        </w:rPr>
      </w:pPr>
      <w:r w:rsidRPr="00970694">
        <w:rPr>
          <w:color w:val="002639"/>
          <w:sz w:val="37"/>
          <w:szCs w:val="37"/>
          <w:lang w:val="en"/>
        </w:rPr>
        <w:t>Consultation</w:t>
      </w:r>
    </w:p>
    <w:p w14:paraId="5C5A1FC2" w14:textId="77777777" w:rsidR="00970694" w:rsidRDefault="00970694" w:rsidP="00970694">
      <w:pPr>
        <w:rPr>
          <w:rFonts w:ascii="Verdana" w:hAnsi="Verdana"/>
          <w:sz w:val="20"/>
          <w:szCs w:val="20"/>
        </w:rPr>
      </w:pPr>
      <w:r w:rsidRPr="008A60BB">
        <w:rPr>
          <w:rFonts w:ascii="Verdana" w:hAnsi="Verdana"/>
          <w:sz w:val="20"/>
          <w:szCs w:val="20"/>
        </w:rPr>
        <w:t xml:space="preserve">The </w:t>
      </w:r>
      <w:r>
        <w:rPr>
          <w:rFonts w:ascii="Verdana" w:hAnsi="Verdana"/>
          <w:sz w:val="20"/>
          <w:szCs w:val="20"/>
        </w:rPr>
        <w:t>following individuals and organisations</w:t>
      </w:r>
      <w:r w:rsidRPr="008A60BB">
        <w:rPr>
          <w:rFonts w:ascii="Verdana" w:hAnsi="Verdana"/>
          <w:sz w:val="20"/>
          <w:szCs w:val="20"/>
        </w:rPr>
        <w:t xml:space="preserve"> have been and continue to be consulted with throughout the implementation process:</w:t>
      </w:r>
    </w:p>
    <w:p w14:paraId="0881469F" w14:textId="72304ADB" w:rsidR="00970694" w:rsidRDefault="00970694" w:rsidP="00970694">
      <w:pPr>
        <w:pStyle w:val="ListParagraph"/>
        <w:numPr>
          <w:ilvl w:val="0"/>
          <w:numId w:val="17"/>
        </w:numPr>
        <w:spacing w:before="120" w:line="360" w:lineRule="auto"/>
        <w:rPr>
          <w:rFonts w:ascii="Verdana" w:hAnsi="Verdana"/>
          <w:sz w:val="20"/>
          <w:szCs w:val="20"/>
        </w:rPr>
      </w:pPr>
      <w:r>
        <w:rPr>
          <w:rFonts w:ascii="Verdana" w:hAnsi="Verdana"/>
          <w:sz w:val="20"/>
          <w:szCs w:val="20"/>
        </w:rPr>
        <w:t>Minister</w:t>
      </w:r>
      <w:r w:rsidR="00845447">
        <w:rPr>
          <w:rFonts w:ascii="Verdana" w:hAnsi="Verdana"/>
          <w:sz w:val="20"/>
          <w:szCs w:val="20"/>
        </w:rPr>
        <w:t>s</w:t>
      </w:r>
    </w:p>
    <w:p w14:paraId="627EFFE0" w14:textId="77777777" w:rsidR="00970694" w:rsidRPr="008F7035" w:rsidRDefault="00970694" w:rsidP="00970694">
      <w:pPr>
        <w:pStyle w:val="ListParagraph"/>
        <w:numPr>
          <w:ilvl w:val="0"/>
          <w:numId w:val="17"/>
        </w:numPr>
        <w:spacing w:before="120" w:line="360" w:lineRule="auto"/>
        <w:rPr>
          <w:rFonts w:ascii="Verdana" w:hAnsi="Verdana"/>
          <w:sz w:val="20"/>
          <w:szCs w:val="20"/>
        </w:rPr>
      </w:pPr>
      <w:r w:rsidRPr="008F7035">
        <w:rPr>
          <w:rFonts w:ascii="Verdana" w:hAnsi="Verdana"/>
          <w:sz w:val="20"/>
          <w:szCs w:val="20"/>
        </w:rPr>
        <w:t>Unions</w:t>
      </w:r>
      <w:r>
        <w:rPr>
          <w:rFonts w:ascii="Verdana" w:hAnsi="Verdana"/>
          <w:sz w:val="20"/>
          <w:szCs w:val="20"/>
        </w:rPr>
        <w:t xml:space="preserve"> (E </w:t>
      </w:r>
      <w:proofErr w:type="spellStart"/>
      <w:r>
        <w:rPr>
          <w:rFonts w:ascii="Verdana" w:hAnsi="Verdana"/>
          <w:sz w:val="20"/>
          <w:szCs w:val="20"/>
        </w:rPr>
        <w:t>tu</w:t>
      </w:r>
      <w:proofErr w:type="spellEnd"/>
      <w:r>
        <w:rPr>
          <w:rFonts w:ascii="Verdana" w:hAnsi="Verdana"/>
          <w:sz w:val="20"/>
          <w:szCs w:val="20"/>
        </w:rPr>
        <w:t xml:space="preserve"> and PSA)</w:t>
      </w:r>
    </w:p>
    <w:p w14:paraId="3D2B2478" w14:textId="77777777" w:rsidR="00970694" w:rsidRDefault="00970694" w:rsidP="00970694">
      <w:pPr>
        <w:pStyle w:val="ListParagraph"/>
        <w:numPr>
          <w:ilvl w:val="0"/>
          <w:numId w:val="17"/>
        </w:numPr>
        <w:spacing w:before="120" w:line="360" w:lineRule="auto"/>
        <w:rPr>
          <w:rFonts w:ascii="Verdana" w:hAnsi="Verdana"/>
          <w:sz w:val="20"/>
          <w:szCs w:val="20"/>
        </w:rPr>
      </w:pPr>
      <w:r w:rsidRPr="008F7035">
        <w:rPr>
          <w:rFonts w:ascii="Verdana" w:hAnsi="Verdana"/>
          <w:sz w:val="20"/>
          <w:szCs w:val="20"/>
        </w:rPr>
        <w:t>Ministry of Health</w:t>
      </w:r>
    </w:p>
    <w:p w14:paraId="3B22DF3E" w14:textId="77777777" w:rsidR="00970694" w:rsidRDefault="00970694" w:rsidP="00970694">
      <w:pPr>
        <w:pStyle w:val="ListParagraph"/>
        <w:numPr>
          <w:ilvl w:val="0"/>
          <w:numId w:val="17"/>
        </w:numPr>
        <w:spacing w:before="120" w:line="360" w:lineRule="auto"/>
        <w:rPr>
          <w:rFonts w:ascii="Verdana" w:hAnsi="Verdana"/>
          <w:sz w:val="20"/>
          <w:szCs w:val="20"/>
        </w:rPr>
      </w:pPr>
      <w:r>
        <w:rPr>
          <w:rFonts w:ascii="Verdana" w:hAnsi="Verdana"/>
          <w:sz w:val="20"/>
          <w:szCs w:val="20"/>
        </w:rPr>
        <w:t>Treasury</w:t>
      </w:r>
    </w:p>
    <w:p w14:paraId="43DB2A96" w14:textId="77777777" w:rsidR="00970694" w:rsidRPr="008F7035" w:rsidRDefault="00970694" w:rsidP="00970694">
      <w:pPr>
        <w:pStyle w:val="ListParagraph"/>
        <w:numPr>
          <w:ilvl w:val="0"/>
          <w:numId w:val="17"/>
        </w:numPr>
        <w:spacing w:before="120" w:line="360" w:lineRule="auto"/>
        <w:rPr>
          <w:rFonts w:ascii="Verdana" w:hAnsi="Verdana"/>
          <w:sz w:val="20"/>
          <w:szCs w:val="20"/>
        </w:rPr>
      </w:pPr>
      <w:r>
        <w:rPr>
          <w:rFonts w:ascii="Verdana" w:hAnsi="Verdana"/>
          <w:sz w:val="20"/>
          <w:szCs w:val="20"/>
        </w:rPr>
        <w:t>MSD / MVCOT Executives</w:t>
      </w:r>
    </w:p>
    <w:p w14:paraId="49FD86E5" w14:textId="77777777" w:rsidR="00970694" w:rsidRPr="008F7035" w:rsidRDefault="00970694" w:rsidP="00970694">
      <w:pPr>
        <w:pStyle w:val="ListParagraph"/>
        <w:numPr>
          <w:ilvl w:val="0"/>
          <w:numId w:val="17"/>
        </w:numPr>
        <w:spacing w:before="120" w:line="360" w:lineRule="auto"/>
        <w:rPr>
          <w:rFonts w:ascii="Verdana" w:hAnsi="Verdana"/>
          <w:sz w:val="20"/>
          <w:szCs w:val="20"/>
        </w:rPr>
      </w:pPr>
      <w:r>
        <w:rPr>
          <w:rFonts w:ascii="Verdana" w:hAnsi="Verdana"/>
          <w:sz w:val="20"/>
          <w:szCs w:val="20"/>
        </w:rPr>
        <w:t>DPOs and disability sector, advocates</w:t>
      </w:r>
    </w:p>
    <w:p w14:paraId="36B6460C" w14:textId="7036ECCC" w:rsidR="00970694" w:rsidRPr="00970694" w:rsidRDefault="00970694" w:rsidP="00970694">
      <w:pPr>
        <w:pStyle w:val="ListParagraph"/>
        <w:numPr>
          <w:ilvl w:val="0"/>
          <w:numId w:val="17"/>
        </w:numPr>
        <w:spacing w:before="120" w:line="360" w:lineRule="auto"/>
        <w:rPr>
          <w:rFonts w:ascii="Verdana" w:hAnsi="Verdana"/>
          <w:sz w:val="20"/>
          <w:szCs w:val="20"/>
        </w:rPr>
      </w:pPr>
      <w:r>
        <w:rPr>
          <w:rFonts w:ascii="Verdana" w:hAnsi="Verdana"/>
          <w:sz w:val="20"/>
          <w:szCs w:val="20"/>
        </w:rPr>
        <w:t>Employers</w:t>
      </w:r>
    </w:p>
    <w:p w14:paraId="19C07314" w14:textId="77777777" w:rsidR="002879C8" w:rsidRDefault="002879C8">
      <w:pPr>
        <w:spacing w:line="240" w:lineRule="auto"/>
        <w:rPr>
          <w:rFonts w:cs="Arial"/>
          <w:b/>
          <w:bCs/>
          <w:iCs/>
          <w:color w:val="002639"/>
          <w:sz w:val="37"/>
          <w:szCs w:val="37"/>
          <w:lang w:val="en"/>
        </w:rPr>
      </w:pPr>
      <w:r>
        <w:rPr>
          <w:color w:val="002639"/>
          <w:sz w:val="37"/>
          <w:szCs w:val="37"/>
          <w:lang w:val="en"/>
        </w:rPr>
        <w:br w:type="page"/>
      </w:r>
    </w:p>
    <w:p w14:paraId="385D719E" w14:textId="1CFFBB48" w:rsidR="008133A8" w:rsidRPr="008133A8" w:rsidRDefault="00AE4579" w:rsidP="008133A8">
      <w:pPr>
        <w:pStyle w:val="Heading2"/>
        <w:shd w:val="clear" w:color="auto" w:fill="FFFFFF"/>
        <w:rPr>
          <w:color w:val="002639"/>
          <w:sz w:val="37"/>
          <w:szCs w:val="37"/>
          <w:lang w:val="en"/>
        </w:rPr>
      </w:pPr>
      <w:r w:rsidRPr="008133A8">
        <w:rPr>
          <w:color w:val="002639"/>
          <w:sz w:val="37"/>
          <w:szCs w:val="37"/>
          <w:lang w:val="en"/>
        </w:rPr>
        <w:lastRenderedPageBreak/>
        <w:t>E</w:t>
      </w:r>
      <w:r>
        <w:rPr>
          <w:color w:val="002639"/>
          <w:sz w:val="37"/>
          <w:szCs w:val="37"/>
          <w:lang w:val="en"/>
        </w:rPr>
        <w:t>ligib</w:t>
      </w:r>
      <w:r w:rsidRPr="008133A8">
        <w:rPr>
          <w:color w:val="002639"/>
          <w:sz w:val="37"/>
          <w:szCs w:val="37"/>
          <w:lang w:val="en"/>
        </w:rPr>
        <w:t>ility</w:t>
      </w:r>
    </w:p>
    <w:p w14:paraId="66959B18" w14:textId="1565E8CB" w:rsidR="008133A8" w:rsidRPr="008133A8" w:rsidRDefault="008133A8" w:rsidP="008133A8">
      <w:pPr>
        <w:spacing w:before="120"/>
        <w:rPr>
          <w:rFonts w:ascii="Verdana" w:hAnsi="Verdana"/>
          <w:sz w:val="20"/>
          <w:szCs w:val="20"/>
        </w:rPr>
      </w:pPr>
      <w:r w:rsidRPr="008133A8">
        <w:rPr>
          <w:rFonts w:ascii="Verdana" w:hAnsi="Verdana"/>
          <w:sz w:val="20"/>
          <w:szCs w:val="20"/>
        </w:rPr>
        <w:t xml:space="preserve">The </w:t>
      </w:r>
      <w:r w:rsidR="007A29A4">
        <w:rPr>
          <w:rFonts w:ascii="Verdana" w:hAnsi="Verdana"/>
          <w:sz w:val="20"/>
          <w:szCs w:val="20"/>
        </w:rPr>
        <w:t>s</w:t>
      </w:r>
      <w:r w:rsidRPr="008133A8">
        <w:rPr>
          <w:rFonts w:ascii="Verdana" w:hAnsi="Verdana"/>
          <w:sz w:val="20"/>
          <w:szCs w:val="20"/>
        </w:rPr>
        <w:t xml:space="preserve">ettlement </w:t>
      </w:r>
      <w:r w:rsidR="007A29A4">
        <w:rPr>
          <w:rFonts w:ascii="Verdana" w:hAnsi="Verdana"/>
          <w:sz w:val="20"/>
          <w:szCs w:val="20"/>
        </w:rPr>
        <w:t>a</w:t>
      </w:r>
      <w:r w:rsidRPr="008133A8">
        <w:rPr>
          <w:rFonts w:ascii="Verdana" w:hAnsi="Verdana"/>
          <w:sz w:val="20"/>
          <w:szCs w:val="20"/>
        </w:rPr>
        <w:t xml:space="preserve">greement covers care and support workers </w:t>
      </w:r>
      <w:r w:rsidR="00B42473">
        <w:rPr>
          <w:rFonts w:ascii="Verdana" w:hAnsi="Verdana"/>
          <w:sz w:val="20"/>
          <w:szCs w:val="20"/>
        </w:rPr>
        <w:t>employed by</w:t>
      </w:r>
      <w:r w:rsidRPr="008133A8">
        <w:rPr>
          <w:rFonts w:ascii="Verdana" w:hAnsi="Verdana"/>
          <w:sz w:val="20"/>
          <w:szCs w:val="20"/>
        </w:rPr>
        <w:t xml:space="preserve"> providers who receive funds through contracts with MSD and MVCOT.</w:t>
      </w:r>
    </w:p>
    <w:p w14:paraId="2A87D52C" w14:textId="77777777" w:rsidR="008133A8" w:rsidRPr="009D65EB" w:rsidRDefault="008133A8" w:rsidP="008133A8">
      <w:pPr>
        <w:spacing w:before="120"/>
        <w:rPr>
          <w:rFonts w:ascii="Verdana" w:hAnsi="Verdana"/>
          <w:sz w:val="20"/>
          <w:szCs w:val="20"/>
        </w:rPr>
      </w:pPr>
    </w:p>
    <w:p w14:paraId="2746F0B3" w14:textId="77777777" w:rsidR="006F4340" w:rsidRPr="006F4340" w:rsidRDefault="006F4340" w:rsidP="00B42473">
      <w:pPr>
        <w:pStyle w:val="ListParagraph"/>
        <w:numPr>
          <w:ilvl w:val="0"/>
          <w:numId w:val="12"/>
        </w:numPr>
        <w:rPr>
          <w:rFonts w:ascii="Verdana" w:hAnsi="Verdana"/>
          <w:sz w:val="20"/>
          <w:szCs w:val="20"/>
        </w:rPr>
      </w:pPr>
      <w:r w:rsidRPr="006F4340">
        <w:rPr>
          <w:rFonts w:ascii="Verdana" w:hAnsi="Verdana"/>
          <w:sz w:val="20"/>
          <w:szCs w:val="20"/>
        </w:rPr>
        <w:t xml:space="preserve">Workers are eligible if they have job titles/job descriptions that identify them as care and support workers. </w:t>
      </w:r>
    </w:p>
    <w:p w14:paraId="1DB233FC" w14:textId="77777777" w:rsidR="006F4340" w:rsidRPr="006F4340" w:rsidRDefault="006F4340" w:rsidP="00B42473">
      <w:pPr>
        <w:pStyle w:val="ListParagraph"/>
        <w:rPr>
          <w:rFonts w:ascii="Verdana" w:hAnsi="Verdana"/>
          <w:sz w:val="20"/>
          <w:szCs w:val="20"/>
        </w:rPr>
      </w:pPr>
    </w:p>
    <w:p w14:paraId="0F6E3483" w14:textId="1BD7F296" w:rsidR="00B42473" w:rsidRPr="00B42473" w:rsidRDefault="008133A8" w:rsidP="00B42473">
      <w:pPr>
        <w:pStyle w:val="ListParagraph"/>
        <w:numPr>
          <w:ilvl w:val="0"/>
          <w:numId w:val="12"/>
        </w:numPr>
        <w:rPr>
          <w:rFonts w:ascii="Verdana" w:hAnsi="Verdana"/>
          <w:sz w:val="20"/>
          <w:szCs w:val="20"/>
        </w:rPr>
      </w:pPr>
      <w:r w:rsidRPr="008133A8">
        <w:rPr>
          <w:rFonts w:ascii="Verdana" w:hAnsi="Verdana"/>
          <w:sz w:val="20"/>
          <w:szCs w:val="20"/>
        </w:rPr>
        <w:t xml:space="preserve">Workers are eligible if they spend more than 50% of their time providing care and support services including help to wash, dress and eat, help with the laundry, housework and shopping, or help getting to appointments. </w:t>
      </w:r>
    </w:p>
    <w:p w14:paraId="256ADB5D" w14:textId="77777777" w:rsidR="00B42473" w:rsidRPr="00B42473" w:rsidRDefault="00B42473" w:rsidP="00B42473">
      <w:pPr>
        <w:pStyle w:val="ListParagraph"/>
        <w:rPr>
          <w:rFonts w:ascii="Verdana" w:hAnsi="Verdana"/>
          <w:sz w:val="20"/>
          <w:szCs w:val="20"/>
        </w:rPr>
      </w:pPr>
    </w:p>
    <w:p w14:paraId="59EA09DE" w14:textId="5FA637A7" w:rsidR="008133A8" w:rsidRPr="006F4340" w:rsidRDefault="006F4340" w:rsidP="00B42473">
      <w:pPr>
        <w:pStyle w:val="ListParagraph"/>
        <w:numPr>
          <w:ilvl w:val="0"/>
          <w:numId w:val="12"/>
        </w:numPr>
        <w:rPr>
          <w:rFonts w:ascii="Verdana" w:hAnsi="Verdana"/>
          <w:sz w:val="20"/>
          <w:szCs w:val="20"/>
        </w:rPr>
      </w:pPr>
      <w:r w:rsidRPr="006F4340">
        <w:rPr>
          <w:rFonts w:ascii="Verdana" w:hAnsi="Verdana"/>
          <w:sz w:val="20"/>
          <w:szCs w:val="20"/>
        </w:rPr>
        <w:t xml:space="preserve">If a worker is eligible, they may be entitled to the minimum hourly wages for all or part of the care and support services they provide.  A provider will have to decide if some of the services are excluded from entitlement. </w:t>
      </w:r>
    </w:p>
    <w:p w14:paraId="5D2B1C50" w14:textId="77777777" w:rsidR="008133A8" w:rsidRPr="008133A8" w:rsidRDefault="008133A8" w:rsidP="00B42473">
      <w:pPr>
        <w:pStyle w:val="ListParagraph"/>
        <w:rPr>
          <w:rFonts w:ascii="Verdana" w:hAnsi="Verdana"/>
          <w:sz w:val="20"/>
          <w:szCs w:val="20"/>
        </w:rPr>
      </w:pPr>
    </w:p>
    <w:p w14:paraId="49F4327D" w14:textId="1D0F2B79" w:rsidR="006F4340" w:rsidRPr="00B42473" w:rsidRDefault="008133A8" w:rsidP="00B42473">
      <w:pPr>
        <w:pStyle w:val="ListParagraph"/>
        <w:numPr>
          <w:ilvl w:val="0"/>
          <w:numId w:val="12"/>
        </w:numPr>
        <w:rPr>
          <w:rFonts w:ascii="Verdana" w:hAnsi="Verdana"/>
          <w:sz w:val="20"/>
          <w:szCs w:val="20"/>
        </w:rPr>
      </w:pPr>
      <w:r w:rsidRPr="008133A8">
        <w:rPr>
          <w:rFonts w:ascii="Verdana" w:hAnsi="Verdana"/>
          <w:sz w:val="20"/>
          <w:szCs w:val="20"/>
        </w:rPr>
        <w:t>Casual workers are covered by this agreement however they are not regarded as having ‘continuous service’, hence the minimum hourly wage rate is calculated based on qualification.</w:t>
      </w:r>
    </w:p>
    <w:p w14:paraId="1BCE0721" w14:textId="77777777" w:rsidR="006F4340" w:rsidRPr="006F4340" w:rsidRDefault="006F4340" w:rsidP="00B42473">
      <w:pPr>
        <w:pStyle w:val="ListParagraph"/>
        <w:rPr>
          <w:rFonts w:ascii="Verdana" w:hAnsi="Verdana"/>
          <w:sz w:val="20"/>
          <w:szCs w:val="20"/>
        </w:rPr>
      </w:pPr>
    </w:p>
    <w:p w14:paraId="6BF5EA44" w14:textId="77777777" w:rsidR="008133A8" w:rsidRPr="008133A8" w:rsidRDefault="008133A8" w:rsidP="00B42473">
      <w:pPr>
        <w:pStyle w:val="ListParagraph"/>
        <w:numPr>
          <w:ilvl w:val="0"/>
          <w:numId w:val="12"/>
        </w:numPr>
        <w:rPr>
          <w:rFonts w:ascii="Verdana" w:hAnsi="Verdana"/>
          <w:sz w:val="20"/>
          <w:szCs w:val="20"/>
        </w:rPr>
      </w:pPr>
      <w:r w:rsidRPr="008133A8">
        <w:rPr>
          <w:rFonts w:ascii="Verdana" w:hAnsi="Verdana"/>
          <w:sz w:val="20"/>
          <w:szCs w:val="20"/>
        </w:rPr>
        <w:t>Workers are eligible for the new wage rates regardless of whether or not they belong to a union.</w:t>
      </w:r>
    </w:p>
    <w:p w14:paraId="5429342E" w14:textId="77777777" w:rsidR="008133A8" w:rsidRPr="009D65EB" w:rsidRDefault="008133A8" w:rsidP="00B42473">
      <w:pPr>
        <w:rPr>
          <w:rFonts w:ascii="Verdana" w:hAnsi="Verdana"/>
          <w:sz w:val="20"/>
          <w:szCs w:val="20"/>
        </w:rPr>
      </w:pPr>
    </w:p>
    <w:p w14:paraId="4BC39DC1" w14:textId="77777777" w:rsidR="008133A8" w:rsidRDefault="008133A8" w:rsidP="00B42473">
      <w:pPr>
        <w:pStyle w:val="ListParagraph"/>
        <w:numPr>
          <w:ilvl w:val="0"/>
          <w:numId w:val="12"/>
        </w:numPr>
        <w:rPr>
          <w:rFonts w:ascii="Verdana" w:hAnsi="Verdana"/>
          <w:sz w:val="20"/>
          <w:szCs w:val="20"/>
        </w:rPr>
      </w:pPr>
      <w:r w:rsidRPr="008133A8">
        <w:rPr>
          <w:rFonts w:ascii="Verdana" w:hAnsi="Verdana"/>
          <w:sz w:val="20"/>
          <w:szCs w:val="20"/>
        </w:rPr>
        <w:t>Supervisors are outside of the scope of this settlement. The pay rates supervisors and managers receive are a business decision for the provider.</w:t>
      </w:r>
    </w:p>
    <w:p w14:paraId="6CB5AF40" w14:textId="77777777" w:rsidR="001A353D" w:rsidRPr="001A353D" w:rsidRDefault="001A353D" w:rsidP="001A353D">
      <w:pPr>
        <w:pStyle w:val="ListParagraph"/>
        <w:rPr>
          <w:rFonts w:ascii="Verdana" w:hAnsi="Verdana"/>
          <w:sz w:val="20"/>
          <w:szCs w:val="20"/>
        </w:rPr>
      </w:pPr>
    </w:p>
    <w:p w14:paraId="1D2D76A9" w14:textId="32D45F59" w:rsidR="00140E96" w:rsidRDefault="00140E96" w:rsidP="00140E96">
      <w:pPr>
        <w:autoSpaceDE w:val="0"/>
        <w:autoSpaceDN w:val="0"/>
        <w:adjustRightInd w:val="0"/>
        <w:spacing w:after="120" w:line="240" w:lineRule="auto"/>
        <w:rPr>
          <w:rFonts w:ascii="Verdana" w:hAnsi="Verdana"/>
          <w:sz w:val="20"/>
          <w:szCs w:val="20"/>
        </w:rPr>
      </w:pPr>
      <w:r w:rsidRPr="001A353D">
        <w:rPr>
          <w:rFonts w:ascii="Verdana" w:hAnsi="Verdana"/>
          <w:sz w:val="20"/>
          <w:szCs w:val="20"/>
        </w:rPr>
        <w:t>If employees have questions about wheth</w:t>
      </w:r>
      <w:r w:rsidR="00B42473">
        <w:rPr>
          <w:rFonts w:ascii="Verdana" w:hAnsi="Verdana"/>
          <w:sz w:val="20"/>
          <w:szCs w:val="20"/>
        </w:rPr>
        <w:t>er they are eligible under the s</w:t>
      </w:r>
      <w:r w:rsidRPr="001A353D">
        <w:rPr>
          <w:rFonts w:ascii="Verdana" w:hAnsi="Verdana"/>
          <w:sz w:val="20"/>
          <w:szCs w:val="20"/>
        </w:rPr>
        <w:t xml:space="preserve">ettlement and they wish to speak to someone other than their employer, they can contact: </w:t>
      </w:r>
    </w:p>
    <w:p w14:paraId="742E0636" w14:textId="77777777" w:rsidR="00140E96" w:rsidRPr="001A353D" w:rsidRDefault="00140E96" w:rsidP="00140E96">
      <w:pPr>
        <w:autoSpaceDE w:val="0"/>
        <w:autoSpaceDN w:val="0"/>
        <w:adjustRightInd w:val="0"/>
        <w:spacing w:after="120" w:line="240" w:lineRule="auto"/>
        <w:rPr>
          <w:rFonts w:ascii="Verdana" w:hAnsi="Verdana"/>
          <w:sz w:val="20"/>
          <w:szCs w:val="20"/>
        </w:rPr>
      </w:pPr>
    </w:p>
    <w:p w14:paraId="24B13723" w14:textId="77777777" w:rsidR="00140E96" w:rsidRPr="008E3F56" w:rsidRDefault="00140E96" w:rsidP="00140E96">
      <w:pPr>
        <w:autoSpaceDE w:val="0"/>
        <w:autoSpaceDN w:val="0"/>
        <w:adjustRightInd w:val="0"/>
        <w:spacing w:line="240" w:lineRule="auto"/>
        <w:rPr>
          <w:rFonts w:ascii="Verdana" w:hAnsi="Verdana"/>
          <w:sz w:val="20"/>
          <w:szCs w:val="20"/>
        </w:rPr>
      </w:pPr>
      <w:r w:rsidRPr="008E3F56">
        <w:rPr>
          <w:rFonts w:ascii="Verdana" w:hAnsi="Verdana"/>
          <w:sz w:val="20"/>
          <w:szCs w:val="20"/>
        </w:rPr>
        <w:t xml:space="preserve">If employees work in Aged Residential Care: </w:t>
      </w:r>
    </w:p>
    <w:p w14:paraId="3D9CF462" w14:textId="77777777" w:rsidR="00140E96" w:rsidRPr="001A353D" w:rsidRDefault="00140E96" w:rsidP="00140E96">
      <w:pPr>
        <w:pStyle w:val="ListParagraph"/>
        <w:numPr>
          <w:ilvl w:val="0"/>
          <w:numId w:val="12"/>
        </w:numPr>
        <w:autoSpaceDE w:val="0"/>
        <w:autoSpaceDN w:val="0"/>
        <w:adjustRightInd w:val="0"/>
        <w:spacing w:line="240" w:lineRule="auto"/>
        <w:rPr>
          <w:rFonts w:ascii="Verdana" w:hAnsi="Verdana"/>
          <w:sz w:val="20"/>
          <w:szCs w:val="20"/>
        </w:rPr>
      </w:pPr>
      <w:r w:rsidRPr="001A353D">
        <w:rPr>
          <w:rFonts w:ascii="Verdana" w:hAnsi="Verdana"/>
          <w:sz w:val="20"/>
          <w:szCs w:val="20"/>
        </w:rPr>
        <w:t>NZNO 0800 283848</w:t>
      </w:r>
    </w:p>
    <w:p w14:paraId="4958360F" w14:textId="77777777" w:rsidR="00140E96" w:rsidRPr="001A353D" w:rsidRDefault="00140E96" w:rsidP="00140E96">
      <w:pPr>
        <w:pStyle w:val="ListParagraph"/>
        <w:numPr>
          <w:ilvl w:val="0"/>
          <w:numId w:val="12"/>
        </w:numPr>
        <w:autoSpaceDE w:val="0"/>
        <w:autoSpaceDN w:val="0"/>
        <w:adjustRightInd w:val="0"/>
        <w:spacing w:line="240" w:lineRule="auto"/>
        <w:rPr>
          <w:rFonts w:ascii="Verdana" w:hAnsi="Verdana"/>
          <w:sz w:val="20"/>
          <w:szCs w:val="20"/>
        </w:rPr>
      </w:pPr>
      <w:r w:rsidRPr="001A353D">
        <w:rPr>
          <w:rFonts w:ascii="Verdana" w:hAnsi="Verdana"/>
          <w:sz w:val="20"/>
          <w:szCs w:val="20"/>
        </w:rPr>
        <w:t>E tū    0800 186 466</w:t>
      </w:r>
    </w:p>
    <w:p w14:paraId="581EAAD9" w14:textId="77777777" w:rsidR="00140E96" w:rsidRPr="001A353D" w:rsidRDefault="00140E96" w:rsidP="00140E96">
      <w:pPr>
        <w:pStyle w:val="ListParagraph"/>
        <w:autoSpaceDE w:val="0"/>
        <w:autoSpaceDN w:val="0"/>
        <w:adjustRightInd w:val="0"/>
        <w:spacing w:line="240" w:lineRule="auto"/>
        <w:rPr>
          <w:rFonts w:ascii="Verdana" w:hAnsi="Verdana"/>
          <w:sz w:val="20"/>
          <w:szCs w:val="20"/>
        </w:rPr>
      </w:pPr>
      <w:r w:rsidRPr="001A353D">
        <w:rPr>
          <w:rFonts w:ascii="Verdana" w:hAnsi="Verdana"/>
          <w:sz w:val="20"/>
          <w:szCs w:val="20"/>
        </w:rPr>
        <w:t xml:space="preserve"> </w:t>
      </w:r>
    </w:p>
    <w:p w14:paraId="2B8D3906" w14:textId="77777777" w:rsidR="00140E96" w:rsidRPr="008E3F56" w:rsidRDefault="00140E96" w:rsidP="00140E96">
      <w:pPr>
        <w:autoSpaceDE w:val="0"/>
        <w:autoSpaceDN w:val="0"/>
        <w:adjustRightInd w:val="0"/>
        <w:spacing w:line="240" w:lineRule="auto"/>
        <w:rPr>
          <w:rFonts w:ascii="Verdana" w:hAnsi="Verdana"/>
          <w:sz w:val="20"/>
          <w:szCs w:val="20"/>
        </w:rPr>
      </w:pPr>
      <w:r w:rsidRPr="008E3F56">
        <w:rPr>
          <w:rFonts w:ascii="Verdana" w:hAnsi="Verdana"/>
          <w:sz w:val="20"/>
          <w:szCs w:val="20"/>
        </w:rPr>
        <w:t xml:space="preserve">If employees work in Home and Community Support Services: </w:t>
      </w:r>
    </w:p>
    <w:p w14:paraId="63D16E20" w14:textId="77777777" w:rsidR="00140E96" w:rsidRPr="001A353D" w:rsidRDefault="00140E96" w:rsidP="00140E96">
      <w:pPr>
        <w:pStyle w:val="ListParagraph"/>
        <w:numPr>
          <w:ilvl w:val="0"/>
          <w:numId w:val="12"/>
        </w:numPr>
        <w:autoSpaceDE w:val="0"/>
        <w:autoSpaceDN w:val="0"/>
        <w:adjustRightInd w:val="0"/>
        <w:spacing w:line="240" w:lineRule="auto"/>
        <w:rPr>
          <w:rFonts w:ascii="Verdana" w:hAnsi="Verdana"/>
          <w:sz w:val="20"/>
          <w:szCs w:val="20"/>
        </w:rPr>
      </w:pPr>
      <w:r w:rsidRPr="001A353D">
        <w:rPr>
          <w:rFonts w:ascii="Verdana" w:hAnsi="Verdana"/>
          <w:sz w:val="20"/>
          <w:szCs w:val="20"/>
        </w:rPr>
        <w:t>PSA 0508 367 722</w:t>
      </w:r>
    </w:p>
    <w:p w14:paraId="747A9E62" w14:textId="77777777" w:rsidR="00140E96" w:rsidRPr="001A353D" w:rsidRDefault="00140E96" w:rsidP="00140E96">
      <w:pPr>
        <w:pStyle w:val="ListParagraph"/>
        <w:numPr>
          <w:ilvl w:val="0"/>
          <w:numId w:val="12"/>
        </w:numPr>
        <w:autoSpaceDE w:val="0"/>
        <w:autoSpaceDN w:val="0"/>
        <w:adjustRightInd w:val="0"/>
        <w:spacing w:line="240" w:lineRule="auto"/>
        <w:rPr>
          <w:rFonts w:ascii="Verdana" w:hAnsi="Verdana"/>
          <w:sz w:val="20"/>
          <w:szCs w:val="20"/>
        </w:rPr>
      </w:pPr>
      <w:r w:rsidRPr="001A353D">
        <w:rPr>
          <w:rFonts w:ascii="Verdana" w:hAnsi="Verdana"/>
          <w:sz w:val="20"/>
          <w:szCs w:val="20"/>
        </w:rPr>
        <w:t>E tū  0800 186 466</w:t>
      </w:r>
    </w:p>
    <w:p w14:paraId="1F1B10DC" w14:textId="77777777" w:rsidR="00140E96" w:rsidRPr="001A353D" w:rsidRDefault="00140E96" w:rsidP="00140E96">
      <w:pPr>
        <w:pStyle w:val="ListParagraph"/>
        <w:autoSpaceDE w:val="0"/>
        <w:autoSpaceDN w:val="0"/>
        <w:adjustRightInd w:val="0"/>
        <w:spacing w:line="240" w:lineRule="auto"/>
        <w:rPr>
          <w:rFonts w:ascii="Verdana" w:hAnsi="Verdana"/>
          <w:sz w:val="20"/>
          <w:szCs w:val="20"/>
        </w:rPr>
      </w:pPr>
    </w:p>
    <w:p w14:paraId="6C629A1E" w14:textId="77777777" w:rsidR="00140E96" w:rsidRPr="008E3F56" w:rsidRDefault="00140E96" w:rsidP="00140E96">
      <w:pPr>
        <w:autoSpaceDE w:val="0"/>
        <w:autoSpaceDN w:val="0"/>
        <w:adjustRightInd w:val="0"/>
        <w:spacing w:line="240" w:lineRule="auto"/>
        <w:rPr>
          <w:rFonts w:ascii="Verdana" w:hAnsi="Verdana"/>
          <w:sz w:val="20"/>
          <w:szCs w:val="20"/>
        </w:rPr>
      </w:pPr>
      <w:r w:rsidRPr="008E3F56">
        <w:rPr>
          <w:rFonts w:ascii="Verdana" w:hAnsi="Verdana"/>
          <w:sz w:val="20"/>
          <w:szCs w:val="20"/>
        </w:rPr>
        <w:t xml:space="preserve">If employees work in Disability Support: </w:t>
      </w:r>
    </w:p>
    <w:p w14:paraId="1DBF54B5" w14:textId="77777777" w:rsidR="00140E96" w:rsidRPr="001A353D" w:rsidRDefault="00140E96" w:rsidP="00140E96">
      <w:pPr>
        <w:pStyle w:val="ListParagraph"/>
        <w:numPr>
          <w:ilvl w:val="0"/>
          <w:numId w:val="12"/>
        </w:numPr>
        <w:autoSpaceDE w:val="0"/>
        <w:autoSpaceDN w:val="0"/>
        <w:adjustRightInd w:val="0"/>
        <w:spacing w:line="240" w:lineRule="auto"/>
        <w:rPr>
          <w:rFonts w:ascii="Verdana" w:hAnsi="Verdana"/>
          <w:sz w:val="20"/>
          <w:szCs w:val="20"/>
        </w:rPr>
      </w:pPr>
      <w:r w:rsidRPr="001A353D">
        <w:rPr>
          <w:rFonts w:ascii="Verdana" w:hAnsi="Verdana"/>
          <w:sz w:val="20"/>
          <w:szCs w:val="20"/>
        </w:rPr>
        <w:t>PSA 0508 367 722</w:t>
      </w:r>
    </w:p>
    <w:p w14:paraId="50215522" w14:textId="77777777" w:rsidR="00140E96" w:rsidRPr="001A353D" w:rsidRDefault="00140E96" w:rsidP="00140E96">
      <w:pPr>
        <w:pStyle w:val="ListParagraph"/>
        <w:numPr>
          <w:ilvl w:val="0"/>
          <w:numId w:val="12"/>
        </w:numPr>
        <w:autoSpaceDE w:val="0"/>
        <w:autoSpaceDN w:val="0"/>
        <w:adjustRightInd w:val="0"/>
        <w:spacing w:line="240" w:lineRule="auto"/>
        <w:rPr>
          <w:rFonts w:ascii="Verdana" w:hAnsi="Verdana"/>
          <w:sz w:val="20"/>
          <w:szCs w:val="20"/>
        </w:rPr>
      </w:pPr>
      <w:r w:rsidRPr="001A353D">
        <w:rPr>
          <w:rFonts w:ascii="Verdana" w:hAnsi="Verdana"/>
          <w:sz w:val="20"/>
          <w:szCs w:val="20"/>
        </w:rPr>
        <w:t>E tū 0800 186 466</w:t>
      </w:r>
    </w:p>
    <w:p w14:paraId="7202B3B9" w14:textId="77777777" w:rsidR="001A353D" w:rsidRPr="008133A8" w:rsidRDefault="001A353D" w:rsidP="001A353D">
      <w:pPr>
        <w:pStyle w:val="ListParagraph"/>
        <w:spacing w:before="120"/>
        <w:rPr>
          <w:rFonts w:ascii="Verdana" w:hAnsi="Verdana"/>
          <w:sz w:val="20"/>
          <w:szCs w:val="20"/>
        </w:rPr>
      </w:pPr>
    </w:p>
    <w:p w14:paraId="60A304AA" w14:textId="77777777" w:rsidR="002879C8" w:rsidRDefault="002879C8">
      <w:pPr>
        <w:spacing w:line="240" w:lineRule="auto"/>
        <w:rPr>
          <w:rFonts w:cs="Arial"/>
          <w:b/>
          <w:bCs/>
          <w:iCs/>
          <w:color w:val="002639"/>
          <w:sz w:val="37"/>
          <w:szCs w:val="37"/>
          <w:lang w:val="en"/>
        </w:rPr>
      </w:pPr>
      <w:r>
        <w:rPr>
          <w:color w:val="002639"/>
          <w:sz w:val="37"/>
          <w:szCs w:val="37"/>
          <w:lang w:val="en"/>
        </w:rPr>
        <w:br w:type="page"/>
      </w:r>
    </w:p>
    <w:p w14:paraId="382C600D" w14:textId="070B8968" w:rsidR="006F4340" w:rsidRPr="00B42473" w:rsidRDefault="00E80597" w:rsidP="00B42473">
      <w:pPr>
        <w:pStyle w:val="Heading2"/>
        <w:shd w:val="clear" w:color="auto" w:fill="FFFFFF"/>
        <w:rPr>
          <w:color w:val="002639"/>
          <w:sz w:val="37"/>
          <w:szCs w:val="37"/>
          <w:lang w:val="en"/>
        </w:rPr>
      </w:pPr>
      <w:r>
        <w:rPr>
          <w:color w:val="002639"/>
          <w:sz w:val="37"/>
          <w:szCs w:val="37"/>
          <w:lang w:val="en"/>
        </w:rPr>
        <w:lastRenderedPageBreak/>
        <w:t xml:space="preserve">New </w:t>
      </w:r>
      <w:r w:rsidR="006F4340">
        <w:rPr>
          <w:color w:val="002639"/>
          <w:sz w:val="37"/>
          <w:szCs w:val="37"/>
          <w:lang w:val="en"/>
        </w:rPr>
        <w:t>Pay Rates</w:t>
      </w:r>
    </w:p>
    <w:p w14:paraId="1EF7E832" w14:textId="3B26E17B" w:rsidR="006F4340" w:rsidRPr="001B5523" w:rsidRDefault="006F4340" w:rsidP="006F4340">
      <w:pPr>
        <w:rPr>
          <w:rFonts w:ascii="Verdana" w:hAnsi="Verdana"/>
        </w:rPr>
      </w:pPr>
      <w:r w:rsidRPr="001B5523">
        <w:rPr>
          <w:rFonts w:ascii="Verdana" w:hAnsi="Verdana"/>
        </w:rPr>
        <w:t xml:space="preserve">Pay rates will increase in line with those agreed in the care and support workers agreement (the </w:t>
      </w:r>
      <w:proofErr w:type="spellStart"/>
      <w:r w:rsidRPr="001B5523">
        <w:rPr>
          <w:rFonts w:ascii="Verdana" w:hAnsi="Verdana"/>
        </w:rPr>
        <w:t>Terra</w:t>
      </w:r>
      <w:r w:rsidR="00AE3424">
        <w:rPr>
          <w:rFonts w:ascii="Verdana" w:hAnsi="Verdana"/>
        </w:rPr>
        <w:t>N</w:t>
      </w:r>
      <w:r w:rsidRPr="001B5523">
        <w:rPr>
          <w:rFonts w:ascii="Verdana" w:hAnsi="Verdana"/>
        </w:rPr>
        <w:t>ova</w:t>
      </w:r>
      <w:proofErr w:type="spellEnd"/>
      <w:r w:rsidRPr="001B5523">
        <w:rPr>
          <w:rFonts w:ascii="Verdana" w:hAnsi="Verdana"/>
        </w:rPr>
        <w:t xml:space="preserve"> Settlement):</w:t>
      </w:r>
    </w:p>
    <w:p w14:paraId="27937F30" w14:textId="77777777" w:rsidR="006F4340" w:rsidRPr="001B5523" w:rsidRDefault="006F4340" w:rsidP="006F4340">
      <w:pPr>
        <w:pStyle w:val="ListParagraph"/>
        <w:numPr>
          <w:ilvl w:val="0"/>
          <w:numId w:val="20"/>
        </w:numPr>
        <w:spacing w:before="120" w:line="240" w:lineRule="auto"/>
        <w:rPr>
          <w:rFonts w:ascii="Verdana" w:hAnsi="Verdana"/>
        </w:rPr>
      </w:pPr>
      <w:r w:rsidRPr="001B5523">
        <w:rPr>
          <w:rFonts w:ascii="Verdana" w:hAnsi="Verdana"/>
        </w:rPr>
        <w:t>Hourly wage rates will go up from around $16-$17 (going up to $21-$23) and vary from $19 to $27 per hour, depending on qualifications.</w:t>
      </w:r>
    </w:p>
    <w:p w14:paraId="608310AE" w14:textId="19583201" w:rsidR="006F4340" w:rsidRPr="001B5523" w:rsidRDefault="006F4340" w:rsidP="006F4340">
      <w:pPr>
        <w:pStyle w:val="ListParagraph"/>
        <w:numPr>
          <w:ilvl w:val="0"/>
          <w:numId w:val="20"/>
        </w:numPr>
        <w:spacing w:before="120" w:line="240" w:lineRule="auto"/>
        <w:rPr>
          <w:rFonts w:ascii="Verdana" w:hAnsi="Verdana"/>
        </w:rPr>
      </w:pPr>
      <w:r w:rsidRPr="001B5523">
        <w:rPr>
          <w:rFonts w:ascii="Verdana" w:hAnsi="Verdana"/>
        </w:rPr>
        <w:t>Wages will increase annually over five years (on 1 July</w:t>
      </w:r>
      <w:r w:rsidR="00EF25A9">
        <w:rPr>
          <w:rFonts w:ascii="Verdana" w:hAnsi="Verdana"/>
        </w:rPr>
        <w:t xml:space="preserve"> 2017, 1 July 2018, 1 July 2019, </w:t>
      </w:r>
      <w:r w:rsidRPr="001B5523">
        <w:rPr>
          <w:rFonts w:ascii="Verdana" w:hAnsi="Verdana"/>
        </w:rPr>
        <w:t>and 1 July 2021)</w:t>
      </w:r>
      <w:proofErr w:type="gramStart"/>
      <w:r w:rsidRPr="001B5523">
        <w:rPr>
          <w:rFonts w:ascii="Verdana" w:hAnsi="Verdana"/>
        </w:rPr>
        <w:t>,</w:t>
      </w:r>
      <w:proofErr w:type="gramEnd"/>
      <w:r w:rsidRPr="001B5523">
        <w:rPr>
          <w:rFonts w:ascii="Verdana" w:hAnsi="Verdana"/>
        </w:rPr>
        <w:t xml:space="preserve"> with a further year adjustment should the labour cost index exceed 1.7 per cent average growth over years 1-4.</w:t>
      </w:r>
    </w:p>
    <w:p w14:paraId="3951EACF" w14:textId="77777777" w:rsidR="006F4340" w:rsidRDefault="006F4340" w:rsidP="006F4340">
      <w:pPr>
        <w:rPr>
          <w:rFonts w:ascii="Verdana" w:hAnsi="Verdana"/>
        </w:rPr>
      </w:pPr>
    </w:p>
    <w:p w14:paraId="6873437B" w14:textId="77777777" w:rsidR="00EF25A9" w:rsidRPr="00B978A8" w:rsidRDefault="00EF25A9" w:rsidP="00EF25A9">
      <w:pPr>
        <w:spacing w:before="120"/>
        <w:rPr>
          <w:rFonts w:ascii="Verdana" w:hAnsi="Verdana"/>
          <w:b/>
          <w:sz w:val="20"/>
        </w:rPr>
      </w:pPr>
      <w:r>
        <w:rPr>
          <w:rFonts w:ascii="Verdana" w:hAnsi="Verdana"/>
          <w:b/>
          <w:sz w:val="20"/>
        </w:rPr>
        <w:t>Pay rates for workers employed before 1 July 2017</w:t>
      </w:r>
    </w:p>
    <w:p w14:paraId="7F441CBB" w14:textId="7A8A46E7" w:rsidR="006E1E8D" w:rsidRDefault="00E80597" w:rsidP="00F66169">
      <w:pPr>
        <w:spacing w:before="120" w:after="120"/>
        <w:rPr>
          <w:rFonts w:ascii="Verdana" w:hAnsi="Verdana"/>
          <w:sz w:val="20"/>
          <w:szCs w:val="20"/>
        </w:rPr>
      </w:pPr>
      <w:r w:rsidRPr="001A353D">
        <w:rPr>
          <w:rFonts w:ascii="Verdana" w:hAnsi="Verdana"/>
          <w:sz w:val="20"/>
          <w:szCs w:val="20"/>
        </w:rPr>
        <w:t>All existing care and support workers</w:t>
      </w:r>
      <w:r w:rsidR="00AE3424">
        <w:rPr>
          <w:rFonts w:ascii="Verdana" w:hAnsi="Verdana"/>
          <w:sz w:val="20"/>
          <w:szCs w:val="20"/>
        </w:rPr>
        <w:t>’</w:t>
      </w:r>
      <w:r w:rsidRPr="001A353D">
        <w:rPr>
          <w:rFonts w:ascii="Verdana" w:hAnsi="Verdana"/>
          <w:sz w:val="20"/>
          <w:szCs w:val="20"/>
        </w:rPr>
        <w:t xml:space="preserve"> </w:t>
      </w:r>
      <w:r w:rsidR="009F1F35">
        <w:rPr>
          <w:rFonts w:ascii="Verdana" w:hAnsi="Verdana"/>
          <w:sz w:val="20"/>
          <w:szCs w:val="20"/>
        </w:rPr>
        <w:t xml:space="preserve">minimum </w:t>
      </w:r>
      <w:r w:rsidRPr="001A353D">
        <w:rPr>
          <w:rFonts w:ascii="Verdana" w:hAnsi="Verdana"/>
          <w:sz w:val="20"/>
          <w:szCs w:val="20"/>
        </w:rPr>
        <w:t>pay rates</w:t>
      </w:r>
      <w:r w:rsidR="00AE3424">
        <w:rPr>
          <w:rFonts w:ascii="Verdana" w:hAnsi="Verdana"/>
          <w:sz w:val="20"/>
          <w:szCs w:val="20"/>
        </w:rPr>
        <w:t xml:space="preserve"> increased</w:t>
      </w:r>
      <w:r w:rsidRPr="001A353D">
        <w:rPr>
          <w:rFonts w:ascii="Verdana" w:hAnsi="Verdana"/>
          <w:sz w:val="20"/>
          <w:szCs w:val="20"/>
        </w:rPr>
        <w:t xml:space="preserve"> </w:t>
      </w:r>
      <w:r w:rsidR="006E1E8D">
        <w:rPr>
          <w:rFonts w:ascii="Verdana" w:hAnsi="Verdana"/>
          <w:sz w:val="20"/>
          <w:szCs w:val="20"/>
        </w:rPr>
        <w:t xml:space="preserve">effective 1 July 2017 </w:t>
      </w:r>
      <w:r w:rsidRPr="001A353D">
        <w:rPr>
          <w:rFonts w:ascii="Verdana" w:hAnsi="Verdana"/>
          <w:sz w:val="20"/>
          <w:szCs w:val="20"/>
        </w:rPr>
        <w:t>on the basis of either service or qualifications, whichever i</w:t>
      </w:r>
      <w:r w:rsidR="00140E96">
        <w:rPr>
          <w:rFonts w:ascii="Verdana" w:hAnsi="Verdana"/>
          <w:sz w:val="20"/>
          <w:szCs w:val="20"/>
        </w:rPr>
        <w:t>s the most advantageous to them.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533"/>
        <w:gridCol w:w="1206"/>
        <w:gridCol w:w="1296"/>
        <w:gridCol w:w="1298"/>
        <w:gridCol w:w="1296"/>
        <w:gridCol w:w="1391"/>
      </w:tblGrid>
      <w:tr w:rsidR="00EF25A9" w:rsidRPr="00536BFC" w14:paraId="58E96972" w14:textId="77777777" w:rsidTr="002879C8">
        <w:tc>
          <w:tcPr>
            <w:tcW w:w="810" w:type="pct"/>
            <w:tcBorders>
              <w:top w:val="single" w:sz="4" w:space="0" w:color="auto"/>
              <w:left w:val="single" w:sz="4" w:space="0" w:color="auto"/>
              <w:bottom w:val="single" w:sz="4" w:space="0" w:color="auto"/>
              <w:right w:val="single" w:sz="4" w:space="0" w:color="auto"/>
            </w:tcBorders>
            <w:shd w:val="clear" w:color="auto" w:fill="D9D9D9"/>
            <w:vAlign w:val="center"/>
          </w:tcPr>
          <w:p w14:paraId="67830230" w14:textId="77777777" w:rsidR="00EF25A9" w:rsidRPr="00E80597" w:rsidRDefault="00EF25A9" w:rsidP="002879C8">
            <w:pPr>
              <w:jc w:val="center"/>
            </w:pPr>
            <w:r w:rsidRPr="00E80597">
              <w:t>Length of Service</w:t>
            </w:r>
          </w:p>
        </w:tc>
        <w:tc>
          <w:tcPr>
            <w:tcW w:w="801" w:type="pct"/>
            <w:tcBorders>
              <w:top w:val="single" w:sz="4" w:space="0" w:color="auto"/>
              <w:left w:val="single" w:sz="4" w:space="0" w:color="auto"/>
              <w:bottom w:val="single" w:sz="4" w:space="0" w:color="auto"/>
              <w:right w:val="single" w:sz="4" w:space="0" w:color="auto"/>
            </w:tcBorders>
            <w:shd w:val="clear" w:color="auto" w:fill="D9D9D9"/>
            <w:vAlign w:val="center"/>
          </w:tcPr>
          <w:p w14:paraId="27F7E3A0" w14:textId="77777777" w:rsidR="00EF25A9" w:rsidRPr="00E80597" w:rsidRDefault="00EF25A9" w:rsidP="002879C8">
            <w:pPr>
              <w:jc w:val="center"/>
            </w:pPr>
            <w:r w:rsidRPr="00E80597">
              <w:t>Qualification</w:t>
            </w:r>
          </w:p>
        </w:tc>
        <w:tc>
          <w:tcPr>
            <w:tcW w:w="630" w:type="pct"/>
            <w:tcBorders>
              <w:top w:val="single" w:sz="4" w:space="0" w:color="auto"/>
              <w:left w:val="single" w:sz="4" w:space="0" w:color="auto"/>
              <w:bottom w:val="single" w:sz="4" w:space="0" w:color="auto"/>
              <w:right w:val="single" w:sz="4" w:space="0" w:color="auto"/>
            </w:tcBorders>
            <w:shd w:val="clear" w:color="auto" w:fill="D9D9D9"/>
            <w:vAlign w:val="center"/>
          </w:tcPr>
          <w:p w14:paraId="6BE43216" w14:textId="77777777" w:rsidR="00EF25A9" w:rsidRPr="00E80597" w:rsidRDefault="00EF25A9" w:rsidP="002879C8">
            <w:pPr>
              <w:jc w:val="center"/>
            </w:pPr>
            <w:r w:rsidRPr="00E80597">
              <w:t>Pay Band</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2C626257" w14:textId="77777777" w:rsidR="00EF25A9" w:rsidRPr="00E80597" w:rsidRDefault="00EF25A9" w:rsidP="002879C8">
            <w:pPr>
              <w:jc w:val="center"/>
            </w:pPr>
            <w:r w:rsidRPr="00E80597">
              <w:t>1 July 2017</w:t>
            </w:r>
          </w:p>
          <w:p w14:paraId="5563701B" w14:textId="77777777" w:rsidR="00EF25A9" w:rsidRPr="00E80597" w:rsidRDefault="00EF25A9" w:rsidP="002879C8">
            <w:pPr>
              <w:jc w:val="center"/>
            </w:pPr>
            <w:r w:rsidRPr="00E80597">
              <w:t>Year 1</w:t>
            </w:r>
          </w:p>
        </w:tc>
        <w:tc>
          <w:tcPr>
            <w:tcW w:w="678" w:type="pct"/>
            <w:tcBorders>
              <w:top w:val="single" w:sz="4" w:space="0" w:color="auto"/>
              <w:left w:val="single" w:sz="4" w:space="0" w:color="auto"/>
              <w:bottom w:val="single" w:sz="4" w:space="0" w:color="auto"/>
              <w:right w:val="single" w:sz="4" w:space="0" w:color="auto"/>
            </w:tcBorders>
            <w:shd w:val="clear" w:color="auto" w:fill="D9D9D9"/>
            <w:vAlign w:val="center"/>
          </w:tcPr>
          <w:p w14:paraId="62D0A71B" w14:textId="77777777" w:rsidR="00EF25A9" w:rsidRPr="00E80597" w:rsidRDefault="00EF25A9" w:rsidP="002879C8">
            <w:pPr>
              <w:jc w:val="center"/>
            </w:pPr>
            <w:r w:rsidRPr="00E80597">
              <w:t>1 July 2018</w:t>
            </w:r>
          </w:p>
          <w:p w14:paraId="79A794D7" w14:textId="77777777" w:rsidR="00EF25A9" w:rsidRPr="00E80597" w:rsidRDefault="00EF25A9" w:rsidP="002879C8">
            <w:pPr>
              <w:jc w:val="center"/>
            </w:pPr>
            <w:r w:rsidRPr="00E80597">
              <w:t>Year 2</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2D05FABC" w14:textId="77777777" w:rsidR="00EF25A9" w:rsidRPr="00E80597" w:rsidRDefault="00EF25A9" w:rsidP="002879C8">
            <w:pPr>
              <w:jc w:val="center"/>
            </w:pPr>
            <w:r w:rsidRPr="00E80597">
              <w:t>1 July 2019</w:t>
            </w:r>
          </w:p>
          <w:p w14:paraId="5970D716" w14:textId="77777777" w:rsidR="00EF25A9" w:rsidRPr="00E80597" w:rsidRDefault="00EF25A9" w:rsidP="002879C8">
            <w:pPr>
              <w:jc w:val="center"/>
            </w:pPr>
            <w:r w:rsidRPr="00E80597">
              <w:t>Year 3 &amp; 4</w:t>
            </w:r>
          </w:p>
        </w:tc>
        <w:tc>
          <w:tcPr>
            <w:tcW w:w="727" w:type="pct"/>
            <w:tcBorders>
              <w:top w:val="single" w:sz="4" w:space="0" w:color="auto"/>
              <w:left w:val="single" w:sz="4" w:space="0" w:color="auto"/>
              <w:bottom w:val="single" w:sz="4" w:space="0" w:color="auto"/>
              <w:right w:val="single" w:sz="4" w:space="0" w:color="auto"/>
            </w:tcBorders>
            <w:shd w:val="clear" w:color="auto" w:fill="D9D9D9"/>
            <w:vAlign w:val="center"/>
          </w:tcPr>
          <w:p w14:paraId="58F84A32" w14:textId="77777777" w:rsidR="00EF25A9" w:rsidRPr="00E80597" w:rsidRDefault="00EF25A9" w:rsidP="002879C8">
            <w:pPr>
              <w:jc w:val="center"/>
            </w:pPr>
            <w:r w:rsidRPr="00E80597">
              <w:t>1 July 2021</w:t>
            </w:r>
          </w:p>
          <w:p w14:paraId="48434CE3" w14:textId="77777777" w:rsidR="00EF25A9" w:rsidRPr="00E80597" w:rsidRDefault="00EF25A9" w:rsidP="002879C8">
            <w:pPr>
              <w:jc w:val="center"/>
            </w:pPr>
            <w:r w:rsidRPr="00E80597">
              <w:t>Year 5</w:t>
            </w:r>
          </w:p>
        </w:tc>
      </w:tr>
      <w:tr w:rsidR="00EF25A9" w:rsidRPr="00536BFC" w14:paraId="658A86F7" w14:textId="77777777" w:rsidTr="002879C8">
        <w:tc>
          <w:tcPr>
            <w:tcW w:w="810" w:type="pct"/>
            <w:tcBorders>
              <w:top w:val="single" w:sz="4" w:space="0" w:color="auto"/>
              <w:left w:val="single" w:sz="4" w:space="0" w:color="auto"/>
              <w:bottom w:val="single" w:sz="4" w:space="0" w:color="auto"/>
              <w:right w:val="single" w:sz="4" w:space="0" w:color="auto"/>
            </w:tcBorders>
            <w:vAlign w:val="center"/>
          </w:tcPr>
          <w:p w14:paraId="0D7F111C" w14:textId="77777777" w:rsidR="00EF25A9" w:rsidRPr="00E80597" w:rsidRDefault="00EF25A9" w:rsidP="002879C8">
            <w:pPr>
              <w:jc w:val="center"/>
            </w:pPr>
            <w:r w:rsidRPr="00E80597">
              <w:t>&lt;3 years’ service OR</w:t>
            </w:r>
          </w:p>
        </w:tc>
        <w:tc>
          <w:tcPr>
            <w:tcW w:w="801" w:type="pct"/>
            <w:tcBorders>
              <w:top w:val="single" w:sz="4" w:space="0" w:color="auto"/>
              <w:left w:val="single" w:sz="4" w:space="0" w:color="auto"/>
              <w:bottom w:val="single" w:sz="4" w:space="0" w:color="auto"/>
              <w:right w:val="single" w:sz="4" w:space="0" w:color="auto"/>
            </w:tcBorders>
            <w:vAlign w:val="center"/>
          </w:tcPr>
          <w:p w14:paraId="5EC018B7" w14:textId="77777777" w:rsidR="00EF25A9" w:rsidRPr="00E80597" w:rsidRDefault="00EF25A9" w:rsidP="002879C8">
            <w:pPr>
              <w:jc w:val="center"/>
            </w:pPr>
            <w:r w:rsidRPr="00E80597">
              <w:t>Level 0</w:t>
            </w:r>
          </w:p>
        </w:tc>
        <w:tc>
          <w:tcPr>
            <w:tcW w:w="630" w:type="pct"/>
            <w:tcBorders>
              <w:top w:val="single" w:sz="4" w:space="0" w:color="auto"/>
              <w:left w:val="single" w:sz="4" w:space="0" w:color="auto"/>
              <w:bottom w:val="single" w:sz="4" w:space="0" w:color="auto"/>
              <w:right w:val="single" w:sz="4" w:space="0" w:color="auto"/>
            </w:tcBorders>
            <w:vAlign w:val="center"/>
          </w:tcPr>
          <w:p w14:paraId="0A811181" w14:textId="77777777" w:rsidR="00EF25A9" w:rsidRPr="00E80597" w:rsidRDefault="00EF25A9" w:rsidP="002879C8">
            <w:pPr>
              <w:jc w:val="center"/>
            </w:pPr>
            <w:r w:rsidRPr="00E80597">
              <w:t>L0</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489405B" w14:textId="77777777" w:rsidR="00EF25A9" w:rsidRPr="00E80597" w:rsidRDefault="00EF25A9" w:rsidP="002879C8">
            <w:pPr>
              <w:jc w:val="center"/>
            </w:pPr>
            <w:r w:rsidRPr="00E80597">
              <w:t>$19.00</w:t>
            </w:r>
          </w:p>
        </w:tc>
        <w:tc>
          <w:tcPr>
            <w:tcW w:w="678" w:type="pct"/>
            <w:tcBorders>
              <w:top w:val="single" w:sz="4" w:space="0" w:color="auto"/>
              <w:left w:val="single" w:sz="4" w:space="0" w:color="auto"/>
              <w:bottom w:val="single" w:sz="4" w:space="0" w:color="auto"/>
              <w:right w:val="single" w:sz="4" w:space="0" w:color="auto"/>
            </w:tcBorders>
            <w:vAlign w:val="center"/>
          </w:tcPr>
          <w:p w14:paraId="7076A944" w14:textId="77777777" w:rsidR="00EF25A9" w:rsidRPr="00E80597" w:rsidRDefault="00EF25A9" w:rsidP="002879C8">
            <w:pPr>
              <w:jc w:val="center"/>
            </w:pPr>
            <w:r w:rsidRPr="00E80597">
              <w:t>$19.80</w:t>
            </w:r>
          </w:p>
        </w:tc>
        <w:tc>
          <w:tcPr>
            <w:tcW w:w="677" w:type="pct"/>
            <w:tcBorders>
              <w:top w:val="single" w:sz="4" w:space="0" w:color="auto"/>
              <w:left w:val="single" w:sz="4" w:space="0" w:color="auto"/>
              <w:bottom w:val="single" w:sz="4" w:space="0" w:color="auto"/>
              <w:right w:val="single" w:sz="4" w:space="0" w:color="auto"/>
            </w:tcBorders>
            <w:vAlign w:val="center"/>
          </w:tcPr>
          <w:p w14:paraId="1348771D" w14:textId="77777777" w:rsidR="00EF25A9" w:rsidRPr="00E80597" w:rsidRDefault="00EF25A9" w:rsidP="002879C8">
            <w:pPr>
              <w:jc w:val="center"/>
            </w:pPr>
            <w:r w:rsidRPr="00E80597">
              <w:t>$20.50</w:t>
            </w:r>
          </w:p>
        </w:tc>
        <w:tc>
          <w:tcPr>
            <w:tcW w:w="727" w:type="pct"/>
            <w:tcBorders>
              <w:top w:val="single" w:sz="4" w:space="0" w:color="auto"/>
              <w:left w:val="single" w:sz="4" w:space="0" w:color="auto"/>
              <w:bottom w:val="single" w:sz="4" w:space="0" w:color="auto"/>
              <w:right w:val="single" w:sz="4" w:space="0" w:color="auto"/>
            </w:tcBorders>
            <w:vAlign w:val="center"/>
          </w:tcPr>
          <w:p w14:paraId="5E0E4C1B" w14:textId="77777777" w:rsidR="00EF25A9" w:rsidRPr="00E80597" w:rsidRDefault="00EF25A9" w:rsidP="002879C8">
            <w:pPr>
              <w:jc w:val="center"/>
            </w:pPr>
            <w:r w:rsidRPr="00E80597">
              <w:t>$21.50</w:t>
            </w:r>
          </w:p>
        </w:tc>
      </w:tr>
      <w:tr w:rsidR="00EF25A9" w:rsidRPr="00536BFC" w14:paraId="16041979" w14:textId="77777777" w:rsidTr="002879C8">
        <w:tc>
          <w:tcPr>
            <w:tcW w:w="810" w:type="pct"/>
            <w:tcBorders>
              <w:top w:val="single" w:sz="4" w:space="0" w:color="auto"/>
              <w:left w:val="single" w:sz="4" w:space="0" w:color="auto"/>
              <w:bottom w:val="single" w:sz="4" w:space="0" w:color="auto"/>
              <w:right w:val="single" w:sz="4" w:space="0" w:color="auto"/>
            </w:tcBorders>
            <w:vAlign w:val="center"/>
          </w:tcPr>
          <w:p w14:paraId="0E68A5CC" w14:textId="77777777" w:rsidR="00EF25A9" w:rsidRPr="00E80597" w:rsidRDefault="00EF25A9" w:rsidP="002879C8">
            <w:pPr>
              <w:jc w:val="center"/>
            </w:pPr>
            <w:r w:rsidRPr="00E80597">
              <w:t>3+ to 8 years’ service OR</w:t>
            </w:r>
          </w:p>
        </w:tc>
        <w:tc>
          <w:tcPr>
            <w:tcW w:w="801" w:type="pct"/>
            <w:tcBorders>
              <w:top w:val="single" w:sz="4" w:space="0" w:color="auto"/>
              <w:left w:val="single" w:sz="4" w:space="0" w:color="auto"/>
              <w:bottom w:val="single" w:sz="4" w:space="0" w:color="auto"/>
              <w:right w:val="single" w:sz="4" w:space="0" w:color="auto"/>
            </w:tcBorders>
            <w:vAlign w:val="center"/>
          </w:tcPr>
          <w:p w14:paraId="5FAD4472" w14:textId="77777777" w:rsidR="00EF25A9" w:rsidRPr="00E80597" w:rsidRDefault="00EF25A9" w:rsidP="002879C8">
            <w:pPr>
              <w:jc w:val="center"/>
            </w:pPr>
            <w:r w:rsidRPr="00E80597">
              <w:t>Level 2</w:t>
            </w:r>
          </w:p>
        </w:tc>
        <w:tc>
          <w:tcPr>
            <w:tcW w:w="630" w:type="pct"/>
            <w:tcBorders>
              <w:top w:val="single" w:sz="4" w:space="0" w:color="auto"/>
              <w:left w:val="single" w:sz="4" w:space="0" w:color="auto"/>
              <w:bottom w:val="single" w:sz="4" w:space="0" w:color="auto"/>
              <w:right w:val="single" w:sz="4" w:space="0" w:color="auto"/>
            </w:tcBorders>
            <w:vAlign w:val="center"/>
          </w:tcPr>
          <w:p w14:paraId="1527B23E" w14:textId="77777777" w:rsidR="00EF25A9" w:rsidRPr="00E80597" w:rsidRDefault="00EF25A9" w:rsidP="002879C8">
            <w:pPr>
              <w:jc w:val="center"/>
            </w:pPr>
            <w:r w:rsidRPr="00E80597">
              <w:t>L2</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2EEDAC6C" w14:textId="77777777" w:rsidR="00EF25A9" w:rsidRPr="00E80597" w:rsidRDefault="00EF25A9" w:rsidP="002879C8">
            <w:pPr>
              <w:jc w:val="center"/>
            </w:pPr>
            <w:r w:rsidRPr="00E80597">
              <w:t>$20.00</w:t>
            </w:r>
          </w:p>
        </w:tc>
        <w:tc>
          <w:tcPr>
            <w:tcW w:w="678" w:type="pct"/>
            <w:tcBorders>
              <w:top w:val="single" w:sz="4" w:space="0" w:color="auto"/>
              <w:left w:val="single" w:sz="4" w:space="0" w:color="auto"/>
              <w:bottom w:val="single" w:sz="4" w:space="0" w:color="auto"/>
              <w:right w:val="single" w:sz="4" w:space="0" w:color="auto"/>
            </w:tcBorders>
            <w:vAlign w:val="center"/>
          </w:tcPr>
          <w:p w14:paraId="6EFC720A" w14:textId="77777777" w:rsidR="00EF25A9" w:rsidRPr="00E80597" w:rsidRDefault="00EF25A9" w:rsidP="002879C8">
            <w:pPr>
              <w:jc w:val="center"/>
            </w:pPr>
            <w:r w:rsidRPr="00E80597">
              <w:t>$21.00</w:t>
            </w:r>
          </w:p>
        </w:tc>
        <w:tc>
          <w:tcPr>
            <w:tcW w:w="677" w:type="pct"/>
            <w:tcBorders>
              <w:top w:val="single" w:sz="4" w:space="0" w:color="auto"/>
              <w:left w:val="single" w:sz="4" w:space="0" w:color="auto"/>
              <w:bottom w:val="single" w:sz="4" w:space="0" w:color="auto"/>
              <w:right w:val="single" w:sz="4" w:space="0" w:color="auto"/>
            </w:tcBorders>
            <w:vAlign w:val="center"/>
          </w:tcPr>
          <w:p w14:paraId="65AFDC6C" w14:textId="77777777" w:rsidR="00EF25A9" w:rsidRPr="00E80597" w:rsidRDefault="00EF25A9" w:rsidP="002879C8">
            <w:pPr>
              <w:jc w:val="center"/>
            </w:pPr>
            <w:r w:rsidRPr="00E80597">
              <w:t>$21.50</w:t>
            </w:r>
          </w:p>
        </w:tc>
        <w:tc>
          <w:tcPr>
            <w:tcW w:w="727" w:type="pct"/>
            <w:tcBorders>
              <w:top w:val="single" w:sz="4" w:space="0" w:color="auto"/>
              <w:left w:val="single" w:sz="4" w:space="0" w:color="auto"/>
              <w:bottom w:val="single" w:sz="4" w:space="0" w:color="auto"/>
              <w:right w:val="single" w:sz="4" w:space="0" w:color="auto"/>
            </w:tcBorders>
            <w:vAlign w:val="center"/>
          </w:tcPr>
          <w:p w14:paraId="26A7FF91" w14:textId="77777777" w:rsidR="00EF25A9" w:rsidRPr="00E80597" w:rsidRDefault="00EF25A9" w:rsidP="002879C8">
            <w:pPr>
              <w:jc w:val="center"/>
            </w:pPr>
            <w:r w:rsidRPr="00E80597">
              <w:t>$23.00</w:t>
            </w:r>
          </w:p>
        </w:tc>
      </w:tr>
      <w:tr w:rsidR="00EF25A9" w:rsidRPr="00536BFC" w14:paraId="7B89F0E0" w14:textId="77777777" w:rsidTr="002879C8">
        <w:tc>
          <w:tcPr>
            <w:tcW w:w="810" w:type="pct"/>
            <w:tcBorders>
              <w:top w:val="single" w:sz="4" w:space="0" w:color="auto"/>
              <w:left w:val="single" w:sz="4" w:space="0" w:color="auto"/>
              <w:bottom w:val="single" w:sz="4" w:space="0" w:color="auto"/>
              <w:right w:val="single" w:sz="4" w:space="0" w:color="auto"/>
            </w:tcBorders>
            <w:vAlign w:val="center"/>
          </w:tcPr>
          <w:p w14:paraId="3651E87C" w14:textId="77777777" w:rsidR="00EF25A9" w:rsidRPr="00E80597" w:rsidRDefault="00EF25A9" w:rsidP="002879C8">
            <w:pPr>
              <w:jc w:val="center"/>
            </w:pPr>
            <w:r w:rsidRPr="00E80597">
              <w:t>8+ to 12 years’ service OR</w:t>
            </w:r>
          </w:p>
        </w:tc>
        <w:tc>
          <w:tcPr>
            <w:tcW w:w="801" w:type="pct"/>
            <w:tcBorders>
              <w:top w:val="single" w:sz="4" w:space="0" w:color="auto"/>
              <w:left w:val="single" w:sz="4" w:space="0" w:color="auto"/>
              <w:bottom w:val="single" w:sz="4" w:space="0" w:color="auto"/>
              <w:right w:val="single" w:sz="4" w:space="0" w:color="auto"/>
            </w:tcBorders>
            <w:vAlign w:val="center"/>
          </w:tcPr>
          <w:p w14:paraId="7F50B95B" w14:textId="77777777" w:rsidR="00EF25A9" w:rsidRPr="00E80597" w:rsidRDefault="00EF25A9" w:rsidP="002879C8">
            <w:pPr>
              <w:jc w:val="center"/>
            </w:pPr>
            <w:r w:rsidRPr="00E80597">
              <w:t>Level 3</w:t>
            </w:r>
          </w:p>
        </w:tc>
        <w:tc>
          <w:tcPr>
            <w:tcW w:w="630" w:type="pct"/>
            <w:tcBorders>
              <w:top w:val="single" w:sz="4" w:space="0" w:color="auto"/>
              <w:left w:val="single" w:sz="4" w:space="0" w:color="auto"/>
              <w:bottom w:val="single" w:sz="4" w:space="0" w:color="auto"/>
              <w:right w:val="single" w:sz="4" w:space="0" w:color="auto"/>
            </w:tcBorders>
            <w:vAlign w:val="center"/>
          </w:tcPr>
          <w:p w14:paraId="56E3CFDE" w14:textId="77777777" w:rsidR="00EF25A9" w:rsidRPr="00E80597" w:rsidRDefault="00EF25A9" w:rsidP="002879C8">
            <w:pPr>
              <w:jc w:val="center"/>
            </w:pPr>
            <w:r w:rsidRPr="00E80597">
              <w:t>L3</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CAA6291" w14:textId="77777777" w:rsidR="00EF25A9" w:rsidRPr="00E80597" w:rsidRDefault="00EF25A9" w:rsidP="002879C8">
            <w:pPr>
              <w:jc w:val="center"/>
            </w:pPr>
            <w:r w:rsidRPr="00E80597">
              <w:t>$21.00</w:t>
            </w:r>
          </w:p>
        </w:tc>
        <w:tc>
          <w:tcPr>
            <w:tcW w:w="678" w:type="pct"/>
            <w:tcBorders>
              <w:top w:val="single" w:sz="4" w:space="0" w:color="auto"/>
              <w:left w:val="single" w:sz="4" w:space="0" w:color="auto"/>
              <w:bottom w:val="single" w:sz="4" w:space="0" w:color="auto"/>
              <w:right w:val="single" w:sz="4" w:space="0" w:color="auto"/>
            </w:tcBorders>
            <w:vAlign w:val="center"/>
          </w:tcPr>
          <w:p w14:paraId="2F945C99" w14:textId="77777777" w:rsidR="00EF25A9" w:rsidRPr="00E80597" w:rsidRDefault="00EF25A9" w:rsidP="002879C8">
            <w:pPr>
              <w:jc w:val="center"/>
            </w:pPr>
            <w:r w:rsidRPr="00E80597">
              <w:t>$22.50</w:t>
            </w:r>
          </w:p>
        </w:tc>
        <w:tc>
          <w:tcPr>
            <w:tcW w:w="677" w:type="pct"/>
            <w:tcBorders>
              <w:top w:val="single" w:sz="4" w:space="0" w:color="auto"/>
              <w:left w:val="single" w:sz="4" w:space="0" w:color="auto"/>
              <w:bottom w:val="single" w:sz="4" w:space="0" w:color="auto"/>
              <w:right w:val="single" w:sz="4" w:space="0" w:color="auto"/>
            </w:tcBorders>
            <w:vAlign w:val="center"/>
          </w:tcPr>
          <w:p w14:paraId="69B12016" w14:textId="77777777" w:rsidR="00EF25A9" w:rsidRPr="00E80597" w:rsidRDefault="00EF25A9" w:rsidP="002879C8">
            <w:pPr>
              <w:jc w:val="center"/>
            </w:pPr>
            <w:r w:rsidRPr="00E80597">
              <w:t>$23.00</w:t>
            </w:r>
          </w:p>
        </w:tc>
        <w:tc>
          <w:tcPr>
            <w:tcW w:w="727" w:type="pct"/>
            <w:tcBorders>
              <w:top w:val="single" w:sz="4" w:space="0" w:color="auto"/>
              <w:left w:val="single" w:sz="4" w:space="0" w:color="auto"/>
              <w:bottom w:val="single" w:sz="4" w:space="0" w:color="auto"/>
              <w:right w:val="single" w:sz="4" w:space="0" w:color="auto"/>
            </w:tcBorders>
            <w:vAlign w:val="center"/>
          </w:tcPr>
          <w:p w14:paraId="4B28E946" w14:textId="77777777" w:rsidR="00EF25A9" w:rsidRPr="00E80597" w:rsidRDefault="00EF25A9" w:rsidP="002879C8">
            <w:pPr>
              <w:jc w:val="center"/>
            </w:pPr>
            <w:r w:rsidRPr="00E80597">
              <w:t>$25.00</w:t>
            </w:r>
          </w:p>
        </w:tc>
      </w:tr>
      <w:tr w:rsidR="00EF25A9" w:rsidRPr="00536BFC" w14:paraId="6CE77574" w14:textId="77777777" w:rsidTr="002879C8">
        <w:tc>
          <w:tcPr>
            <w:tcW w:w="810" w:type="pct"/>
            <w:tcBorders>
              <w:top w:val="single" w:sz="4" w:space="0" w:color="auto"/>
              <w:left w:val="single" w:sz="4" w:space="0" w:color="auto"/>
              <w:bottom w:val="single" w:sz="4" w:space="0" w:color="auto"/>
              <w:right w:val="single" w:sz="4" w:space="0" w:color="auto"/>
            </w:tcBorders>
            <w:vAlign w:val="center"/>
          </w:tcPr>
          <w:p w14:paraId="75EAC865" w14:textId="77777777" w:rsidR="00EF25A9" w:rsidRPr="00E80597" w:rsidRDefault="00EF25A9" w:rsidP="002879C8">
            <w:pPr>
              <w:jc w:val="center"/>
            </w:pPr>
            <w:r w:rsidRPr="00E80597">
              <w:t>12+ years’ service OR</w:t>
            </w:r>
          </w:p>
        </w:tc>
        <w:tc>
          <w:tcPr>
            <w:tcW w:w="801" w:type="pct"/>
            <w:tcBorders>
              <w:top w:val="single" w:sz="4" w:space="0" w:color="auto"/>
              <w:left w:val="single" w:sz="4" w:space="0" w:color="auto"/>
              <w:bottom w:val="single" w:sz="4" w:space="0" w:color="auto"/>
              <w:right w:val="single" w:sz="4" w:space="0" w:color="auto"/>
            </w:tcBorders>
            <w:vAlign w:val="center"/>
          </w:tcPr>
          <w:p w14:paraId="4B16B0AB" w14:textId="77777777" w:rsidR="00EF25A9" w:rsidRPr="00E80597" w:rsidRDefault="00EF25A9" w:rsidP="002879C8">
            <w:pPr>
              <w:jc w:val="center"/>
            </w:pPr>
            <w:r w:rsidRPr="00E80597">
              <w:t>Level 4</w:t>
            </w:r>
          </w:p>
        </w:tc>
        <w:tc>
          <w:tcPr>
            <w:tcW w:w="630" w:type="pct"/>
            <w:tcBorders>
              <w:top w:val="single" w:sz="4" w:space="0" w:color="auto"/>
              <w:left w:val="single" w:sz="4" w:space="0" w:color="auto"/>
              <w:bottom w:val="single" w:sz="4" w:space="0" w:color="auto"/>
              <w:right w:val="single" w:sz="4" w:space="0" w:color="auto"/>
            </w:tcBorders>
            <w:vAlign w:val="center"/>
          </w:tcPr>
          <w:p w14:paraId="40847234" w14:textId="77777777" w:rsidR="00EF25A9" w:rsidRPr="00E80597" w:rsidRDefault="00EF25A9" w:rsidP="002879C8">
            <w:pPr>
              <w:jc w:val="center"/>
            </w:pPr>
            <w:r w:rsidRPr="00E80597">
              <w:t>L4b</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41E05D0" w14:textId="77777777" w:rsidR="00EF25A9" w:rsidRPr="00E80597" w:rsidRDefault="00EF25A9" w:rsidP="002879C8">
            <w:pPr>
              <w:jc w:val="center"/>
            </w:pPr>
            <w:r w:rsidRPr="00E80597">
              <w:t>$23.50</w:t>
            </w:r>
          </w:p>
        </w:tc>
        <w:tc>
          <w:tcPr>
            <w:tcW w:w="678" w:type="pct"/>
            <w:tcBorders>
              <w:top w:val="single" w:sz="4" w:space="0" w:color="auto"/>
              <w:left w:val="single" w:sz="4" w:space="0" w:color="auto"/>
              <w:bottom w:val="single" w:sz="4" w:space="0" w:color="auto"/>
              <w:right w:val="single" w:sz="4" w:space="0" w:color="auto"/>
            </w:tcBorders>
            <w:vAlign w:val="center"/>
          </w:tcPr>
          <w:p w14:paraId="7ED1DCFE" w14:textId="77777777" w:rsidR="00EF25A9" w:rsidRPr="00E80597" w:rsidRDefault="00EF25A9" w:rsidP="002879C8">
            <w:pPr>
              <w:jc w:val="center"/>
            </w:pPr>
            <w:r w:rsidRPr="00E80597">
              <w:t>$24.50</w:t>
            </w:r>
          </w:p>
        </w:tc>
        <w:tc>
          <w:tcPr>
            <w:tcW w:w="677" w:type="pct"/>
            <w:tcBorders>
              <w:top w:val="single" w:sz="4" w:space="0" w:color="auto"/>
              <w:left w:val="single" w:sz="4" w:space="0" w:color="auto"/>
              <w:bottom w:val="single" w:sz="4" w:space="0" w:color="auto"/>
              <w:right w:val="single" w:sz="4" w:space="0" w:color="auto"/>
            </w:tcBorders>
            <w:vAlign w:val="center"/>
          </w:tcPr>
          <w:p w14:paraId="5417F3B5" w14:textId="77777777" w:rsidR="00EF25A9" w:rsidRPr="00E80597" w:rsidRDefault="00EF25A9" w:rsidP="002879C8">
            <w:pPr>
              <w:jc w:val="center"/>
            </w:pPr>
            <w:r w:rsidRPr="00E80597">
              <w:t>$25.50</w:t>
            </w:r>
          </w:p>
        </w:tc>
        <w:tc>
          <w:tcPr>
            <w:tcW w:w="727" w:type="pct"/>
            <w:tcBorders>
              <w:top w:val="single" w:sz="4" w:space="0" w:color="auto"/>
              <w:left w:val="single" w:sz="4" w:space="0" w:color="auto"/>
              <w:bottom w:val="single" w:sz="4" w:space="0" w:color="auto"/>
              <w:right w:val="single" w:sz="4" w:space="0" w:color="auto"/>
            </w:tcBorders>
            <w:vAlign w:val="center"/>
          </w:tcPr>
          <w:p w14:paraId="35ED5520" w14:textId="77777777" w:rsidR="00EF25A9" w:rsidRPr="00E80597" w:rsidRDefault="00EF25A9" w:rsidP="002879C8">
            <w:pPr>
              <w:jc w:val="center"/>
            </w:pPr>
            <w:r w:rsidRPr="00E80597">
              <w:t>$27.00</w:t>
            </w:r>
          </w:p>
        </w:tc>
      </w:tr>
    </w:tbl>
    <w:p w14:paraId="0691D243" w14:textId="14A340E8" w:rsidR="00EF25A9" w:rsidRDefault="00EF25A9" w:rsidP="00EF25A9">
      <w:pPr>
        <w:spacing w:before="180" w:after="120"/>
        <w:rPr>
          <w:rFonts w:ascii="Verdana" w:hAnsi="Verdana"/>
          <w:sz w:val="20"/>
        </w:rPr>
      </w:pPr>
      <w:r>
        <w:rPr>
          <w:rFonts w:ascii="Verdana" w:hAnsi="Verdana"/>
          <w:sz w:val="20"/>
        </w:rPr>
        <w:t xml:space="preserve">There is an additional pay band, L4a, that applies to existing employees who have not achieved a Level 4 Certificate or higher and who complete 12 years or more of continuous service </w:t>
      </w:r>
      <w:r w:rsidRPr="00EF25A9">
        <w:rPr>
          <w:rFonts w:ascii="Verdana" w:hAnsi="Verdana"/>
          <w:b/>
          <w:i/>
          <w:sz w:val="20"/>
        </w:rPr>
        <w:t>after</w:t>
      </w:r>
      <w:r>
        <w:rPr>
          <w:rFonts w:ascii="Verdana" w:hAnsi="Verdana"/>
          <w:sz w:val="20"/>
        </w:rPr>
        <w:t xml:space="preserve"> 1 July 2017.  </w:t>
      </w:r>
      <w:r w:rsidR="009F1F35">
        <w:rPr>
          <w:rFonts w:ascii="Verdana" w:hAnsi="Verdana"/>
          <w:sz w:val="20"/>
        </w:rPr>
        <w:t>However, i</w:t>
      </w:r>
      <w:r>
        <w:rPr>
          <w:rFonts w:ascii="Verdana" w:hAnsi="Verdana"/>
          <w:sz w:val="20"/>
        </w:rPr>
        <w:t xml:space="preserve">f an employee has </w:t>
      </w:r>
      <w:r w:rsidRPr="00D77D7E">
        <w:rPr>
          <w:rFonts w:ascii="Verdana" w:hAnsi="Verdana"/>
          <w:sz w:val="20"/>
        </w:rPr>
        <w:t xml:space="preserve">reasonable grounds </w:t>
      </w:r>
      <w:r>
        <w:rPr>
          <w:rFonts w:ascii="Verdana" w:hAnsi="Verdana"/>
          <w:sz w:val="20"/>
        </w:rPr>
        <w:t>to argue that they were</w:t>
      </w:r>
      <w:r w:rsidRPr="00D77D7E">
        <w:rPr>
          <w:rFonts w:ascii="Verdana" w:hAnsi="Verdana"/>
          <w:sz w:val="20"/>
        </w:rPr>
        <w:t xml:space="preserve"> not provide</w:t>
      </w:r>
      <w:r>
        <w:rPr>
          <w:rFonts w:ascii="Verdana" w:hAnsi="Verdana"/>
          <w:sz w:val="20"/>
        </w:rPr>
        <w:t>d</w:t>
      </w:r>
      <w:r w:rsidRPr="00D77D7E">
        <w:rPr>
          <w:rFonts w:ascii="Verdana" w:hAnsi="Verdana"/>
          <w:sz w:val="20"/>
        </w:rPr>
        <w:t xml:space="preserve"> </w:t>
      </w:r>
      <w:r>
        <w:rPr>
          <w:rFonts w:ascii="Verdana" w:hAnsi="Verdana"/>
          <w:sz w:val="20"/>
        </w:rPr>
        <w:t xml:space="preserve">with the </w:t>
      </w:r>
      <w:r w:rsidRPr="00D77D7E">
        <w:rPr>
          <w:rFonts w:ascii="Verdana" w:hAnsi="Verdana"/>
          <w:sz w:val="20"/>
        </w:rPr>
        <w:t xml:space="preserve">support </w:t>
      </w:r>
      <w:r>
        <w:rPr>
          <w:rFonts w:ascii="Verdana" w:hAnsi="Verdana"/>
          <w:sz w:val="20"/>
        </w:rPr>
        <w:t xml:space="preserve">necessary </w:t>
      </w:r>
      <w:r w:rsidRPr="00D77D7E">
        <w:rPr>
          <w:rFonts w:ascii="Verdana" w:hAnsi="Verdana"/>
          <w:sz w:val="20"/>
        </w:rPr>
        <w:t xml:space="preserve">to achieve the Level 4 qualification, </w:t>
      </w:r>
      <w:r>
        <w:rPr>
          <w:rFonts w:ascii="Verdana" w:hAnsi="Verdana"/>
          <w:sz w:val="20"/>
        </w:rPr>
        <w:t xml:space="preserve">that </w:t>
      </w:r>
      <w:r w:rsidRPr="00D77D7E">
        <w:rPr>
          <w:rFonts w:ascii="Verdana" w:hAnsi="Verdana"/>
          <w:sz w:val="20"/>
        </w:rPr>
        <w:t>employee will be entitled to move to the Level 4</w:t>
      </w:r>
      <w:r>
        <w:rPr>
          <w:rFonts w:ascii="Verdana" w:hAnsi="Verdana"/>
          <w:sz w:val="20"/>
        </w:rPr>
        <w:t>b pay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206"/>
        <w:gridCol w:w="1296"/>
        <w:gridCol w:w="1298"/>
        <w:gridCol w:w="1296"/>
        <w:gridCol w:w="1388"/>
      </w:tblGrid>
      <w:tr w:rsidR="00EF25A9" w:rsidRPr="00E80597" w14:paraId="718801C9" w14:textId="77777777" w:rsidTr="002879C8">
        <w:tc>
          <w:tcPr>
            <w:tcW w:w="1613" w:type="pct"/>
            <w:tcBorders>
              <w:top w:val="single" w:sz="4" w:space="0" w:color="auto"/>
              <w:left w:val="single" w:sz="4" w:space="0" w:color="auto"/>
              <w:bottom w:val="single" w:sz="4" w:space="0" w:color="auto"/>
              <w:right w:val="single" w:sz="4" w:space="0" w:color="auto"/>
            </w:tcBorders>
            <w:shd w:val="clear" w:color="auto" w:fill="D9D9D9"/>
            <w:vAlign w:val="center"/>
          </w:tcPr>
          <w:p w14:paraId="233C1634" w14:textId="77777777" w:rsidR="00EF25A9" w:rsidRPr="00E80597" w:rsidRDefault="00EF25A9" w:rsidP="002879C8">
            <w:pPr>
              <w:jc w:val="center"/>
            </w:pPr>
            <w:r w:rsidRPr="00E80597">
              <w:t>Length of Service</w:t>
            </w:r>
            <w:r>
              <w:t xml:space="preserve"> and</w:t>
            </w:r>
          </w:p>
          <w:p w14:paraId="532C95C4" w14:textId="77777777" w:rsidR="00EF25A9" w:rsidRPr="00E80597" w:rsidRDefault="00EF25A9" w:rsidP="002879C8">
            <w:pPr>
              <w:jc w:val="center"/>
            </w:pPr>
            <w:r w:rsidRPr="00E80597">
              <w:t>Qualification</w:t>
            </w:r>
          </w:p>
        </w:tc>
        <w:tc>
          <w:tcPr>
            <w:tcW w:w="630" w:type="pct"/>
            <w:tcBorders>
              <w:top w:val="single" w:sz="4" w:space="0" w:color="auto"/>
              <w:left w:val="single" w:sz="4" w:space="0" w:color="auto"/>
              <w:bottom w:val="single" w:sz="4" w:space="0" w:color="auto"/>
              <w:right w:val="single" w:sz="4" w:space="0" w:color="auto"/>
            </w:tcBorders>
            <w:shd w:val="clear" w:color="auto" w:fill="D9D9D9"/>
            <w:vAlign w:val="center"/>
          </w:tcPr>
          <w:p w14:paraId="707A67FA" w14:textId="77777777" w:rsidR="00EF25A9" w:rsidRPr="00E80597" w:rsidRDefault="00EF25A9" w:rsidP="002879C8">
            <w:pPr>
              <w:jc w:val="center"/>
            </w:pPr>
            <w:r w:rsidRPr="00E80597">
              <w:t>Pay Band</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22F3D19E" w14:textId="77777777" w:rsidR="00EF25A9" w:rsidRPr="00E80597" w:rsidRDefault="00EF25A9" w:rsidP="002879C8">
            <w:pPr>
              <w:jc w:val="center"/>
            </w:pPr>
            <w:r>
              <w:t xml:space="preserve">After </w:t>
            </w:r>
            <w:r w:rsidRPr="00E80597">
              <w:t>1 July 2017</w:t>
            </w:r>
          </w:p>
        </w:tc>
        <w:tc>
          <w:tcPr>
            <w:tcW w:w="678" w:type="pct"/>
            <w:tcBorders>
              <w:top w:val="single" w:sz="4" w:space="0" w:color="auto"/>
              <w:left w:val="single" w:sz="4" w:space="0" w:color="auto"/>
              <w:bottom w:val="single" w:sz="4" w:space="0" w:color="auto"/>
              <w:right w:val="single" w:sz="4" w:space="0" w:color="auto"/>
            </w:tcBorders>
            <w:shd w:val="clear" w:color="auto" w:fill="D9D9D9"/>
            <w:vAlign w:val="center"/>
          </w:tcPr>
          <w:p w14:paraId="7EBD4E2C" w14:textId="77777777" w:rsidR="00EF25A9" w:rsidRPr="00E80597" w:rsidRDefault="00EF25A9" w:rsidP="002879C8">
            <w:pPr>
              <w:jc w:val="center"/>
            </w:pPr>
            <w:r>
              <w:t xml:space="preserve">On or after </w:t>
            </w:r>
            <w:r w:rsidRPr="00E80597">
              <w:t>1 July 201</w:t>
            </w:r>
            <w:r>
              <w:t>8</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3F6CDB88" w14:textId="77777777" w:rsidR="00EF25A9" w:rsidRPr="00E80597" w:rsidRDefault="00EF25A9" w:rsidP="002879C8">
            <w:pPr>
              <w:jc w:val="center"/>
            </w:pPr>
            <w:r>
              <w:t xml:space="preserve">On or after </w:t>
            </w:r>
            <w:r w:rsidRPr="00E80597">
              <w:t>1 July 2019</w:t>
            </w:r>
          </w:p>
        </w:tc>
        <w:tc>
          <w:tcPr>
            <w:tcW w:w="726" w:type="pct"/>
            <w:tcBorders>
              <w:top w:val="single" w:sz="4" w:space="0" w:color="auto"/>
              <w:left w:val="single" w:sz="4" w:space="0" w:color="auto"/>
              <w:bottom w:val="single" w:sz="4" w:space="0" w:color="auto"/>
              <w:right w:val="single" w:sz="4" w:space="0" w:color="auto"/>
            </w:tcBorders>
            <w:shd w:val="clear" w:color="auto" w:fill="D9D9D9"/>
            <w:vAlign w:val="center"/>
          </w:tcPr>
          <w:p w14:paraId="4E2EB950" w14:textId="77777777" w:rsidR="00EF25A9" w:rsidRPr="00E80597" w:rsidRDefault="00EF25A9" w:rsidP="002879C8">
            <w:pPr>
              <w:jc w:val="center"/>
            </w:pPr>
            <w:r>
              <w:t xml:space="preserve">On or after </w:t>
            </w:r>
            <w:r w:rsidRPr="00E80597">
              <w:t>1 July 2021</w:t>
            </w:r>
          </w:p>
        </w:tc>
      </w:tr>
      <w:tr w:rsidR="00EF25A9" w:rsidRPr="00E80597" w14:paraId="5D0E9A05" w14:textId="77777777" w:rsidTr="002879C8">
        <w:tc>
          <w:tcPr>
            <w:tcW w:w="1613" w:type="pct"/>
            <w:tcBorders>
              <w:top w:val="single" w:sz="4" w:space="0" w:color="auto"/>
              <w:left w:val="single" w:sz="4" w:space="0" w:color="auto"/>
              <w:bottom w:val="single" w:sz="4" w:space="0" w:color="auto"/>
              <w:right w:val="single" w:sz="4" w:space="0" w:color="auto"/>
            </w:tcBorders>
            <w:vAlign w:val="center"/>
          </w:tcPr>
          <w:p w14:paraId="09B9600D" w14:textId="77777777" w:rsidR="00EF25A9" w:rsidRPr="00E80597" w:rsidRDefault="00EF25A9" w:rsidP="002879C8">
            <w:pPr>
              <w:jc w:val="center"/>
            </w:pPr>
            <w:r w:rsidRPr="00E80597">
              <w:t>12+ years’ service</w:t>
            </w:r>
            <w:r>
              <w:t xml:space="preserve"> after 1 July 2017 </w:t>
            </w:r>
            <w:r w:rsidRPr="00B6524D">
              <w:rPr>
                <w:i/>
              </w:rPr>
              <w:t>and</w:t>
            </w:r>
            <w:r>
              <w:t xml:space="preserve"> NZQA</w:t>
            </w:r>
          </w:p>
          <w:p w14:paraId="27A69915" w14:textId="77777777" w:rsidR="00EF25A9" w:rsidRPr="00E80597" w:rsidRDefault="00EF25A9" w:rsidP="002879C8">
            <w:pPr>
              <w:jc w:val="center"/>
            </w:pPr>
            <w:r w:rsidRPr="00E80597">
              <w:t xml:space="preserve">Level </w:t>
            </w:r>
            <w:r>
              <w:t>3 or below</w:t>
            </w:r>
          </w:p>
        </w:tc>
        <w:tc>
          <w:tcPr>
            <w:tcW w:w="630" w:type="pct"/>
            <w:tcBorders>
              <w:top w:val="single" w:sz="4" w:space="0" w:color="auto"/>
              <w:left w:val="single" w:sz="4" w:space="0" w:color="auto"/>
              <w:bottom w:val="single" w:sz="4" w:space="0" w:color="auto"/>
              <w:right w:val="single" w:sz="4" w:space="0" w:color="auto"/>
            </w:tcBorders>
            <w:vAlign w:val="center"/>
          </w:tcPr>
          <w:p w14:paraId="3D4B839C" w14:textId="77777777" w:rsidR="00EF25A9" w:rsidRPr="00E80597" w:rsidRDefault="00EF25A9" w:rsidP="002879C8">
            <w:pPr>
              <w:jc w:val="center"/>
            </w:pPr>
            <w:r w:rsidRPr="00E80597">
              <w:t>L</w:t>
            </w:r>
            <w:r>
              <w:t>4a</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504CE5E" w14:textId="77777777" w:rsidR="00EF25A9" w:rsidRPr="00E80597" w:rsidRDefault="00EF25A9" w:rsidP="002879C8">
            <w:pPr>
              <w:jc w:val="center"/>
            </w:pPr>
            <w:r w:rsidRPr="00E80597">
              <w:t>$</w:t>
            </w:r>
            <w:r>
              <w:t>22</w:t>
            </w:r>
            <w:r w:rsidRPr="00E80597">
              <w:t>.</w:t>
            </w:r>
            <w:r>
              <w:t>5</w:t>
            </w:r>
            <w:r w:rsidRPr="00E80597">
              <w:t>0</w:t>
            </w:r>
          </w:p>
        </w:tc>
        <w:tc>
          <w:tcPr>
            <w:tcW w:w="678" w:type="pct"/>
            <w:tcBorders>
              <w:top w:val="single" w:sz="4" w:space="0" w:color="auto"/>
              <w:left w:val="single" w:sz="4" w:space="0" w:color="auto"/>
              <w:bottom w:val="single" w:sz="4" w:space="0" w:color="auto"/>
              <w:right w:val="single" w:sz="4" w:space="0" w:color="auto"/>
            </w:tcBorders>
            <w:vAlign w:val="center"/>
          </w:tcPr>
          <w:p w14:paraId="746DA5B1" w14:textId="77777777" w:rsidR="00EF25A9" w:rsidRPr="00E80597" w:rsidRDefault="00EF25A9" w:rsidP="002879C8">
            <w:pPr>
              <w:jc w:val="center"/>
            </w:pPr>
            <w:r w:rsidRPr="00E80597">
              <w:t>$</w:t>
            </w:r>
            <w:r>
              <w:t>23</w:t>
            </w:r>
            <w:r w:rsidRPr="00E80597">
              <w:t>.</w:t>
            </w:r>
            <w:r>
              <w:t>5</w:t>
            </w:r>
            <w:r w:rsidRPr="00E80597">
              <w:t>0</w:t>
            </w:r>
          </w:p>
        </w:tc>
        <w:tc>
          <w:tcPr>
            <w:tcW w:w="677" w:type="pct"/>
            <w:tcBorders>
              <w:top w:val="single" w:sz="4" w:space="0" w:color="auto"/>
              <w:left w:val="single" w:sz="4" w:space="0" w:color="auto"/>
              <w:bottom w:val="single" w:sz="4" w:space="0" w:color="auto"/>
              <w:right w:val="single" w:sz="4" w:space="0" w:color="auto"/>
            </w:tcBorders>
            <w:vAlign w:val="center"/>
          </w:tcPr>
          <w:p w14:paraId="2D7A6453" w14:textId="77777777" w:rsidR="00EF25A9" w:rsidRPr="00E80597" w:rsidRDefault="00EF25A9" w:rsidP="002879C8">
            <w:pPr>
              <w:jc w:val="center"/>
            </w:pPr>
            <w:r w:rsidRPr="00E80597">
              <w:t>$2</w:t>
            </w:r>
            <w:r>
              <w:t>4</w:t>
            </w:r>
            <w:r w:rsidRPr="00E80597">
              <w:t>.50</w:t>
            </w:r>
          </w:p>
        </w:tc>
        <w:tc>
          <w:tcPr>
            <w:tcW w:w="726" w:type="pct"/>
            <w:tcBorders>
              <w:top w:val="single" w:sz="4" w:space="0" w:color="auto"/>
              <w:left w:val="single" w:sz="4" w:space="0" w:color="auto"/>
              <w:bottom w:val="single" w:sz="4" w:space="0" w:color="auto"/>
              <w:right w:val="single" w:sz="4" w:space="0" w:color="auto"/>
            </w:tcBorders>
            <w:vAlign w:val="center"/>
          </w:tcPr>
          <w:p w14:paraId="4B6782B8" w14:textId="77777777" w:rsidR="00EF25A9" w:rsidRPr="00E80597" w:rsidRDefault="00EF25A9" w:rsidP="002879C8">
            <w:pPr>
              <w:jc w:val="center"/>
            </w:pPr>
            <w:r w:rsidRPr="00E80597">
              <w:t>$2</w:t>
            </w:r>
            <w:r>
              <w:t>6</w:t>
            </w:r>
            <w:r w:rsidRPr="00E80597">
              <w:t>.</w:t>
            </w:r>
            <w:r>
              <w:t>00</w:t>
            </w:r>
          </w:p>
        </w:tc>
      </w:tr>
    </w:tbl>
    <w:p w14:paraId="14378F1B" w14:textId="77777777" w:rsidR="00EF25A9" w:rsidRPr="00B978A8" w:rsidRDefault="00EF25A9" w:rsidP="00EF25A9">
      <w:pPr>
        <w:spacing w:before="240"/>
        <w:rPr>
          <w:rFonts w:ascii="Verdana" w:hAnsi="Verdana"/>
          <w:b/>
          <w:sz w:val="20"/>
        </w:rPr>
      </w:pPr>
      <w:bookmarkStart w:id="1" w:name="_Toc488741781"/>
      <w:r>
        <w:rPr>
          <w:rFonts w:ascii="Verdana" w:hAnsi="Verdana"/>
          <w:b/>
          <w:sz w:val="20"/>
        </w:rPr>
        <w:t>Pay rates for workers employed on or after 1 July 2017</w:t>
      </w:r>
    </w:p>
    <w:p w14:paraId="3279B7C1" w14:textId="77777777" w:rsidR="00EF25A9" w:rsidRDefault="00EF25A9" w:rsidP="00EF25A9">
      <w:pPr>
        <w:spacing w:before="120"/>
        <w:rPr>
          <w:rFonts w:ascii="Verdana" w:hAnsi="Verdana"/>
          <w:sz w:val="20"/>
        </w:rPr>
      </w:pPr>
      <w:r w:rsidRPr="00B6524D">
        <w:rPr>
          <w:rFonts w:ascii="Verdana" w:hAnsi="Verdana"/>
          <w:sz w:val="20"/>
        </w:rPr>
        <w:t xml:space="preserve">The pay </w:t>
      </w:r>
      <w:r>
        <w:rPr>
          <w:rFonts w:ascii="Verdana" w:hAnsi="Verdana"/>
          <w:sz w:val="20"/>
        </w:rPr>
        <w:t>bands</w:t>
      </w:r>
      <w:r w:rsidRPr="00B6524D">
        <w:rPr>
          <w:rFonts w:ascii="Verdana" w:hAnsi="Verdana"/>
          <w:sz w:val="20"/>
        </w:rPr>
        <w:t xml:space="preserve"> for workers</w:t>
      </w:r>
      <w:r>
        <w:rPr>
          <w:rFonts w:ascii="Verdana" w:hAnsi="Verdana"/>
          <w:sz w:val="20"/>
        </w:rPr>
        <w:t xml:space="preserve"> who are employed on or after 1 July 2017 are calculated on the basis of their qualifications alone.  This applies to all new employees, even if they have a number of years’ experience as a care and support worker with a previous employer.  </w:t>
      </w:r>
    </w:p>
    <w:p w14:paraId="028B42C1" w14:textId="3A5ADECB" w:rsidR="00EF25A9" w:rsidRDefault="00EF25A9" w:rsidP="00EF25A9">
      <w:pPr>
        <w:spacing w:before="120"/>
        <w:rPr>
          <w:rFonts w:ascii="Verdana" w:hAnsi="Verdana"/>
          <w:sz w:val="20"/>
        </w:rPr>
      </w:pPr>
      <w:r>
        <w:rPr>
          <w:rFonts w:ascii="Verdana" w:hAnsi="Verdana"/>
          <w:sz w:val="20"/>
        </w:rPr>
        <w:t>An employee’s length of service can only be taken into account if they have had “continuous employment”.</w:t>
      </w:r>
    </w:p>
    <w:bookmarkEnd w:id="1"/>
    <w:p w14:paraId="3D6CD208" w14:textId="2698BEB8" w:rsidR="00EF25A9" w:rsidRPr="00B6524D" w:rsidRDefault="00EF25A9" w:rsidP="00817465">
      <w:pPr>
        <w:spacing w:before="120"/>
        <w:rPr>
          <w:rFonts w:ascii="Verdana" w:hAnsi="Verdana"/>
          <w:sz w:val="20"/>
        </w:rPr>
      </w:pPr>
      <w:r>
        <w:rPr>
          <w:rFonts w:ascii="Verdana" w:hAnsi="Verdana"/>
          <w:sz w:val="20"/>
        </w:rPr>
        <w:t>Continuous employment as a care and support worker with their current employer</w:t>
      </w:r>
      <w:r w:rsidR="00817465">
        <w:rPr>
          <w:rFonts w:ascii="Verdana" w:hAnsi="Verdana"/>
          <w:sz w:val="20"/>
        </w:rPr>
        <w:t xml:space="preserve"> i</w:t>
      </w:r>
      <w:r>
        <w:rPr>
          <w:rFonts w:ascii="Verdana" w:hAnsi="Verdana"/>
          <w:sz w:val="20"/>
        </w:rPr>
        <w:t xml:space="preserve">ncludes any period during which </w:t>
      </w:r>
      <w:r w:rsidRPr="00B6524D">
        <w:rPr>
          <w:rFonts w:ascii="Verdana" w:hAnsi="Verdana"/>
          <w:sz w:val="20"/>
        </w:rPr>
        <w:t>the worker is—</w:t>
      </w:r>
    </w:p>
    <w:p w14:paraId="12C249DC" w14:textId="77777777" w:rsidR="00EF25A9" w:rsidRPr="00B6524D" w:rsidRDefault="00EF25A9" w:rsidP="00817465">
      <w:pPr>
        <w:spacing w:before="120"/>
        <w:rPr>
          <w:rFonts w:ascii="Verdana" w:hAnsi="Verdana"/>
          <w:sz w:val="20"/>
        </w:rPr>
      </w:pPr>
      <w:r w:rsidRPr="00B6524D">
        <w:rPr>
          <w:rFonts w:ascii="Verdana" w:hAnsi="Verdana"/>
          <w:sz w:val="20"/>
        </w:rPr>
        <w:t>(</w:t>
      </w:r>
      <w:proofErr w:type="spellStart"/>
      <w:r w:rsidRPr="00B6524D">
        <w:rPr>
          <w:rFonts w:ascii="Verdana" w:hAnsi="Verdana"/>
          <w:sz w:val="20"/>
        </w:rPr>
        <w:t>i</w:t>
      </w:r>
      <w:proofErr w:type="spellEnd"/>
      <w:r w:rsidRPr="00B6524D">
        <w:rPr>
          <w:rFonts w:ascii="Verdana" w:hAnsi="Verdana"/>
          <w:sz w:val="20"/>
        </w:rPr>
        <w:t xml:space="preserve">) </w:t>
      </w:r>
      <w:proofErr w:type="gramStart"/>
      <w:r w:rsidRPr="00B6524D">
        <w:rPr>
          <w:rFonts w:ascii="Verdana" w:hAnsi="Verdana"/>
          <w:sz w:val="20"/>
        </w:rPr>
        <w:t>on</w:t>
      </w:r>
      <w:proofErr w:type="gramEnd"/>
      <w:r w:rsidRPr="00B6524D">
        <w:rPr>
          <w:rFonts w:ascii="Verdana" w:hAnsi="Verdana"/>
          <w:sz w:val="20"/>
        </w:rPr>
        <w:t xml:space="preserve"> paid holidays or leave under the Holidays Act 2003; or</w:t>
      </w:r>
    </w:p>
    <w:p w14:paraId="4298454E" w14:textId="77777777" w:rsidR="00EF25A9" w:rsidRPr="00B6524D" w:rsidRDefault="00EF25A9" w:rsidP="00817465">
      <w:pPr>
        <w:spacing w:before="120"/>
        <w:rPr>
          <w:rFonts w:ascii="Verdana" w:hAnsi="Verdana"/>
          <w:sz w:val="20"/>
        </w:rPr>
      </w:pPr>
      <w:r w:rsidRPr="00B6524D">
        <w:rPr>
          <w:rFonts w:ascii="Verdana" w:hAnsi="Verdana"/>
          <w:sz w:val="20"/>
        </w:rPr>
        <w:t xml:space="preserve">(ii) </w:t>
      </w:r>
      <w:proofErr w:type="gramStart"/>
      <w:r w:rsidRPr="00B6524D">
        <w:rPr>
          <w:rFonts w:ascii="Verdana" w:hAnsi="Verdana"/>
          <w:sz w:val="20"/>
        </w:rPr>
        <w:t>on</w:t>
      </w:r>
      <w:proofErr w:type="gramEnd"/>
      <w:r w:rsidRPr="00B6524D">
        <w:rPr>
          <w:rFonts w:ascii="Verdana" w:hAnsi="Verdana"/>
          <w:sz w:val="20"/>
        </w:rPr>
        <w:t xml:space="preserve"> parental leave under the Parental Leave and Employment Protection Act 1987; or</w:t>
      </w:r>
    </w:p>
    <w:p w14:paraId="66A786A4" w14:textId="77777777" w:rsidR="00EF25A9" w:rsidRPr="00B6524D" w:rsidRDefault="00EF25A9" w:rsidP="00817465">
      <w:pPr>
        <w:spacing w:before="120"/>
        <w:rPr>
          <w:rFonts w:ascii="Verdana" w:hAnsi="Verdana"/>
          <w:sz w:val="20"/>
        </w:rPr>
      </w:pPr>
      <w:r w:rsidRPr="00B6524D">
        <w:rPr>
          <w:rFonts w:ascii="Verdana" w:hAnsi="Verdana"/>
          <w:sz w:val="20"/>
        </w:rPr>
        <w:lastRenderedPageBreak/>
        <w:t xml:space="preserve">(iii) </w:t>
      </w:r>
      <w:proofErr w:type="gramStart"/>
      <w:r w:rsidRPr="00B6524D">
        <w:rPr>
          <w:rFonts w:ascii="Verdana" w:hAnsi="Verdana"/>
          <w:sz w:val="20"/>
        </w:rPr>
        <w:t>on</w:t>
      </w:r>
      <w:proofErr w:type="gramEnd"/>
      <w:r w:rsidRPr="00B6524D">
        <w:rPr>
          <w:rFonts w:ascii="Verdana" w:hAnsi="Verdana"/>
          <w:sz w:val="20"/>
        </w:rPr>
        <w:t xml:space="preserve"> volunteers leave (within the meaning of that term in section 2(1) of the Volunteers Employment Protection Act 1973); or</w:t>
      </w:r>
    </w:p>
    <w:p w14:paraId="43E54274" w14:textId="77777777" w:rsidR="00EF25A9" w:rsidRPr="00B6524D" w:rsidRDefault="00EF25A9" w:rsidP="00817465">
      <w:pPr>
        <w:spacing w:before="120"/>
        <w:rPr>
          <w:rFonts w:ascii="Verdana" w:hAnsi="Verdana"/>
          <w:sz w:val="20"/>
        </w:rPr>
      </w:pPr>
      <w:r w:rsidRPr="00B6524D">
        <w:rPr>
          <w:rFonts w:ascii="Verdana" w:hAnsi="Verdana"/>
          <w:sz w:val="20"/>
        </w:rPr>
        <w:t xml:space="preserve">(iv) </w:t>
      </w:r>
      <w:proofErr w:type="gramStart"/>
      <w:r w:rsidRPr="00B6524D">
        <w:rPr>
          <w:rFonts w:ascii="Verdana" w:hAnsi="Verdana"/>
          <w:sz w:val="20"/>
        </w:rPr>
        <w:t>receiving</w:t>
      </w:r>
      <w:proofErr w:type="gramEnd"/>
      <w:r w:rsidRPr="00B6524D">
        <w:rPr>
          <w:rFonts w:ascii="Verdana" w:hAnsi="Verdana"/>
          <w:sz w:val="20"/>
        </w:rPr>
        <w:t xml:space="preserve"> weekly compensation under the Accident Compensation Act 2001 as well as, or instead of, payment from the employer; or</w:t>
      </w:r>
    </w:p>
    <w:p w14:paraId="4D33462A" w14:textId="77777777" w:rsidR="00EF25A9" w:rsidRPr="00B6524D" w:rsidRDefault="00EF25A9" w:rsidP="00817465">
      <w:pPr>
        <w:spacing w:before="120"/>
        <w:rPr>
          <w:rFonts w:ascii="Verdana" w:hAnsi="Verdana"/>
          <w:sz w:val="20"/>
        </w:rPr>
      </w:pPr>
      <w:r w:rsidRPr="00B6524D">
        <w:rPr>
          <w:rFonts w:ascii="Verdana" w:hAnsi="Verdana"/>
          <w:sz w:val="20"/>
        </w:rPr>
        <w:t xml:space="preserve">(v) </w:t>
      </w:r>
      <w:proofErr w:type="gramStart"/>
      <w:r w:rsidRPr="00B6524D">
        <w:rPr>
          <w:rFonts w:ascii="Verdana" w:hAnsi="Verdana"/>
          <w:sz w:val="20"/>
        </w:rPr>
        <w:t>on</w:t>
      </w:r>
      <w:proofErr w:type="gramEnd"/>
      <w:r w:rsidRPr="00B6524D">
        <w:rPr>
          <w:rFonts w:ascii="Verdana" w:hAnsi="Verdana"/>
          <w:sz w:val="20"/>
        </w:rPr>
        <w:t xml:space="preserve"> unpaid sick leave or unpaid bereavement leave; or</w:t>
      </w:r>
    </w:p>
    <w:p w14:paraId="431793EC" w14:textId="77777777" w:rsidR="00EF25A9" w:rsidRDefault="00EF25A9" w:rsidP="00817465">
      <w:pPr>
        <w:spacing w:before="120"/>
        <w:rPr>
          <w:rFonts w:ascii="Verdana" w:hAnsi="Verdana"/>
          <w:sz w:val="20"/>
        </w:rPr>
      </w:pPr>
      <w:r w:rsidRPr="00B6524D">
        <w:rPr>
          <w:rFonts w:ascii="Verdana" w:hAnsi="Verdana"/>
          <w:sz w:val="20"/>
        </w:rPr>
        <w:t xml:space="preserve">(vi) </w:t>
      </w:r>
      <w:proofErr w:type="gramStart"/>
      <w:r w:rsidRPr="00B6524D">
        <w:rPr>
          <w:rFonts w:ascii="Verdana" w:hAnsi="Verdana"/>
          <w:sz w:val="20"/>
        </w:rPr>
        <w:t>on</w:t>
      </w:r>
      <w:proofErr w:type="gramEnd"/>
      <w:r w:rsidRPr="00B6524D">
        <w:rPr>
          <w:rFonts w:ascii="Verdana" w:hAnsi="Verdana"/>
          <w:sz w:val="20"/>
        </w:rPr>
        <w:t xml:space="preserve"> unpaid leave for any other reason for a p</w:t>
      </w:r>
      <w:r>
        <w:rPr>
          <w:rFonts w:ascii="Verdana" w:hAnsi="Verdana"/>
          <w:sz w:val="20"/>
        </w:rPr>
        <w:t>eriod of no more than 1 week.</w:t>
      </w:r>
      <w:r>
        <w:rPr>
          <w:rFonts w:ascii="Verdana" w:hAnsi="Verdana"/>
          <w:sz w:val="20"/>
        </w:rPr>
        <w:br/>
      </w:r>
    </w:p>
    <w:p w14:paraId="7A929654" w14:textId="77777777" w:rsidR="00EF25A9" w:rsidRDefault="00EF25A9" w:rsidP="00EF25A9">
      <w:pPr>
        <w:spacing w:before="120"/>
        <w:rPr>
          <w:rFonts w:ascii="Verdana" w:hAnsi="Verdana"/>
          <w:sz w:val="20"/>
        </w:rPr>
      </w:pPr>
      <w:r>
        <w:rPr>
          <w:rFonts w:ascii="Verdana" w:hAnsi="Verdana"/>
          <w:sz w:val="20"/>
        </w:rPr>
        <w:t>Continuous employment with a previous employer will only contribute to an employee’s length of service if:</w:t>
      </w:r>
    </w:p>
    <w:p w14:paraId="649E0D4C" w14:textId="77777777" w:rsidR="00EF25A9" w:rsidRPr="00B6524D" w:rsidRDefault="00EF25A9" w:rsidP="00817465">
      <w:pPr>
        <w:spacing w:before="120"/>
        <w:rPr>
          <w:rFonts w:ascii="Verdana" w:hAnsi="Verdana"/>
          <w:sz w:val="20"/>
        </w:rPr>
      </w:pPr>
      <w:r w:rsidRPr="00B6524D">
        <w:rPr>
          <w:rFonts w:ascii="Verdana" w:hAnsi="Verdana"/>
          <w:sz w:val="20"/>
        </w:rPr>
        <w:t xml:space="preserve">(A) </w:t>
      </w:r>
      <w:proofErr w:type="gramStart"/>
      <w:r w:rsidRPr="00B6524D">
        <w:rPr>
          <w:rFonts w:ascii="Verdana" w:hAnsi="Verdana"/>
          <w:sz w:val="20"/>
        </w:rPr>
        <w:t>the</w:t>
      </w:r>
      <w:proofErr w:type="gramEnd"/>
      <w:r w:rsidRPr="00B6524D">
        <w:rPr>
          <w:rFonts w:ascii="Verdana" w:hAnsi="Verdana"/>
          <w:sz w:val="20"/>
        </w:rPr>
        <w:t xml:space="preserve"> worker transferred from the previous employer to the current employer; and</w:t>
      </w:r>
    </w:p>
    <w:p w14:paraId="1E711552" w14:textId="77777777" w:rsidR="00EF25A9" w:rsidRPr="00B6524D" w:rsidRDefault="00EF25A9" w:rsidP="00817465">
      <w:pPr>
        <w:spacing w:before="120"/>
        <w:rPr>
          <w:rFonts w:ascii="Verdana" w:hAnsi="Verdana"/>
          <w:sz w:val="20"/>
        </w:rPr>
      </w:pPr>
      <w:r w:rsidRPr="00B6524D">
        <w:rPr>
          <w:rFonts w:ascii="Verdana" w:hAnsi="Verdana"/>
          <w:sz w:val="20"/>
        </w:rPr>
        <w:t xml:space="preserve">(B) </w:t>
      </w:r>
      <w:proofErr w:type="gramStart"/>
      <w:r w:rsidRPr="00B6524D">
        <w:rPr>
          <w:rFonts w:ascii="Verdana" w:hAnsi="Verdana"/>
          <w:sz w:val="20"/>
        </w:rPr>
        <w:t>the</w:t>
      </w:r>
      <w:proofErr w:type="gramEnd"/>
      <w:r w:rsidRPr="00B6524D">
        <w:rPr>
          <w:rFonts w:ascii="Verdana" w:hAnsi="Verdana"/>
          <w:sz w:val="20"/>
        </w:rPr>
        <w:t xml:space="preserve"> transfer was a result of restructuring (within the meaning of that term in section 69B of the Employment Relations Act 2000); but</w:t>
      </w:r>
      <w:r>
        <w:rPr>
          <w:rFonts w:ascii="Verdana" w:hAnsi="Verdana"/>
          <w:sz w:val="20"/>
        </w:rPr>
        <w:t xml:space="preserve"> (</w:t>
      </w:r>
      <w:r w:rsidRPr="00B6524D">
        <w:rPr>
          <w:rFonts w:ascii="Verdana" w:hAnsi="Verdana"/>
          <w:sz w:val="20"/>
        </w:rPr>
        <w:t>unless otherwise agreed between the worker and the worker’s employer</w:t>
      </w:r>
      <w:r>
        <w:rPr>
          <w:rFonts w:ascii="Verdana" w:hAnsi="Verdana"/>
          <w:sz w:val="20"/>
        </w:rPr>
        <w:t>)</w:t>
      </w:r>
      <w:r w:rsidRPr="00B6524D">
        <w:rPr>
          <w:rFonts w:ascii="Verdana" w:hAnsi="Verdana"/>
          <w:sz w:val="20"/>
        </w:rPr>
        <w:t xml:space="preserve"> does not include unpaid leave </w:t>
      </w:r>
      <w:r>
        <w:rPr>
          <w:rFonts w:ascii="Verdana" w:hAnsi="Verdana"/>
          <w:sz w:val="20"/>
        </w:rPr>
        <w:t>unless it is mentioned in paragraphs (</w:t>
      </w:r>
      <w:proofErr w:type="spellStart"/>
      <w:r>
        <w:rPr>
          <w:rFonts w:ascii="Verdana" w:hAnsi="Verdana"/>
          <w:sz w:val="20"/>
        </w:rPr>
        <w:t>i</w:t>
      </w:r>
      <w:proofErr w:type="spellEnd"/>
      <w:r>
        <w:rPr>
          <w:rFonts w:ascii="Verdana" w:hAnsi="Verdana"/>
          <w:sz w:val="20"/>
        </w:rPr>
        <w:t>) to (vi), above.</w:t>
      </w:r>
    </w:p>
    <w:p w14:paraId="734BB62A" w14:textId="77777777" w:rsidR="00EF25A9" w:rsidRDefault="00EF25A9" w:rsidP="00817465">
      <w:pPr>
        <w:spacing w:before="120"/>
        <w:rPr>
          <w:rFonts w:ascii="Verdana" w:hAnsi="Verdana"/>
          <w:sz w:val="20"/>
        </w:rPr>
      </w:pPr>
      <w:r w:rsidRPr="00927EFB">
        <w:rPr>
          <w:rFonts w:ascii="Verdana" w:hAnsi="Verdana"/>
          <w:sz w:val="20"/>
        </w:rPr>
        <w:t xml:space="preserve">The definition of </w:t>
      </w:r>
      <w:r>
        <w:rPr>
          <w:rFonts w:ascii="Verdana" w:hAnsi="Verdana"/>
          <w:sz w:val="20"/>
        </w:rPr>
        <w:t>“</w:t>
      </w:r>
      <w:r w:rsidRPr="00927EFB">
        <w:rPr>
          <w:rFonts w:ascii="Verdana" w:hAnsi="Verdana"/>
          <w:sz w:val="20"/>
        </w:rPr>
        <w:t>restructuring</w:t>
      </w:r>
      <w:r>
        <w:rPr>
          <w:rFonts w:ascii="Verdana" w:hAnsi="Verdana"/>
          <w:sz w:val="20"/>
        </w:rPr>
        <w:t>”</w:t>
      </w:r>
      <w:r w:rsidRPr="00927EFB">
        <w:rPr>
          <w:rFonts w:ascii="Verdana" w:hAnsi="Verdana"/>
          <w:sz w:val="20"/>
        </w:rPr>
        <w:t xml:space="preserve"> can be </w:t>
      </w:r>
      <w:r w:rsidRPr="00817465">
        <w:rPr>
          <w:rFonts w:ascii="Verdana" w:hAnsi="Verdana"/>
          <w:sz w:val="20"/>
        </w:rPr>
        <w:t xml:space="preserve">found </w:t>
      </w:r>
      <w:hyperlink r:id="rId9" w:history="1">
        <w:r w:rsidRPr="00817465">
          <w:rPr>
            <w:rStyle w:val="Hyperlink"/>
            <w:rFonts w:ascii="Verdana" w:hAnsi="Verdana"/>
          </w:rPr>
          <w:t>here</w:t>
        </w:r>
      </w:hyperlink>
      <w:r w:rsidRPr="00817465">
        <w:rPr>
          <w:rFonts w:ascii="Verdana" w:hAnsi="Verdana"/>
          <w:sz w:val="20"/>
        </w:rPr>
        <w:t>.</w:t>
      </w:r>
      <w:r>
        <w:rPr>
          <w:rFonts w:ascii="Verdana" w:hAnsi="Verdana"/>
          <w:sz w:val="20"/>
        </w:rPr>
        <w:t xml:space="preserve"> The most common circumstance in which restructuring might be relevant to continuous service would be if all or part of one employer’s business is sold or transferred to another employer.</w:t>
      </w:r>
    </w:p>
    <w:p w14:paraId="4B793D3E" w14:textId="77777777" w:rsidR="005C3E02" w:rsidRDefault="005C3E02" w:rsidP="00006D06">
      <w:pPr>
        <w:pStyle w:val="Heading2"/>
      </w:pPr>
      <w:r>
        <w:t>Qualifications</w:t>
      </w:r>
    </w:p>
    <w:p w14:paraId="0D3F58EA" w14:textId="6DF9BFC1" w:rsidR="006F4340" w:rsidRPr="001A353D" w:rsidRDefault="006F4340" w:rsidP="006F4340">
      <w:pPr>
        <w:spacing w:before="120"/>
        <w:rPr>
          <w:rFonts w:ascii="Verdana" w:hAnsi="Verdana"/>
          <w:sz w:val="20"/>
          <w:szCs w:val="20"/>
        </w:rPr>
      </w:pPr>
      <w:r w:rsidRPr="001A353D">
        <w:rPr>
          <w:rFonts w:ascii="Verdana" w:hAnsi="Verdana"/>
          <w:sz w:val="20"/>
          <w:szCs w:val="20"/>
        </w:rPr>
        <w:t>The qualification must be a Level 2, 3 or 4 New Zealand certificate in Health and Wellbeing from an NZQA accredited provider or a</w:t>
      </w:r>
      <w:r w:rsidR="00845447">
        <w:rPr>
          <w:rFonts w:ascii="Verdana" w:hAnsi="Verdana"/>
          <w:sz w:val="20"/>
          <w:szCs w:val="20"/>
        </w:rPr>
        <w:t xml:space="preserve">n </w:t>
      </w:r>
      <w:r w:rsidR="00BE7DA3">
        <w:rPr>
          <w:rFonts w:ascii="Verdana" w:hAnsi="Verdana"/>
          <w:sz w:val="20"/>
          <w:szCs w:val="20"/>
        </w:rPr>
        <w:t>equivalent</w:t>
      </w:r>
      <w:r w:rsidRPr="001A353D">
        <w:rPr>
          <w:rFonts w:ascii="Verdana" w:hAnsi="Verdana"/>
          <w:sz w:val="20"/>
          <w:szCs w:val="20"/>
        </w:rPr>
        <w:t xml:space="preserve"> qualification.</w:t>
      </w:r>
    </w:p>
    <w:p w14:paraId="5242B4B1" w14:textId="77777777" w:rsidR="006F4340" w:rsidRDefault="006F4340" w:rsidP="005C3E02">
      <w:pPr>
        <w:autoSpaceDE w:val="0"/>
        <w:autoSpaceDN w:val="0"/>
        <w:adjustRightInd w:val="0"/>
        <w:spacing w:after="120" w:line="240" w:lineRule="auto"/>
        <w:rPr>
          <w:rFonts w:ascii="Verdana" w:hAnsi="Verdana"/>
          <w:sz w:val="20"/>
          <w:szCs w:val="20"/>
        </w:rPr>
      </w:pPr>
    </w:p>
    <w:p w14:paraId="0102CE1E" w14:textId="152F4841" w:rsidR="005C3E02" w:rsidRDefault="005C3E02" w:rsidP="00140E96">
      <w:pPr>
        <w:spacing w:before="120"/>
        <w:rPr>
          <w:rFonts w:ascii="Verdana" w:hAnsi="Verdana"/>
          <w:sz w:val="20"/>
          <w:szCs w:val="20"/>
        </w:rPr>
      </w:pPr>
      <w:r w:rsidRPr="001A353D">
        <w:rPr>
          <w:rFonts w:ascii="Verdana" w:hAnsi="Verdana"/>
          <w:sz w:val="20"/>
          <w:szCs w:val="20"/>
        </w:rPr>
        <w:t xml:space="preserve">If employees have questions about their qualifications, they should </w:t>
      </w:r>
      <w:r w:rsidR="006E1E8D">
        <w:rPr>
          <w:rFonts w:ascii="Verdana" w:hAnsi="Verdana"/>
          <w:sz w:val="20"/>
          <w:szCs w:val="20"/>
        </w:rPr>
        <w:t xml:space="preserve">refer to the Careerforce website </w:t>
      </w:r>
      <w:hyperlink r:id="rId10" w:history="1">
        <w:r w:rsidR="009F4463" w:rsidRPr="002E0282">
          <w:rPr>
            <w:rStyle w:val="Hyperlink"/>
            <w:rFonts w:ascii="Verdana" w:hAnsi="Verdana"/>
            <w:sz w:val="20"/>
            <w:szCs w:val="20"/>
          </w:rPr>
          <w:t>www.careerforce.org.nz/pay-equity/equivalencies</w:t>
        </w:r>
      </w:hyperlink>
      <w:r w:rsidR="009F4463">
        <w:rPr>
          <w:rFonts w:ascii="Verdana" w:hAnsi="Verdana"/>
          <w:sz w:val="20"/>
          <w:szCs w:val="20"/>
        </w:rPr>
        <w:t xml:space="preserve">  or </w:t>
      </w:r>
      <w:r w:rsidRPr="001A353D">
        <w:rPr>
          <w:rFonts w:ascii="Verdana" w:hAnsi="Verdana"/>
          <w:sz w:val="20"/>
          <w:szCs w:val="20"/>
        </w:rPr>
        <w:t xml:space="preserve">contact Careerforce by calling 0800 277 486 or emailing </w:t>
      </w:r>
      <w:hyperlink r:id="rId11" w:history="1">
        <w:r w:rsidRPr="001A353D">
          <w:rPr>
            <w:rFonts w:ascii="Verdana" w:hAnsi="Verdana"/>
            <w:sz w:val="20"/>
            <w:szCs w:val="20"/>
          </w:rPr>
          <w:t>info@careerforce.org.nz</w:t>
        </w:r>
      </w:hyperlink>
      <w:r w:rsidRPr="001A353D">
        <w:rPr>
          <w:rFonts w:ascii="Verdana" w:hAnsi="Verdana"/>
          <w:sz w:val="20"/>
          <w:szCs w:val="20"/>
        </w:rPr>
        <w:t xml:space="preserve"> with ‘Pay Equity Qualification Query’ in the subject line.</w:t>
      </w:r>
    </w:p>
    <w:p w14:paraId="22EC3308" w14:textId="052F41FA" w:rsidR="002B344E" w:rsidRPr="00AC30D0" w:rsidRDefault="001A7934" w:rsidP="00006D06">
      <w:pPr>
        <w:pStyle w:val="Heading2"/>
      </w:pPr>
      <w:r>
        <w:t>Training</w:t>
      </w:r>
    </w:p>
    <w:p w14:paraId="2C30F47B" w14:textId="424762F5" w:rsidR="00006D06" w:rsidRPr="001A353D" w:rsidRDefault="001B08FF" w:rsidP="001A353D">
      <w:pPr>
        <w:spacing w:before="120"/>
        <w:rPr>
          <w:rFonts w:ascii="Verdana" w:hAnsi="Verdana"/>
          <w:sz w:val="20"/>
          <w:szCs w:val="20"/>
        </w:rPr>
      </w:pPr>
      <w:r w:rsidRPr="001A353D">
        <w:rPr>
          <w:rFonts w:ascii="Verdana" w:hAnsi="Verdana"/>
          <w:sz w:val="20"/>
          <w:szCs w:val="20"/>
        </w:rPr>
        <w:t>C</w:t>
      </w:r>
      <w:r w:rsidR="00006D06" w:rsidRPr="001A353D">
        <w:rPr>
          <w:rFonts w:ascii="Verdana" w:hAnsi="Verdana"/>
          <w:sz w:val="20"/>
          <w:szCs w:val="20"/>
        </w:rPr>
        <w:t>ontracts between funders and providers will require employers to provide the necessary systems and support to enable workers covered by the settlement to reach the following NZ Qualifications Authority Health and Wellbeing Certificate qualifications within the following time periods:</w:t>
      </w:r>
    </w:p>
    <w:p w14:paraId="7A8E3BB2" w14:textId="77777777" w:rsidR="00006D06" w:rsidRPr="001A353D" w:rsidRDefault="00006D06" w:rsidP="001A353D">
      <w:pPr>
        <w:spacing w:before="120"/>
        <w:rPr>
          <w:rFonts w:ascii="Verdana" w:hAnsi="Verdana"/>
          <w:sz w:val="20"/>
          <w:szCs w:val="20"/>
        </w:rPr>
      </w:pPr>
      <w:r w:rsidRPr="001A353D">
        <w:rPr>
          <w:rFonts w:ascii="Verdana" w:hAnsi="Verdana"/>
          <w:sz w:val="20"/>
          <w:szCs w:val="20"/>
        </w:rPr>
        <w:t>•</w:t>
      </w:r>
      <w:r w:rsidRPr="001A353D">
        <w:rPr>
          <w:rFonts w:ascii="Verdana" w:hAnsi="Verdana"/>
          <w:sz w:val="20"/>
          <w:szCs w:val="20"/>
        </w:rPr>
        <w:tab/>
        <w:t>Level 2 NZ Certificate – within 12 months of employment</w:t>
      </w:r>
    </w:p>
    <w:p w14:paraId="3D951DAA" w14:textId="77777777" w:rsidR="00006D06" w:rsidRPr="001A353D" w:rsidRDefault="00006D06" w:rsidP="001A353D">
      <w:pPr>
        <w:spacing w:before="120"/>
        <w:rPr>
          <w:rFonts w:ascii="Verdana" w:hAnsi="Verdana"/>
          <w:sz w:val="20"/>
          <w:szCs w:val="20"/>
        </w:rPr>
      </w:pPr>
      <w:r w:rsidRPr="001A353D">
        <w:rPr>
          <w:rFonts w:ascii="Verdana" w:hAnsi="Verdana"/>
          <w:sz w:val="20"/>
          <w:szCs w:val="20"/>
        </w:rPr>
        <w:t>•</w:t>
      </w:r>
      <w:r w:rsidRPr="001A353D">
        <w:rPr>
          <w:rFonts w:ascii="Verdana" w:hAnsi="Verdana"/>
          <w:sz w:val="20"/>
          <w:szCs w:val="20"/>
        </w:rPr>
        <w:tab/>
        <w:t>Level 3 NZ Certificate – within 3 years of employment</w:t>
      </w:r>
    </w:p>
    <w:p w14:paraId="1C9FE24B" w14:textId="77777777" w:rsidR="00006D06" w:rsidRPr="001A353D" w:rsidRDefault="00006D06" w:rsidP="001A353D">
      <w:pPr>
        <w:spacing w:before="120"/>
        <w:rPr>
          <w:rFonts w:ascii="Verdana" w:hAnsi="Verdana"/>
          <w:sz w:val="20"/>
          <w:szCs w:val="20"/>
        </w:rPr>
      </w:pPr>
      <w:r w:rsidRPr="001A353D">
        <w:rPr>
          <w:rFonts w:ascii="Verdana" w:hAnsi="Verdana"/>
          <w:sz w:val="20"/>
          <w:szCs w:val="20"/>
        </w:rPr>
        <w:t>•</w:t>
      </w:r>
      <w:r w:rsidRPr="001A353D">
        <w:rPr>
          <w:rFonts w:ascii="Verdana" w:hAnsi="Verdana"/>
          <w:sz w:val="20"/>
          <w:szCs w:val="20"/>
        </w:rPr>
        <w:tab/>
        <w:t>Level 4 NZ Certificate – within 6 years of employment</w:t>
      </w:r>
    </w:p>
    <w:p w14:paraId="4C4C4557" w14:textId="77777777" w:rsidR="009024B2" w:rsidRDefault="009024B2" w:rsidP="00AC5FA4">
      <w:pPr>
        <w:autoSpaceDE w:val="0"/>
        <w:autoSpaceDN w:val="0"/>
        <w:adjustRightInd w:val="0"/>
        <w:spacing w:line="240" w:lineRule="auto"/>
        <w:rPr>
          <w:lang w:eastAsia="en-NZ"/>
        </w:rPr>
      </w:pPr>
    </w:p>
    <w:sectPr w:rsidR="009024B2" w:rsidSect="007F366E">
      <w:footerReference w:type="even" r:id="rId12"/>
      <w:footerReference w:type="default" r:id="rId13"/>
      <w:headerReference w:type="first" r:id="rId14"/>
      <w:footerReference w:type="first" r:id="rId15"/>
      <w:pgSz w:w="11906" w:h="16838" w:code="9"/>
      <w:pgMar w:top="1418" w:right="1134" w:bottom="1134" w:left="1418"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8112E" w14:textId="77777777" w:rsidR="00937187" w:rsidRDefault="00937187">
      <w:r>
        <w:separator/>
      </w:r>
    </w:p>
  </w:endnote>
  <w:endnote w:type="continuationSeparator" w:id="0">
    <w:p w14:paraId="4FB11CE7" w14:textId="77777777" w:rsidR="00937187" w:rsidRDefault="0093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C1729" w14:textId="765B8019" w:rsidR="002879C8" w:rsidRDefault="002879C8" w:rsidP="002402CA">
    <w:pPr>
      <w:pStyle w:val="Footer"/>
      <w:pBdr>
        <w:top w:val="single" w:sz="4" w:space="4" w:color="auto"/>
      </w:pBdr>
      <w:tabs>
        <w:tab w:val="clear" w:pos="8647"/>
        <w:tab w:val="clear" w:pos="9356"/>
        <w:tab w:val="left" w:pos="1425"/>
      </w:tabs>
      <w:ind w:left="567" w:hanging="567"/>
    </w:pPr>
    <w:r>
      <w:rPr>
        <w:rStyle w:val="PageNumber"/>
      </w:rPr>
      <w:fldChar w:fldCharType="begin"/>
    </w:r>
    <w:r>
      <w:rPr>
        <w:rStyle w:val="PageNumber"/>
      </w:rPr>
      <w:instrText xml:space="preserve"> PAGE </w:instrText>
    </w:r>
    <w:r>
      <w:rPr>
        <w:rStyle w:val="PageNumber"/>
      </w:rPr>
      <w:fldChar w:fldCharType="separate"/>
    </w:r>
    <w:r w:rsidR="00F366FB">
      <w:rPr>
        <w:rStyle w:val="PageNumber"/>
        <w:noProof/>
      </w:rPr>
      <w:t>4</w:t>
    </w:r>
    <w:r>
      <w:rPr>
        <w:rStyle w:val="PageNumber"/>
      </w:rPr>
      <w:fldChar w:fldCharType="end"/>
    </w:r>
    <w:r>
      <w:rPr>
        <w:rStyle w:val="PageNumber"/>
      </w:rPr>
      <w:tab/>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99A5C" w14:textId="77777777" w:rsidR="002879C8" w:rsidRPr="00343CC9" w:rsidRDefault="002879C8" w:rsidP="007F366E">
    <w:pPr>
      <w:pStyle w:val="Footer"/>
      <w:pBdr>
        <w:top w:val="single" w:sz="4" w:space="4" w:color="auto"/>
      </w:pBdr>
    </w:pPr>
    <w:r>
      <w:tab/>
    </w:r>
    <w:r>
      <w:tab/>
    </w:r>
    <w:r>
      <w:rPr>
        <w:rStyle w:val="PageNumber"/>
      </w:rPr>
      <w:fldChar w:fldCharType="begin"/>
    </w:r>
    <w:r>
      <w:rPr>
        <w:rStyle w:val="PageNumber"/>
      </w:rPr>
      <w:instrText xml:space="preserve"> PAGE </w:instrText>
    </w:r>
    <w:r>
      <w:rPr>
        <w:rStyle w:val="PageNumber"/>
      </w:rPr>
      <w:fldChar w:fldCharType="separate"/>
    </w:r>
    <w:r w:rsidR="00F366FB">
      <w:rPr>
        <w:rStyle w:val="PageNumber"/>
        <w:noProof/>
      </w:rPr>
      <w:t>5</w:t>
    </w:r>
    <w:r>
      <w:rPr>
        <w:rStyle w:val="PageNumber"/>
      </w:rPr>
      <w:fldChar w:fldCharType="end"/>
    </w:r>
    <w:r>
      <w:br/>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9D3B3" w14:textId="77777777" w:rsidR="002879C8" w:rsidRDefault="002879C8" w:rsidP="007F366E">
    <w:pPr>
      <w:pStyle w:val="Footer"/>
      <w:pBdr>
        <w:top w:val="single" w:sz="4" w:space="4" w:color="auto"/>
      </w:pBdr>
    </w:pPr>
    <w:r>
      <w:tab/>
    </w:r>
    <w:r>
      <w:tab/>
    </w:r>
    <w:r>
      <w:rPr>
        <w:rStyle w:val="PageNumber"/>
      </w:rPr>
      <w:fldChar w:fldCharType="begin"/>
    </w:r>
    <w:r>
      <w:rPr>
        <w:rStyle w:val="PageNumber"/>
      </w:rPr>
      <w:instrText xml:space="preserve"> PAGE </w:instrText>
    </w:r>
    <w:r>
      <w:rPr>
        <w:rStyle w:val="PageNumber"/>
      </w:rPr>
      <w:fldChar w:fldCharType="separate"/>
    </w:r>
    <w:r w:rsidR="00F366F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A1568" w14:textId="77777777" w:rsidR="00937187" w:rsidRPr="00680D2D" w:rsidRDefault="00937187" w:rsidP="00680D2D">
      <w:pPr>
        <w:pStyle w:val="Footer"/>
      </w:pPr>
    </w:p>
  </w:footnote>
  <w:footnote w:type="continuationSeparator" w:id="0">
    <w:p w14:paraId="08C79794" w14:textId="77777777" w:rsidR="00937187" w:rsidRDefault="00937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EC58" w14:textId="6C55CBFD" w:rsidR="002879C8" w:rsidRDefault="002879C8" w:rsidP="0092659B">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66BAF6"/>
    <w:lvl w:ilvl="0">
      <w:numFmt w:val="bullet"/>
      <w:lvlText w:val="*"/>
      <w:lvlJc w:val="left"/>
    </w:lvl>
  </w:abstractNum>
  <w:abstractNum w:abstractNumId="1">
    <w:nsid w:val="0DE53E7A"/>
    <w:multiLevelType w:val="hybridMultilevel"/>
    <w:tmpl w:val="1B4EE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4900675"/>
    <w:multiLevelType w:val="hybridMultilevel"/>
    <w:tmpl w:val="BF6C0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8704958"/>
    <w:multiLevelType w:val="hybridMultilevel"/>
    <w:tmpl w:val="D132FAE8"/>
    <w:lvl w:ilvl="0" w:tplc="ADD2BEE6">
      <w:start w:val="1"/>
      <w:numFmt w:val="decimal"/>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2C35D6A"/>
    <w:multiLevelType w:val="multilevel"/>
    <w:tmpl w:val="CF32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83B4F"/>
    <w:multiLevelType w:val="hybridMultilevel"/>
    <w:tmpl w:val="15245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27E5B15"/>
    <w:multiLevelType w:val="hybridMultilevel"/>
    <w:tmpl w:val="0E3091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799214B"/>
    <w:multiLevelType w:val="hybridMultilevel"/>
    <w:tmpl w:val="09684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F4279B9"/>
    <w:multiLevelType w:val="hybridMultilevel"/>
    <w:tmpl w:val="A0625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7B81079"/>
    <w:multiLevelType w:val="hybridMultilevel"/>
    <w:tmpl w:val="62A83FF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nsid w:val="4C8B2ACD"/>
    <w:multiLevelType w:val="hybridMultilevel"/>
    <w:tmpl w:val="58E257B6"/>
    <w:lvl w:ilvl="0" w:tplc="31D0435E">
      <w:start w:val="1"/>
      <w:numFmt w:val="decimal"/>
      <w:pStyle w:val="Numbering"/>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DC42581"/>
    <w:multiLevelType w:val="hybridMultilevel"/>
    <w:tmpl w:val="13CA7A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E5D007E"/>
    <w:multiLevelType w:val="hybridMultilevel"/>
    <w:tmpl w:val="1EC02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4145CC4"/>
    <w:multiLevelType w:val="hybridMultilevel"/>
    <w:tmpl w:val="F708AF0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810320B"/>
    <w:multiLevelType w:val="hybridMultilevel"/>
    <w:tmpl w:val="F9FCE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95C5C1D"/>
    <w:multiLevelType w:val="hybridMultilevel"/>
    <w:tmpl w:val="2028EC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8">
    <w:nsid w:val="69D84A13"/>
    <w:multiLevelType w:val="hybridMultilevel"/>
    <w:tmpl w:val="A85ED30C"/>
    <w:lvl w:ilvl="0" w:tplc="07DE290C">
      <w:start w:val="1"/>
      <w:numFmt w:val="decimal"/>
      <w:pStyle w:val="Numberingbold"/>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794B1625"/>
    <w:multiLevelType w:val="multilevel"/>
    <w:tmpl w:val="8C0C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10"/>
  </w:num>
  <w:num w:numId="4">
    <w:abstractNumId w:val="9"/>
  </w:num>
  <w:num w:numId="5">
    <w:abstractNumId w:val="2"/>
  </w:num>
  <w:num w:numId="6">
    <w:abstractNumId w:val="18"/>
  </w:num>
  <w:num w:numId="7">
    <w:abstractNumId w:val="19"/>
  </w:num>
  <w:num w:numId="8">
    <w:abstractNumId w:val="1"/>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3"/>
  </w:num>
  <w:num w:numId="11">
    <w:abstractNumId w:val="8"/>
  </w:num>
  <w:num w:numId="12">
    <w:abstractNumId w:val="15"/>
  </w:num>
  <w:num w:numId="13">
    <w:abstractNumId w:val="4"/>
  </w:num>
  <w:num w:numId="14">
    <w:abstractNumId w:val="5"/>
  </w:num>
  <w:num w:numId="15">
    <w:abstractNumId w:val="6"/>
  </w:num>
  <w:num w:numId="16">
    <w:abstractNumId w:val="12"/>
  </w:num>
  <w:num w:numId="17">
    <w:abstractNumId w:val="7"/>
  </w:num>
  <w:num w:numId="18">
    <w:abstractNumId w:val="11"/>
  </w:num>
  <w:num w:numId="19">
    <w:abstractNumId w:val="13"/>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567"/>
  <w:evenAndOddHeaders/>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37"/>
    <w:rsid w:val="00006D06"/>
    <w:rsid w:val="000123DF"/>
    <w:rsid w:val="000248EE"/>
    <w:rsid w:val="00075ED0"/>
    <w:rsid w:val="0008601A"/>
    <w:rsid w:val="00095852"/>
    <w:rsid w:val="000A5E24"/>
    <w:rsid w:val="000A6BCB"/>
    <w:rsid w:val="000B1E21"/>
    <w:rsid w:val="000B6957"/>
    <w:rsid w:val="000B6BD8"/>
    <w:rsid w:val="000C3F39"/>
    <w:rsid w:val="000D0170"/>
    <w:rsid w:val="000E093C"/>
    <w:rsid w:val="000E5175"/>
    <w:rsid w:val="000E663A"/>
    <w:rsid w:val="000F1B71"/>
    <w:rsid w:val="000F265B"/>
    <w:rsid w:val="001009C3"/>
    <w:rsid w:val="00105DB9"/>
    <w:rsid w:val="001175B4"/>
    <w:rsid w:val="001227B0"/>
    <w:rsid w:val="00123376"/>
    <w:rsid w:val="00130CE3"/>
    <w:rsid w:val="0013229D"/>
    <w:rsid w:val="001336C6"/>
    <w:rsid w:val="00137BE7"/>
    <w:rsid w:val="00140E96"/>
    <w:rsid w:val="00142C45"/>
    <w:rsid w:val="00144B8F"/>
    <w:rsid w:val="00145D5F"/>
    <w:rsid w:val="001705DC"/>
    <w:rsid w:val="0018777F"/>
    <w:rsid w:val="001A1966"/>
    <w:rsid w:val="001A353D"/>
    <w:rsid w:val="001A3A19"/>
    <w:rsid w:val="001A7934"/>
    <w:rsid w:val="001B08FF"/>
    <w:rsid w:val="001D1F63"/>
    <w:rsid w:val="001E1749"/>
    <w:rsid w:val="001F5811"/>
    <w:rsid w:val="001F682D"/>
    <w:rsid w:val="00203A2C"/>
    <w:rsid w:val="00206DC0"/>
    <w:rsid w:val="00207D96"/>
    <w:rsid w:val="002222BC"/>
    <w:rsid w:val="00236D30"/>
    <w:rsid w:val="002402CA"/>
    <w:rsid w:val="00240554"/>
    <w:rsid w:val="00241488"/>
    <w:rsid w:val="002441EF"/>
    <w:rsid w:val="002542A3"/>
    <w:rsid w:val="00254ED0"/>
    <w:rsid w:val="00255D89"/>
    <w:rsid w:val="002649C4"/>
    <w:rsid w:val="0026708A"/>
    <w:rsid w:val="00272F4E"/>
    <w:rsid w:val="00275166"/>
    <w:rsid w:val="00275C1B"/>
    <w:rsid w:val="00281EAA"/>
    <w:rsid w:val="00285375"/>
    <w:rsid w:val="0028738D"/>
    <w:rsid w:val="002879C8"/>
    <w:rsid w:val="00296F98"/>
    <w:rsid w:val="002A38BC"/>
    <w:rsid w:val="002B344E"/>
    <w:rsid w:val="002B34DC"/>
    <w:rsid w:val="002C1F8F"/>
    <w:rsid w:val="002C7B3F"/>
    <w:rsid w:val="002F51BF"/>
    <w:rsid w:val="003005C4"/>
    <w:rsid w:val="0030143F"/>
    <w:rsid w:val="003030F4"/>
    <w:rsid w:val="00306307"/>
    <w:rsid w:val="00307CE5"/>
    <w:rsid w:val="003151EE"/>
    <w:rsid w:val="00316E05"/>
    <w:rsid w:val="00334085"/>
    <w:rsid w:val="00343CC9"/>
    <w:rsid w:val="00351AC8"/>
    <w:rsid w:val="00354394"/>
    <w:rsid w:val="003579BD"/>
    <w:rsid w:val="00363CA9"/>
    <w:rsid w:val="00367836"/>
    <w:rsid w:val="003717C9"/>
    <w:rsid w:val="003731B9"/>
    <w:rsid w:val="0037521E"/>
    <w:rsid w:val="00377C88"/>
    <w:rsid w:val="00377F02"/>
    <w:rsid w:val="003A0523"/>
    <w:rsid w:val="003A128B"/>
    <w:rsid w:val="003A21EA"/>
    <w:rsid w:val="003A779C"/>
    <w:rsid w:val="003B145F"/>
    <w:rsid w:val="003B3537"/>
    <w:rsid w:val="003B4E0B"/>
    <w:rsid w:val="003B7FA2"/>
    <w:rsid w:val="003C5779"/>
    <w:rsid w:val="003E6828"/>
    <w:rsid w:val="003F0969"/>
    <w:rsid w:val="004014CB"/>
    <w:rsid w:val="0041467A"/>
    <w:rsid w:val="00423830"/>
    <w:rsid w:val="00440BC8"/>
    <w:rsid w:val="00443649"/>
    <w:rsid w:val="004440DF"/>
    <w:rsid w:val="004518F6"/>
    <w:rsid w:val="004535A4"/>
    <w:rsid w:val="00477773"/>
    <w:rsid w:val="00477783"/>
    <w:rsid w:val="004845E0"/>
    <w:rsid w:val="0048760A"/>
    <w:rsid w:val="00492913"/>
    <w:rsid w:val="004A5B0C"/>
    <w:rsid w:val="004A6CC1"/>
    <w:rsid w:val="004B28B7"/>
    <w:rsid w:val="004C5897"/>
    <w:rsid w:val="004D17ED"/>
    <w:rsid w:val="004D68C6"/>
    <w:rsid w:val="004E420D"/>
    <w:rsid w:val="004F2F6C"/>
    <w:rsid w:val="00525F48"/>
    <w:rsid w:val="005363DD"/>
    <w:rsid w:val="0053782C"/>
    <w:rsid w:val="00542A7F"/>
    <w:rsid w:val="00545BA3"/>
    <w:rsid w:val="00546D2C"/>
    <w:rsid w:val="00551160"/>
    <w:rsid w:val="00554E9C"/>
    <w:rsid w:val="00563001"/>
    <w:rsid w:val="00572A2E"/>
    <w:rsid w:val="00577711"/>
    <w:rsid w:val="00581525"/>
    <w:rsid w:val="00582EA7"/>
    <w:rsid w:val="00590D07"/>
    <w:rsid w:val="00593EE6"/>
    <w:rsid w:val="005950A6"/>
    <w:rsid w:val="00597F47"/>
    <w:rsid w:val="005A480B"/>
    <w:rsid w:val="005A51F6"/>
    <w:rsid w:val="005B2223"/>
    <w:rsid w:val="005C24A3"/>
    <w:rsid w:val="005C3E02"/>
    <w:rsid w:val="005C3EF1"/>
    <w:rsid w:val="005D3D35"/>
    <w:rsid w:val="005E2D49"/>
    <w:rsid w:val="005E3AC7"/>
    <w:rsid w:val="005E44CE"/>
    <w:rsid w:val="005F08EA"/>
    <w:rsid w:val="00616847"/>
    <w:rsid w:val="00620375"/>
    <w:rsid w:val="00622810"/>
    <w:rsid w:val="006306C9"/>
    <w:rsid w:val="00632F91"/>
    <w:rsid w:val="006339A0"/>
    <w:rsid w:val="00636D3A"/>
    <w:rsid w:val="00640014"/>
    <w:rsid w:val="006612BB"/>
    <w:rsid w:val="00672B8B"/>
    <w:rsid w:val="00673303"/>
    <w:rsid w:val="006744E6"/>
    <w:rsid w:val="00676929"/>
    <w:rsid w:val="00680D2D"/>
    <w:rsid w:val="00694B11"/>
    <w:rsid w:val="006A2DA7"/>
    <w:rsid w:val="006C407C"/>
    <w:rsid w:val="006D0009"/>
    <w:rsid w:val="006D2458"/>
    <w:rsid w:val="006E1E8D"/>
    <w:rsid w:val="006E3A51"/>
    <w:rsid w:val="006E636A"/>
    <w:rsid w:val="006F4340"/>
    <w:rsid w:val="006F544C"/>
    <w:rsid w:val="0070246F"/>
    <w:rsid w:val="007302E6"/>
    <w:rsid w:val="00737F49"/>
    <w:rsid w:val="00740786"/>
    <w:rsid w:val="0074188F"/>
    <w:rsid w:val="00743C23"/>
    <w:rsid w:val="00760E80"/>
    <w:rsid w:val="00761961"/>
    <w:rsid w:val="007619B1"/>
    <w:rsid w:val="00766D1F"/>
    <w:rsid w:val="00767C38"/>
    <w:rsid w:val="00771B0E"/>
    <w:rsid w:val="00773168"/>
    <w:rsid w:val="00783974"/>
    <w:rsid w:val="0078547F"/>
    <w:rsid w:val="00790152"/>
    <w:rsid w:val="007915E6"/>
    <w:rsid w:val="0079797E"/>
    <w:rsid w:val="007A21D3"/>
    <w:rsid w:val="007A29A4"/>
    <w:rsid w:val="007B45B9"/>
    <w:rsid w:val="007B4758"/>
    <w:rsid w:val="007C3953"/>
    <w:rsid w:val="007D664E"/>
    <w:rsid w:val="007E44CF"/>
    <w:rsid w:val="007E5F4D"/>
    <w:rsid w:val="007F2DE5"/>
    <w:rsid w:val="007F366E"/>
    <w:rsid w:val="007F7762"/>
    <w:rsid w:val="00801FF3"/>
    <w:rsid w:val="008067DF"/>
    <w:rsid w:val="0080749B"/>
    <w:rsid w:val="0081034D"/>
    <w:rsid w:val="00813104"/>
    <w:rsid w:val="008133A8"/>
    <w:rsid w:val="00813CF6"/>
    <w:rsid w:val="008156D1"/>
    <w:rsid w:val="0081671E"/>
    <w:rsid w:val="00817465"/>
    <w:rsid w:val="00830E4F"/>
    <w:rsid w:val="00832071"/>
    <w:rsid w:val="0083369F"/>
    <w:rsid w:val="008357B6"/>
    <w:rsid w:val="00836F81"/>
    <w:rsid w:val="00842851"/>
    <w:rsid w:val="00845447"/>
    <w:rsid w:val="0084791E"/>
    <w:rsid w:val="0085124D"/>
    <w:rsid w:val="0086178A"/>
    <w:rsid w:val="008619D3"/>
    <w:rsid w:val="00862E00"/>
    <w:rsid w:val="00870489"/>
    <w:rsid w:val="00871DCD"/>
    <w:rsid w:val="00874284"/>
    <w:rsid w:val="00874CFF"/>
    <w:rsid w:val="008772CA"/>
    <w:rsid w:val="00883416"/>
    <w:rsid w:val="008851F7"/>
    <w:rsid w:val="008A26AF"/>
    <w:rsid w:val="008B11A4"/>
    <w:rsid w:val="008B6A36"/>
    <w:rsid w:val="008C1DC9"/>
    <w:rsid w:val="008C5577"/>
    <w:rsid w:val="008C6C9F"/>
    <w:rsid w:val="008D7C4A"/>
    <w:rsid w:val="008E3F56"/>
    <w:rsid w:val="008F2E4A"/>
    <w:rsid w:val="008F7A81"/>
    <w:rsid w:val="009024B2"/>
    <w:rsid w:val="00902F19"/>
    <w:rsid w:val="009126F6"/>
    <w:rsid w:val="00920A63"/>
    <w:rsid w:val="009230E0"/>
    <w:rsid w:val="00923D37"/>
    <w:rsid w:val="00925481"/>
    <w:rsid w:val="0092659B"/>
    <w:rsid w:val="00935CFE"/>
    <w:rsid w:val="00937187"/>
    <w:rsid w:val="009401CC"/>
    <w:rsid w:val="0094065C"/>
    <w:rsid w:val="00942757"/>
    <w:rsid w:val="00947E2E"/>
    <w:rsid w:val="0095076C"/>
    <w:rsid w:val="009602C6"/>
    <w:rsid w:val="00970694"/>
    <w:rsid w:val="00973036"/>
    <w:rsid w:val="009842E4"/>
    <w:rsid w:val="00986969"/>
    <w:rsid w:val="009874FB"/>
    <w:rsid w:val="00993F56"/>
    <w:rsid w:val="009948F8"/>
    <w:rsid w:val="009A3D52"/>
    <w:rsid w:val="009B5859"/>
    <w:rsid w:val="009C39E2"/>
    <w:rsid w:val="009D4EA0"/>
    <w:rsid w:val="009D56C9"/>
    <w:rsid w:val="009F1222"/>
    <w:rsid w:val="009F1BFF"/>
    <w:rsid w:val="009F1F35"/>
    <w:rsid w:val="009F4463"/>
    <w:rsid w:val="009F4CBC"/>
    <w:rsid w:val="00A0032E"/>
    <w:rsid w:val="00A00DBD"/>
    <w:rsid w:val="00A14C1E"/>
    <w:rsid w:val="00A1661F"/>
    <w:rsid w:val="00A2337F"/>
    <w:rsid w:val="00A27B28"/>
    <w:rsid w:val="00A31F67"/>
    <w:rsid w:val="00A3619A"/>
    <w:rsid w:val="00A41A77"/>
    <w:rsid w:val="00A41C59"/>
    <w:rsid w:val="00A7037D"/>
    <w:rsid w:val="00A812AB"/>
    <w:rsid w:val="00A821D8"/>
    <w:rsid w:val="00A8585C"/>
    <w:rsid w:val="00A86306"/>
    <w:rsid w:val="00A92321"/>
    <w:rsid w:val="00AA7466"/>
    <w:rsid w:val="00AA7D06"/>
    <w:rsid w:val="00AB0789"/>
    <w:rsid w:val="00AB1FC9"/>
    <w:rsid w:val="00AB60A2"/>
    <w:rsid w:val="00AB7102"/>
    <w:rsid w:val="00AC5FA4"/>
    <w:rsid w:val="00AC6F82"/>
    <w:rsid w:val="00AD25C3"/>
    <w:rsid w:val="00AE3424"/>
    <w:rsid w:val="00AE4579"/>
    <w:rsid w:val="00B00003"/>
    <w:rsid w:val="00B0210A"/>
    <w:rsid w:val="00B02C38"/>
    <w:rsid w:val="00B102DF"/>
    <w:rsid w:val="00B1578D"/>
    <w:rsid w:val="00B220C1"/>
    <w:rsid w:val="00B242C0"/>
    <w:rsid w:val="00B27C03"/>
    <w:rsid w:val="00B30B70"/>
    <w:rsid w:val="00B42473"/>
    <w:rsid w:val="00B52D24"/>
    <w:rsid w:val="00B530A4"/>
    <w:rsid w:val="00B53103"/>
    <w:rsid w:val="00B57C49"/>
    <w:rsid w:val="00B61631"/>
    <w:rsid w:val="00B65B0A"/>
    <w:rsid w:val="00B7079A"/>
    <w:rsid w:val="00B70D1A"/>
    <w:rsid w:val="00B75827"/>
    <w:rsid w:val="00B75C16"/>
    <w:rsid w:val="00B83E43"/>
    <w:rsid w:val="00B86FF2"/>
    <w:rsid w:val="00B87088"/>
    <w:rsid w:val="00B92AC6"/>
    <w:rsid w:val="00B94CCA"/>
    <w:rsid w:val="00B958CC"/>
    <w:rsid w:val="00B96CEA"/>
    <w:rsid w:val="00BA2189"/>
    <w:rsid w:val="00BB1441"/>
    <w:rsid w:val="00BC2FB8"/>
    <w:rsid w:val="00BC4B9D"/>
    <w:rsid w:val="00BC61BF"/>
    <w:rsid w:val="00BC6919"/>
    <w:rsid w:val="00BD1FB6"/>
    <w:rsid w:val="00BD23EA"/>
    <w:rsid w:val="00BD6FDB"/>
    <w:rsid w:val="00BE3BEA"/>
    <w:rsid w:val="00BE5D75"/>
    <w:rsid w:val="00BE75E1"/>
    <w:rsid w:val="00BE7DA3"/>
    <w:rsid w:val="00BF23CB"/>
    <w:rsid w:val="00BF6A85"/>
    <w:rsid w:val="00C003CA"/>
    <w:rsid w:val="00C018E6"/>
    <w:rsid w:val="00C05555"/>
    <w:rsid w:val="00C07E3F"/>
    <w:rsid w:val="00C11E8C"/>
    <w:rsid w:val="00C169F3"/>
    <w:rsid w:val="00C22717"/>
    <w:rsid w:val="00C25485"/>
    <w:rsid w:val="00C260A1"/>
    <w:rsid w:val="00C32E23"/>
    <w:rsid w:val="00C37086"/>
    <w:rsid w:val="00C44CE3"/>
    <w:rsid w:val="00C5449C"/>
    <w:rsid w:val="00C660B5"/>
    <w:rsid w:val="00C66A59"/>
    <w:rsid w:val="00C80EC7"/>
    <w:rsid w:val="00C8457A"/>
    <w:rsid w:val="00CA2A9E"/>
    <w:rsid w:val="00CB6E4F"/>
    <w:rsid w:val="00CC140B"/>
    <w:rsid w:val="00CD373C"/>
    <w:rsid w:val="00CD6D75"/>
    <w:rsid w:val="00CE689F"/>
    <w:rsid w:val="00CF580E"/>
    <w:rsid w:val="00CF7EBD"/>
    <w:rsid w:val="00D0569E"/>
    <w:rsid w:val="00D1003C"/>
    <w:rsid w:val="00D1061D"/>
    <w:rsid w:val="00D20C0C"/>
    <w:rsid w:val="00D24A2A"/>
    <w:rsid w:val="00D307BA"/>
    <w:rsid w:val="00D30984"/>
    <w:rsid w:val="00D36191"/>
    <w:rsid w:val="00D37F8E"/>
    <w:rsid w:val="00D40578"/>
    <w:rsid w:val="00D518A4"/>
    <w:rsid w:val="00D52304"/>
    <w:rsid w:val="00D532EE"/>
    <w:rsid w:val="00D56D8D"/>
    <w:rsid w:val="00D66822"/>
    <w:rsid w:val="00D67409"/>
    <w:rsid w:val="00D67D08"/>
    <w:rsid w:val="00D738F0"/>
    <w:rsid w:val="00D76A3D"/>
    <w:rsid w:val="00D80FAC"/>
    <w:rsid w:val="00D81249"/>
    <w:rsid w:val="00D95DA3"/>
    <w:rsid w:val="00D96F46"/>
    <w:rsid w:val="00DA01C7"/>
    <w:rsid w:val="00DA050F"/>
    <w:rsid w:val="00DA12D6"/>
    <w:rsid w:val="00DA1DDB"/>
    <w:rsid w:val="00DA30E7"/>
    <w:rsid w:val="00DA5318"/>
    <w:rsid w:val="00DA56D5"/>
    <w:rsid w:val="00DD5E95"/>
    <w:rsid w:val="00DE0A3D"/>
    <w:rsid w:val="00DF0496"/>
    <w:rsid w:val="00DF2610"/>
    <w:rsid w:val="00E2207D"/>
    <w:rsid w:val="00E2772A"/>
    <w:rsid w:val="00E30087"/>
    <w:rsid w:val="00E32E79"/>
    <w:rsid w:val="00E362D1"/>
    <w:rsid w:val="00E40493"/>
    <w:rsid w:val="00E4343D"/>
    <w:rsid w:val="00E43A89"/>
    <w:rsid w:val="00E44733"/>
    <w:rsid w:val="00E52760"/>
    <w:rsid w:val="00E5476D"/>
    <w:rsid w:val="00E54AB1"/>
    <w:rsid w:val="00E55114"/>
    <w:rsid w:val="00E67C6A"/>
    <w:rsid w:val="00E76C6D"/>
    <w:rsid w:val="00E80597"/>
    <w:rsid w:val="00E90052"/>
    <w:rsid w:val="00E93AE4"/>
    <w:rsid w:val="00E960C8"/>
    <w:rsid w:val="00EA5579"/>
    <w:rsid w:val="00EB1603"/>
    <w:rsid w:val="00EC2F05"/>
    <w:rsid w:val="00ED15B8"/>
    <w:rsid w:val="00ED414F"/>
    <w:rsid w:val="00EE1FAA"/>
    <w:rsid w:val="00EF1CA8"/>
    <w:rsid w:val="00EF20E5"/>
    <w:rsid w:val="00EF25A9"/>
    <w:rsid w:val="00EF3820"/>
    <w:rsid w:val="00F02679"/>
    <w:rsid w:val="00F06432"/>
    <w:rsid w:val="00F10386"/>
    <w:rsid w:val="00F11884"/>
    <w:rsid w:val="00F3470C"/>
    <w:rsid w:val="00F366FB"/>
    <w:rsid w:val="00F44338"/>
    <w:rsid w:val="00F45052"/>
    <w:rsid w:val="00F57118"/>
    <w:rsid w:val="00F612A9"/>
    <w:rsid w:val="00F66169"/>
    <w:rsid w:val="00F6682D"/>
    <w:rsid w:val="00F74042"/>
    <w:rsid w:val="00F75AA1"/>
    <w:rsid w:val="00F824C7"/>
    <w:rsid w:val="00F95ABD"/>
    <w:rsid w:val="00FA5B0D"/>
    <w:rsid w:val="00FB525F"/>
    <w:rsid w:val="00FC3B66"/>
    <w:rsid w:val="00FC4D37"/>
    <w:rsid w:val="00FE363D"/>
    <w:rsid w:val="00FE54F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6"/>
    </o:shapedefaults>
    <o:shapelayout v:ext="edit">
      <o:idmap v:ext="edit" data="1"/>
    </o:shapelayout>
  </w:shapeDefaults>
  <w:decimalSymbol w:val="."/>
  <w:listSeparator w:val=","/>
  <w14:docId w14:val="418F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A0"/>
    <w:pPr>
      <w:spacing w:line="276" w:lineRule="auto"/>
    </w:pPr>
    <w:rPr>
      <w:rFonts w:ascii="Georgia" w:hAnsi="Georgia"/>
      <w:sz w:val="21"/>
      <w:szCs w:val="24"/>
      <w:lang w:eastAsia="en-US"/>
    </w:rPr>
  </w:style>
  <w:style w:type="paragraph" w:styleId="Heading1">
    <w:name w:val="heading 1"/>
    <w:basedOn w:val="Normal"/>
    <w:next w:val="Normal"/>
    <w:qFormat/>
    <w:rsid w:val="0092659B"/>
    <w:pPr>
      <w:outlineLvl w:val="0"/>
    </w:pPr>
    <w:rPr>
      <w:rFonts w:cs="Arial"/>
      <w:b/>
      <w:bCs/>
      <w:sz w:val="56"/>
      <w:szCs w:val="48"/>
    </w:rPr>
  </w:style>
  <w:style w:type="paragraph" w:styleId="Heading2">
    <w:name w:val="heading 2"/>
    <w:basedOn w:val="Normal"/>
    <w:next w:val="Normal"/>
    <w:link w:val="Heading2Char"/>
    <w:qFormat/>
    <w:rsid w:val="0092659B"/>
    <w:pPr>
      <w:keepNext/>
      <w:spacing w:before="360" w:after="120"/>
      <w:outlineLvl w:val="1"/>
    </w:pPr>
    <w:rPr>
      <w:rFonts w:cs="Arial"/>
      <w:b/>
      <w:bCs/>
      <w:iCs/>
      <w:sz w:val="36"/>
      <w:szCs w:val="28"/>
    </w:rPr>
  </w:style>
  <w:style w:type="paragraph" w:styleId="Heading3">
    <w:name w:val="heading 3"/>
    <w:basedOn w:val="Normal"/>
    <w:next w:val="Normal"/>
    <w:link w:val="Heading3Char"/>
    <w:qFormat/>
    <w:rsid w:val="002B344E"/>
    <w:pPr>
      <w:keepNext/>
      <w:spacing w:before="360" w:after="120"/>
      <w:outlineLvl w:val="2"/>
    </w:pPr>
    <w:rPr>
      <w:rFonts w:cs="Arial"/>
      <w:b/>
      <w:bCs/>
      <w:sz w:val="28"/>
      <w:szCs w:val="26"/>
    </w:rPr>
  </w:style>
  <w:style w:type="paragraph" w:styleId="Heading4">
    <w:name w:val="heading 4"/>
    <w:basedOn w:val="Normal"/>
    <w:next w:val="Normal"/>
    <w:link w:val="Heading4Char"/>
    <w:uiPriority w:val="9"/>
    <w:semiHidden/>
    <w:unhideWhenUsed/>
    <w:qFormat/>
    <w:rsid w:val="007915E6"/>
    <w:pPr>
      <w:keepNext/>
      <w:keepLines/>
      <w:spacing w:before="4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4D37"/>
    <w:rPr>
      <w:color w:val="0000FF"/>
      <w:u w:val="single"/>
    </w:rPr>
  </w:style>
  <w:style w:type="paragraph" w:styleId="FootnoteText">
    <w:name w:val="footnote text"/>
    <w:basedOn w:val="Normal"/>
    <w:semiHidden/>
    <w:rsid w:val="00680D2D"/>
    <w:pPr>
      <w:spacing w:before="60"/>
      <w:ind w:left="284" w:hanging="284"/>
    </w:pPr>
    <w:rPr>
      <w:sz w:val="18"/>
      <w:szCs w:val="20"/>
    </w:rPr>
  </w:style>
  <w:style w:type="character" w:styleId="FootnoteReference">
    <w:name w:val="footnote reference"/>
    <w:uiPriority w:val="99"/>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F580E"/>
    <w:pPr>
      <w:keepNext/>
      <w:pBdr>
        <w:top w:val="single" w:sz="18" w:space="6" w:color="002B7F"/>
      </w:pBdr>
      <w:spacing w:before="120" w:after="120"/>
    </w:pPr>
    <w:rPr>
      <w:b/>
      <w:color w:val="002B7F"/>
    </w:rPr>
  </w:style>
  <w:style w:type="paragraph" w:customStyle="1" w:styleId="Note">
    <w:name w:val="Note"/>
    <w:basedOn w:val="Normal"/>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6339A0"/>
    <w:pPr>
      <w:numPr>
        <w:numId w:val="1"/>
      </w:numPr>
      <w:spacing w:before="60"/>
    </w:pPr>
  </w:style>
  <w:style w:type="character" w:styleId="PageNumber">
    <w:name w:val="page number"/>
    <w:rsid w:val="0092659B"/>
    <w:rPr>
      <w:color w:val="auto"/>
      <w:sz w:val="24"/>
    </w:rPr>
  </w:style>
  <w:style w:type="paragraph" w:customStyle="1" w:styleId="TableText">
    <w:name w:val="TableText"/>
    <w:basedOn w:val="Normal"/>
    <w:rsid w:val="008357B6"/>
    <w:pPr>
      <w:spacing w:before="80" w:after="80"/>
    </w:p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styleId="BalloonText">
    <w:name w:val="Balloon Text"/>
    <w:basedOn w:val="Normal"/>
    <w:link w:val="BalloonTextChar"/>
    <w:uiPriority w:val="99"/>
    <w:semiHidden/>
    <w:unhideWhenUsed/>
    <w:rsid w:val="00075E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D0"/>
    <w:rPr>
      <w:rFonts w:ascii="Tahoma" w:hAnsi="Tahoma" w:cs="Tahoma"/>
      <w:sz w:val="16"/>
      <w:szCs w:val="16"/>
      <w:lang w:eastAsia="en-US"/>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6339A0"/>
    <w:rPr>
      <w:rFonts w:ascii="Georgia" w:hAnsi="Georgia"/>
      <w:sz w:val="21"/>
      <w:szCs w:val="24"/>
      <w:lang w:eastAsia="en-US"/>
    </w:rPr>
  </w:style>
  <w:style w:type="paragraph" w:styleId="ListParagraph">
    <w:name w:val="List Paragraph"/>
    <w:aliases w:val="Rec para,List Paragraph1,Recommendation,List Paragraph11"/>
    <w:basedOn w:val="Normal"/>
    <w:link w:val="ListParagraphChar"/>
    <w:uiPriority w:val="34"/>
    <w:qFormat/>
    <w:rsid w:val="00316E05"/>
    <w:pPr>
      <w:ind w:left="720"/>
      <w:contextualSpacing/>
    </w:pPr>
  </w:style>
  <w:style w:type="character" w:styleId="CommentReference">
    <w:name w:val="annotation reference"/>
    <w:basedOn w:val="DefaultParagraphFont"/>
    <w:uiPriority w:val="99"/>
    <w:semiHidden/>
    <w:unhideWhenUsed/>
    <w:rsid w:val="00316E05"/>
    <w:rPr>
      <w:sz w:val="16"/>
      <w:szCs w:val="16"/>
    </w:rPr>
  </w:style>
  <w:style w:type="paragraph" w:styleId="CommentText">
    <w:name w:val="annotation text"/>
    <w:basedOn w:val="Normal"/>
    <w:link w:val="CommentTextChar"/>
    <w:uiPriority w:val="99"/>
    <w:semiHidden/>
    <w:unhideWhenUsed/>
    <w:rsid w:val="00316E05"/>
    <w:pPr>
      <w:spacing w:line="240" w:lineRule="auto"/>
    </w:pPr>
    <w:rPr>
      <w:sz w:val="20"/>
      <w:szCs w:val="20"/>
    </w:rPr>
  </w:style>
  <w:style w:type="character" w:customStyle="1" w:styleId="CommentTextChar">
    <w:name w:val="Comment Text Char"/>
    <w:basedOn w:val="DefaultParagraphFont"/>
    <w:link w:val="CommentText"/>
    <w:uiPriority w:val="99"/>
    <w:semiHidden/>
    <w:rsid w:val="00316E05"/>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316E05"/>
    <w:rPr>
      <w:b/>
      <w:bCs/>
    </w:rPr>
  </w:style>
  <w:style w:type="character" w:customStyle="1" w:styleId="CommentSubjectChar">
    <w:name w:val="Comment Subject Char"/>
    <w:basedOn w:val="CommentTextChar"/>
    <w:link w:val="CommentSubject"/>
    <w:uiPriority w:val="99"/>
    <w:semiHidden/>
    <w:rsid w:val="00316E05"/>
    <w:rPr>
      <w:rFonts w:ascii="Georgia" w:hAnsi="Georgia"/>
      <w:b/>
      <w:bCs/>
      <w:lang w:eastAsia="en-US"/>
    </w:rPr>
  </w:style>
  <w:style w:type="character" w:customStyle="1" w:styleId="Heading3Char">
    <w:name w:val="Heading 3 Char"/>
    <w:basedOn w:val="DefaultParagraphFont"/>
    <w:link w:val="Heading3"/>
    <w:rsid w:val="005C24A3"/>
    <w:rPr>
      <w:rFonts w:ascii="Georgia" w:hAnsi="Georgia" w:cs="Arial"/>
      <w:b/>
      <w:bCs/>
      <w:sz w:val="28"/>
      <w:szCs w:val="26"/>
      <w:lang w:eastAsia="en-US"/>
    </w:rPr>
  </w:style>
  <w:style w:type="character" w:customStyle="1" w:styleId="Heading2Char">
    <w:name w:val="Heading 2 Char"/>
    <w:basedOn w:val="DefaultParagraphFont"/>
    <w:link w:val="Heading2"/>
    <w:rsid w:val="00006D06"/>
    <w:rPr>
      <w:rFonts w:ascii="Georgia" w:hAnsi="Georgia" w:cs="Arial"/>
      <w:b/>
      <w:bCs/>
      <w:iCs/>
      <w:sz w:val="36"/>
      <w:szCs w:val="28"/>
      <w:lang w:eastAsia="en-US"/>
    </w:rPr>
  </w:style>
  <w:style w:type="paragraph" w:customStyle="1" w:styleId="Numbering">
    <w:name w:val="Numbering"/>
    <w:basedOn w:val="ListParagraph"/>
    <w:next w:val="Heading4"/>
    <w:link w:val="NumberingChar"/>
    <w:qFormat/>
    <w:rsid w:val="007915E6"/>
    <w:pPr>
      <w:numPr>
        <w:numId w:val="3"/>
      </w:numPr>
    </w:pPr>
    <w:rPr>
      <w:b/>
      <w:lang w:eastAsia="en-NZ"/>
    </w:rPr>
  </w:style>
  <w:style w:type="character" w:customStyle="1" w:styleId="ListParagraphChar">
    <w:name w:val="List Paragraph Char"/>
    <w:aliases w:val="Rec para Char,List Paragraph1 Char,Recommendation Char,List Paragraph11 Char"/>
    <w:basedOn w:val="DefaultParagraphFont"/>
    <w:link w:val="ListParagraph"/>
    <w:uiPriority w:val="34"/>
    <w:rsid w:val="007915E6"/>
    <w:rPr>
      <w:rFonts w:ascii="Georgia" w:hAnsi="Georgia"/>
      <w:sz w:val="21"/>
      <w:szCs w:val="24"/>
      <w:lang w:eastAsia="en-US"/>
    </w:rPr>
  </w:style>
  <w:style w:type="character" w:customStyle="1" w:styleId="NumberingChar">
    <w:name w:val="Numbering Char"/>
    <w:basedOn w:val="ListParagraphChar"/>
    <w:link w:val="Numbering"/>
    <w:rsid w:val="007915E6"/>
    <w:rPr>
      <w:rFonts w:ascii="Georgia" w:hAnsi="Georgia"/>
      <w:b/>
      <w:sz w:val="21"/>
      <w:szCs w:val="24"/>
      <w:lang w:eastAsia="en-US"/>
    </w:rPr>
  </w:style>
  <w:style w:type="character" w:customStyle="1" w:styleId="Heading4Char">
    <w:name w:val="Heading 4 Char"/>
    <w:basedOn w:val="DefaultParagraphFont"/>
    <w:link w:val="Heading4"/>
    <w:uiPriority w:val="9"/>
    <w:semiHidden/>
    <w:rsid w:val="007915E6"/>
    <w:rPr>
      <w:rFonts w:asciiTheme="majorHAnsi" w:eastAsiaTheme="majorEastAsia" w:hAnsiTheme="majorHAnsi" w:cstheme="majorBidi"/>
      <w:i/>
      <w:iCs/>
      <w:color w:val="A5A5A5" w:themeColor="accent1" w:themeShade="BF"/>
      <w:sz w:val="21"/>
      <w:szCs w:val="24"/>
      <w:lang w:eastAsia="en-US"/>
    </w:rPr>
  </w:style>
  <w:style w:type="paragraph" w:customStyle="1" w:styleId="Default">
    <w:name w:val="Default"/>
    <w:rsid w:val="00E30087"/>
    <w:pPr>
      <w:autoSpaceDE w:val="0"/>
      <w:autoSpaceDN w:val="0"/>
      <w:adjustRightInd w:val="0"/>
    </w:pPr>
    <w:rPr>
      <w:rFonts w:ascii="Georgia" w:eastAsiaTheme="minorHAnsi" w:hAnsi="Georgia" w:cs="Georgia"/>
      <w:color w:val="000000"/>
      <w:sz w:val="24"/>
      <w:szCs w:val="24"/>
      <w:lang w:eastAsia="en-US"/>
    </w:rPr>
  </w:style>
  <w:style w:type="paragraph" w:customStyle="1" w:styleId="Numberingbold">
    <w:name w:val="Numbering bold"/>
    <w:basedOn w:val="ListParagraph"/>
    <w:link w:val="NumberingboldChar"/>
    <w:qFormat/>
    <w:rsid w:val="005A51F6"/>
    <w:pPr>
      <w:numPr>
        <w:numId w:val="6"/>
      </w:numPr>
      <w:spacing w:before="240" w:after="120" w:line="264" w:lineRule="auto"/>
      <w:ind w:left="357" w:hanging="357"/>
    </w:pPr>
    <w:rPr>
      <w:b/>
      <w:sz w:val="22"/>
    </w:rPr>
  </w:style>
  <w:style w:type="character" w:customStyle="1" w:styleId="NumberingboldChar">
    <w:name w:val="Numbering bold Char"/>
    <w:basedOn w:val="ListParagraphChar"/>
    <w:link w:val="Numberingbold"/>
    <w:rsid w:val="005A51F6"/>
    <w:rPr>
      <w:rFonts w:ascii="Georgia" w:hAnsi="Georgia"/>
      <w:b/>
      <w:sz w:val="22"/>
      <w:szCs w:val="24"/>
      <w:lang w:eastAsia="en-US"/>
    </w:rPr>
  </w:style>
  <w:style w:type="paragraph" w:styleId="NormalWeb">
    <w:name w:val="Normal (Web)"/>
    <w:basedOn w:val="Normal"/>
    <w:uiPriority w:val="99"/>
    <w:semiHidden/>
    <w:unhideWhenUsed/>
    <w:rsid w:val="00E80597"/>
    <w:pPr>
      <w:spacing w:before="360" w:after="360" w:line="240" w:lineRule="auto"/>
    </w:pPr>
    <w:rPr>
      <w:rFonts w:ascii="Times New Roman" w:hAnsi="Times New Roman"/>
      <w:sz w:val="24"/>
      <w:lang w:eastAsia="en-NZ"/>
    </w:rPr>
  </w:style>
  <w:style w:type="paragraph" w:customStyle="1" w:styleId="text5">
    <w:name w:val="text5"/>
    <w:basedOn w:val="Normal"/>
    <w:rsid w:val="002C7B3F"/>
    <w:pPr>
      <w:spacing w:before="83" w:after="216" w:line="288" w:lineRule="atLeast"/>
    </w:pPr>
    <w:rPr>
      <w:rFonts w:ascii="Times New Roman" w:hAnsi="Times New Roman"/>
      <w:sz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A0"/>
    <w:pPr>
      <w:spacing w:line="276" w:lineRule="auto"/>
    </w:pPr>
    <w:rPr>
      <w:rFonts w:ascii="Georgia" w:hAnsi="Georgia"/>
      <w:sz w:val="21"/>
      <w:szCs w:val="24"/>
      <w:lang w:eastAsia="en-US"/>
    </w:rPr>
  </w:style>
  <w:style w:type="paragraph" w:styleId="Heading1">
    <w:name w:val="heading 1"/>
    <w:basedOn w:val="Normal"/>
    <w:next w:val="Normal"/>
    <w:qFormat/>
    <w:rsid w:val="0092659B"/>
    <w:pPr>
      <w:outlineLvl w:val="0"/>
    </w:pPr>
    <w:rPr>
      <w:rFonts w:cs="Arial"/>
      <w:b/>
      <w:bCs/>
      <w:sz w:val="56"/>
      <w:szCs w:val="48"/>
    </w:rPr>
  </w:style>
  <w:style w:type="paragraph" w:styleId="Heading2">
    <w:name w:val="heading 2"/>
    <w:basedOn w:val="Normal"/>
    <w:next w:val="Normal"/>
    <w:link w:val="Heading2Char"/>
    <w:qFormat/>
    <w:rsid w:val="0092659B"/>
    <w:pPr>
      <w:keepNext/>
      <w:spacing w:before="360" w:after="120"/>
      <w:outlineLvl w:val="1"/>
    </w:pPr>
    <w:rPr>
      <w:rFonts w:cs="Arial"/>
      <w:b/>
      <w:bCs/>
      <w:iCs/>
      <w:sz w:val="36"/>
      <w:szCs w:val="28"/>
    </w:rPr>
  </w:style>
  <w:style w:type="paragraph" w:styleId="Heading3">
    <w:name w:val="heading 3"/>
    <w:basedOn w:val="Normal"/>
    <w:next w:val="Normal"/>
    <w:link w:val="Heading3Char"/>
    <w:qFormat/>
    <w:rsid w:val="002B344E"/>
    <w:pPr>
      <w:keepNext/>
      <w:spacing w:before="360" w:after="120"/>
      <w:outlineLvl w:val="2"/>
    </w:pPr>
    <w:rPr>
      <w:rFonts w:cs="Arial"/>
      <w:b/>
      <w:bCs/>
      <w:sz w:val="28"/>
      <w:szCs w:val="26"/>
    </w:rPr>
  </w:style>
  <w:style w:type="paragraph" w:styleId="Heading4">
    <w:name w:val="heading 4"/>
    <w:basedOn w:val="Normal"/>
    <w:next w:val="Normal"/>
    <w:link w:val="Heading4Char"/>
    <w:uiPriority w:val="9"/>
    <w:semiHidden/>
    <w:unhideWhenUsed/>
    <w:qFormat/>
    <w:rsid w:val="007915E6"/>
    <w:pPr>
      <w:keepNext/>
      <w:keepLines/>
      <w:spacing w:before="4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4D37"/>
    <w:rPr>
      <w:color w:val="0000FF"/>
      <w:u w:val="single"/>
    </w:rPr>
  </w:style>
  <w:style w:type="paragraph" w:styleId="FootnoteText">
    <w:name w:val="footnote text"/>
    <w:basedOn w:val="Normal"/>
    <w:semiHidden/>
    <w:rsid w:val="00680D2D"/>
    <w:pPr>
      <w:spacing w:before="60"/>
      <w:ind w:left="284" w:hanging="284"/>
    </w:pPr>
    <w:rPr>
      <w:sz w:val="18"/>
      <w:szCs w:val="20"/>
    </w:rPr>
  </w:style>
  <w:style w:type="character" w:styleId="FootnoteReference">
    <w:name w:val="footnote reference"/>
    <w:uiPriority w:val="99"/>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F580E"/>
    <w:pPr>
      <w:keepNext/>
      <w:pBdr>
        <w:top w:val="single" w:sz="18" w:space="6" w:color="002B7F"/>
      </w:pBdr>
      <w:spacing w:before="120" w:after="120"/>
    </w:pPr>
    <w:rPr>
      <w:b/>
      <w:color w:val="002B7F"/>
    </w:rPr>
  </w:style>
  <w:style w:type="paragraph" w:customStyle="1" w:styleId="Note">
    <w:name w:val="Note"/>
    <w:basedOn w:val="Normal"/>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6339A0"/>
    <w:pPr>
      <w:numPr>
        <w:numId w:val="1"/>
      </w:numPr>
      <w:spacing w:before="60"/>
    </w:pPr>
  </w:style>
  <w:style w:type="character" w:styleId="PageNumber">
    <w:name w:val="page number"/>
    <w:rsid w:val="0092659B"/>
    <w:rPr>
      <w:color w:val="auto"/>
      <w:sz w:val="24"/>
    </w:rPr>
  </w:style>
  <w:style w:type="paragraph" w:customStyle="1" w:styleId="TableText">
    <w:name w:val="TableText"/>
    <w:basedOn w:val="Normal"/>
    <w:rsid w:val="008357B6"/>
    <w:pPr>
      <w:spacing w:before="80" w:after="80"/>
    </w:p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styleId="BalloonText">
    <w:name w:val="Balloon Text"/>
    <w:basedOn w:val="Normal"/>
    <w:link w:val="BalloonTextChar"/>
    <w:uiPriority w:val="99"/>
    <w:semiHidden/>
    <w:unhideWhenUsed/>
    <w:rsid w:val="00075E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D0"/>
    <w:rPr>
      <w:rFonts w:ascii="Tahoma" w:hAnsi="Tahoma" w:cs="Tahoma"/>
      <w:sz w:val="16"/>
      <w:szCs w:val="16"/>
      <w:lang w:eastAsia="en-US"/>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6339A0"/>
    <w:rPr>
      <w:rFonts w:ascii="Georgia" w:hAnsi="Georgia"/>
      <w:sz w:val="21"/>
      <w:szCs w:val="24"/>
      <w:lang w:eastAsia="en-US"/>
    </w:rPr>
  </w:style>
  <w:style w:type="paragraph" w:styleId="ListParagraph">
    <w:name w:val="List Paragraph"/>
    <w:aliases w:val="Rec para,List Paragraph1,Recommendation,List Paragraph11"/>
    <w:basedOn w:val="Normal"/>
    <w:link w:val="ListParagraphChar"/>
    <w:uiPriority w:val="34"/>
    <w:qFormat/>
    <w:rsid w:val="00316E05"/>
    <w:pPr>
      <w:ind w:left="720"/>
      <w:contextualSpacing/>
    </w:pPr>
  </w:style>
  <w:style w:type="character" w:styleId="CommentReference">
    <w:name w:val="annotation reference"/>
    <w:basedOn w:val="DefaultParagraphFont"/>
    <w:uiPriority w:val="99"/>
    <w:semiHidden/>
    <w:unhideWhenUsed/>
    <w:rsid w:val="00316E05"/>
    <w:rPr>
      <w:sz w:val="16"/>
      <w:szCs w:val="16"/>
    </w:rPr>
  </w:style>
  <w:style w:type="paragraph" w:styleId="CommentText">
    <w:name w:val="annotation text"/>
    <w:basedOn w:val="Normal"/>
    <w:link w:val="CommentTextChar"/>
    <w:uiPriority w:val="99"/>
    <w:semiHidden/>
    <w:unhideWhenUsed/>
    <w:rsid w:val="00316E05"/>
    <w:pPr>
      <w:spacing w:line="240" w:lineRule="auto"/>
    </w:pPr>
    <w:rPr>
      <w:sz w:val="20"/>
      <w:szCs w:val="20"/>
    </w:rPr>
  </w:style>
  <w:style w:type="character" w:customStyle="1" w:styleId="CommentTextChar">
    <w:name w:val="Comment Text Char"/>
    <w:basedOn w:val="DefaultParagraphFont"/>
    <w:link w:val="CommentText"/>
    <w:uiPriority w:val="99"/>
    <w:semiHidden/>
    <w:rsid w:val="00316E05"/>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316E05"/>
    <w:rPr>
      <w:b/>
      <w:bCs/>
    </w:rPr>
  </w:style>
  <w:style w:type="character" w:customStyle="1" w:styleId="CommentSubjectChar">
    <w:name w:val="Comment Subject Char"/>
    <w:basedOn w:val="CommentTextChar"/>
    <w:link w:val="CommentSubject"/>
    <w:uiPriority w:val="99"/>
    <w:semiHidden/>
    <w:rsid w:val="00316E05"/>
    <w:rPr>
      <w:rFonts w:ascii="Georgia" w:hAnsi="Georgia"/>
      <w:b/>
      <w:bCs/>
      <w:lang w:eastAsia="en-US"/>
    </w:rPr>
  </w:style>
  <w:style w:type="character" w:customStyle="1" w:styleId="Heading3Char">
    <w:name w:val="Heading 3 Char"/>
    <w:basedOn w:val="DefaultParagraphFont"/>
    <w:link w:val="Heading3"/>
    <w:rsid w:val="005C24A3"/>
    <w:rPr>
      <w:rFonts w:ascii="Georgia" w:hAnsi="Georgia" w:cs="Arial"/>
      <w:b/>
      <w:bCs/>
      <w:sz w:val="28"/>
      <w:szCs w:val="26"/>
      <w:lang w:eastAsia="en-US"/>
    </w:rPr>
  </w:style>
  <w:style w:type="character" w:customStyle="1" w:styleId="Heading2Char">
    <w:name w:val="Heading 2 Char"/>
    <w:basedOn w:val="DefaultParagraphFont"/>
    <w:link w:val="Heading2"/>
    <w:rsid w:val="00006D06"/>
    <w:rPr>
      <w:rFonts w:ascii="Georgia" w:hAnsi="Georgia" w:cs="Arial"/>
      <w:b/>
      <w:bCs/>
      <w:iCs/>
      <w:sz w:val="36"/>
      <w:szCs w:val="28"/>
      <w:lang w:eastAsia="en-US"/>
    </w:rPr>
  </w:style>
  <w:style w:type="paragraph" w:customStyle="1" w:styleId="Numbering">
    <w:name w:val="Numbering"/>
    <w:basedOn w:val="ListParagraph"/>
    <w:next w:val="Heading4"/>
    <w:link w:val="NumberingChar"/>
    <w:qFormat/>
    <w:rsid w:val="007915E6"/>
    <w:pPr>
      <w:numPr>
        <w:numId w:val="3"/>
      </w:numPr>
    </w:pPr>
    <w:rPr>
      <w:b/>
      <w:lang w:eastAsia="en-NZ"/>
    </w:rPr>
  </w:style>
  <w:style w:type="character" w:customStyle="1" w:styleId="ListParagraphChar">
    <w:name w:val="List Paragraph Char"/>
    <w:aliases w:val="Rec para Char,List Paragraph1 Char,Recommendation Char,List Paragraph11 Char"/>
    <w:basedOn w:val="DefaultParagraphFont"/>
    <w:link w:val="ListParagraph"/>
    <w:uiPriority w:val="34"/>
    <w:rsid w:val="007915E6"/>
    <w:rPr>
      <w:rFonts w:ascii="Georgia" w:hAnsi="Georgia"/>
      <w:sz w:val="21"/>
      <w:szCs w:val="24"/>
      <w:lang w:eastAsia="en-US"/>
    </w:rPr>
  </w:style>
  <w:style w:type="character" w:customStyle="1" w:styleId="NumberingChar">
    <w:name w:val="Numbering Char"/>
    <w:basedOn w:val="ListParagraphChar"/>
    <w:link w:val="Numbering"/>
    <w:rsid w:val="007915E6"/>
    <w:rPr>
      <w:rFonts w:ascii="Georgia" w:hAnsi="Georgia"/>
      <w:b/>
      <w:sz w:val="21"/>
      <w:szCs w:val="24"/>
      <w:lang w:eastAsia="en-US"/>
    </w:rPr>
  </w:style>
  <w:style w:type="character" w:customStyle="1" w:styleId="Heading4Char">
    <w:name w:val="Heading 4 Char"/>
    <w:basedOn w:val="DefaultParagraphFont"/>
    <w:link w:val="Heading4"/>
    <w:uiPriority w:val="9"/>
    <w:semiHidden/>
    <w:rsid w:val="007915E6"/>
    <w:rPr>
      <w:rFonts w:asciiTheme="majorHAnsi" w:eastAsiaTheme="majorEastAsia" w:hAnsiTheme="majorHAnsi" w:cstheme="majorBidi"/>
      <w:i/>
      <w:iCs/>
      <w:color w:val="A5A5A5" w:themeColor="accent1" w:themeShade="BF"/>
      <w:sz w:val="21"/>
      <w:szCs w:val="24"/>
      <w:lang w:eastAsia="en-US"/>
    </w:rPr>
  </w:style>
  <w:style w:type="paragraph" w:customStyle="1" w:styleId="Default">
    <w:name w:val="Default"/>
    <w:rsid w:val="00E30087"/>
    <w:pPr>
      <w:autoSpaceDE w:val="0"/>
      <w:autoSpaceDN w:val="0"/>
      <w:adjustRightInd w:val="0"/>
    </w:pPr>
    <w:rPr>
      <w:rFonts w:ascii="Georgia" w:eastAsiaTheme="minorHAnsi" w:hAnsi="Georgia" w:cs="Georgia"/>
      <w:color w:val="000000"/>
      <w:sz w:val="24"/>
      <w:szCs w:val="24"/>
      <w:lang w:eastAsia="en-US"/>
    </w:rPr>
  </w:style>
  <w:style w:type="paragraph" w:customStyle="1" w:styleId="Numberingbold">
    <w:name w:val="Numbering bold"/>
    <w:basedOn w:val="ListParagraph"/>
    <w:link w:val="NumberingboldChar"/>
    <w:qFormat/>
    <w:rsid w:val="005A51F6"/>
    <w:pPr>
      <w:numPr>
        <w:numId w:val="6"/>
      </w:numPr>
      <w:spacing w:before="240" w:after="120" w:line="264" w:lineRule="auto"/>
      <w:ind w:left="357" w:hanging="357"/>
    </w:pPr>
    <w:rPr>
      <w:b/>
      <w:sz w:val="22"/>
    </w:rPr>
  </w:style>
  <w:style w:type="character" w:customStyle="1" w:styleId="NumberingboldChar">
    <w:name w:val="Numbering bold Char"/>
    <w:basedOn w:val="ListParagraphChar"/>
    <w:link w:val="Numberingbold"/>
    <w:rsid w:val="005A51F6"/>
    <w:rPr>
      <w:rFonts w:ascii="Georgia" w:hAnsi="Georgia"/>
      <w:b/>
      <w:sz w:val="22"/>
      <w:szCs w:val="24"/>
      <w:lang w:eastAsia="en-US"/>
    </w:rPr>
  </w:style>
  <w:style w:type="paragraph" w:styleId="NormalWeb">
    <w:name w:val="Normal (Web)"/>
    <w:basedOn w:val="Normal"/>
    <w:uiPriority w:val="99"/>
    <w:semiHidden/>
    <w:unhideWhenUsed/>
    <w:rsid w:val="00E80597"/>
    <w:pPr>
      <w:spacing w:before="360" w:after="360" w:line="240" w:lineRule="auto"/>
    </w:pPr>
    <w:rPr>
      <w:rFonts w:ascii="Times New Roman" w:hAnsi="Times New Roman"/>
      <w:sz w:val="24"/>
      <w:lang w:eastAsia="en-NZ"/>
    </w:rPr>
  </w:style>
  <w:style w:type="paragraph" w:customStyle="1" w:styleId="text5">
    <w:name w:val="text5"/>
    <w:basedOn w:val="Normal"/>
    <w:rsid w:val="002C7B3F"/>
    <w:pPr>
      <w:spacing w:before="83" w:after="216" w:line="288" w:lineRule="atLeast"/>
    </w:pPr>
    <w:rPr>
      <w:rFonts w:ascii="Times New Roman" w:hAnsi="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505678295">
      <w:bodyDiv w:val="1"/>
      <w:marLeft w:val="0"/>
      <w:marRight w:val="0"/>
      <w:marTop w:val="0"/>
      <w:marBottom w:val="0"/>
      <w:divBdr>
        <w:top w:val="none" w:sz="0" w:space="0" w:color="auto"/>
        <w:left w:val="none" w:sz="0" w:space="0" w:color="auto"/>
        <w:bottom w:val="none" w:sz="0" w:space="0" w:color="auto"/>
        <w:right w:val="none" w:sz="0" w:space="0" w:color="auto"/>
      </w:divBdr>
      <w:divsChild>
        <w:div w:id="1711374142">
          <w:marLeft w:val="0"/>
          <w:marRight w:val="0"/>
          <w:marTop w:val="0"/>
          <w:marBottom w:val="0"/>
          <w:divBdr>
            <w:top w:val="none" w:sz="0" w:space="0" w:color="auto"/>
            <w:left w:val="none" w:sz="0" w:space="0" w:color="auto"/>
            <w:bottom w:val="none" w:sz="0" w:space="0" w:color="auto"/>
            <w:right w:val="none" w:sz="0" w:space="0" w:color="auto"/>
          </w:divBdr>
          <w:divsChild>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225"/>
                  <w:marRight w:val="-225"/>
                  <w:marTop w:val="0"/>
                  <w:marBottom w:val="0"/>
                  <w:divBdr>
                    <w:top w:val="none" w:sz="0" w:space="0" w:color="auto"/>
                    <w:left w:val="none" w:sz="0" w:space="0" w:color="auto"/>
                    <w:bottom w:val="none" w:sz="0" w:space="0" w:color="auto"/>
                    <w:right w:val="none" w:sz="0" w:space="0" w:color="auto"/>
                  </w:divBdr>
                  <w:divsChild>
                    <w:div w:id="1281841185">
                      <w:marLeft w:val="0"/>
                      <w:marRight w:val="0"/>
                      <w:marTop w:val="0"/>
                      <w:marBottom w:val="0"/>
                      <w:divBdr>
                        <w:top w:val="none" w:sz="0" w:space="0" w:color="auto"/>
                        <w:left w:val="none" w:sz="0" w:space="0" w:color="auto"/>
                        <w:bottom w:val="none" w:sz="0" w:space="0" w:color="auto"/>
                        <w:right w:val="none" w:sz="0" w:space="0" w:color="auto"/>
                      </w:divBdr>
                      <w:divsChild>
                        <w:div w:id="1794060944">
                          <w:marLeft w:val="0"/>
                          <w:marRight w:val="0"/>
                          <w:marTop w:val="0"/>
                          <w:marBottom w:val="0"/>
                          <w:divBdr>
                            <w:top w:val="none" w:sz="0" w:space="0" w:color="auto"/>
                            <w:left w:val="none" w:sz="0" w:space="0" w:color="auto"/>
                            <w:bottom w:val="none" w:sz="0" w:space="0" w:color="auto"/>
                            <w:right w:val="none" w:sz="0" w:space="0" w:color="auto"/>
                          </w:divBdr>
                          <w:divsChild>
                            <w:div w:id="897938646">
                              <w:marLeft w:val="-225"/>
                              <w:marRight w:val="-225"/>
                              <w:marTop w:val="0"/>
                              <w:marBottom w:val="0"/>
                              <w:divBdr>
                                <w:top w:val="none" w:sz="0" w:space="0" w:color="auto"/>
                                <w:left w:val="none" w:sz="0" w:space="0" w:color="auto"/>
                                <w:bottom w:val="none" w:sz="0" w:space="0" w:color="auto"/>
                                <w:right w:val="none" w:sz="0" w:space="0" w:color="auto"/>
                              </w:divBdr>
                              <w:divsChild>
                                <w:div w:id="2044015501">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1048992391">
                                          <w:marLeft w:val="0"/>
                                          <w:marRight w:val="0"/>
                                          <w:marTop w:val="0"/>
                                          <w:marBottom w:val="0"/>
                                          <w:divBdr>
                                            <w:top w:val="none" w:sz="0" w:space="0" w:color="auto"/>
                                            <w:left w:val="none" w:sz="0" w:space="0" w:color="auto"/>
                                            <w:bottom w:val="none" w:sz="0" w:space="0" w:color="auto"/>
                                            <w:right w:val="none" w:sz="0" w:space="0" w:color="auto"/>
                                          </w:divBdr>
                                          <w:divsChild>
                                            <w:div w:id="720518517">
                                              <w:marLeft w:val="0"/>
                                              <w:marRight w:val="0"/>
                                              <w:marTop w:val="0"/>
                                              <w:marBottom w:val="0"/>
                                              <w:divBdr>
                                                <w:top w:val="none" w:sz="0" w:space="0" w:color="auto"/>
                                                <w:left w:val="none" w:sz="0" w:space="0" w:color="auto"/>
                                                <w:bottom w:val="none" w:sz="0" w:space="0" w:color="auto"/>
                                                <w:right w:val="none" w:sz="0" w:space="0" w:color="auto"/>
                                              </w:divBdr>
                                              <w:divsChild>
                                                <w:div w:id="1798985288">
                                                  <w:marLeft w:val="0"/>
                                                  <w:marRight w:val="0"/>
                                                  <w:marTop w:val="0"/>
                                                  <w:marBottom w:val="0"/>
                                                  <w:divBdr>
                                                    <w:top w:val="none" w:sz="0" w:space="0" w:color="auto"/>
                                                    <w:left w:val="none" w:sz="0" w:space="0" w:color="auto"/>
                                                    <w:bottom w:val="none" w:sz="0" w:space="0" w:color="auto"/>
                                                    <w:right w:val="none" w:sz="0" w:space="0" w:color="auto"/>
                                                  </w:divBdr>
                                                  <w:divsChild>
                                                    <w:div w:id="118375181">
                                                      <w:marLeft w:val="0"/>
                                                      <w:marRight w:val="0"/>
                                                      <w:marTop w:val="0"/>
                                                      <w:marBottom w:val="0"/>
                                                      <w:divBdr>
                                                        <w:top w:val="none" w:sz="0" w:space="0" w:color="auto"/>
                                                        <w:left w:val="none" w:sz="0" w:space="0" w:color="auto"/>
                                                        <w:bottom w:val="none" w:sz="0" w:space="0" w:color="auto"/>
                                                        <w:right w:val="none" w:sz="0" w:space="0" w:color="auto"/>
                                                      </w:divBdr>
                                                      <w:divsChild>
                                                        <w:div w:id="1591424749">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979532726">
      <w:bodyDiv w:val="1"/>
      <w:marLeft w:val="0"/>
      <w:marRight w:val="0"/>
      <w:marTop w:val="0"/>
      <w:marBottom w:val="0"/>
      <w:divBdr>
        <w:top w:val="none" w:sz="0" w:space="0" w:color="auto"/>
        <w:left w:val="none" w:sz="0" w:space="0" w:color="auto"/>
        <w:bottom w:val="none" w:sz="0" w:space="0" w:color="auto"/>
        <w:right w:val="none" w:sz="0" w:space="0" w:color="auto"/>
      </w:divBdr>
      <w:divsChild>
        <w:div w:id="421605884">
          <w:marLeft w:val="0"/>
          <w:marRight w:val="0"/>
          <w:marTop w:val="0"/>
          <w:marBottom w:val="0"/>
          <w:divBdr>
            <w:top w:val="none" w:sz="0" w:space="0" w:color="auto"/>
            <w:left w:val="none" w:sz="0" w:space="0" w:color="auto"/>
            <w:bottom w:val="none" w:sz="0" w:space="0" w:color="auto"/>
            <w:right w:val="none" w:sz="0" w:space="0" w:color="auto"/>
          </w:divBdr>
          <w:divsChild>
            <w:div w:id="1786002433">
              <w:marLeft w:val="0"/>
              <w:marRight w:val="0"/>
              <w:marTop w:val="0"/>
              <w:marBottom w:val="0"/>
              <w:divBdr>
                <w:top w:val="none" w:sz="0" w:space="0" w:color="auto"/>
                <w:left w:val="none" w:sz="0" w:space="0" w:color="auto"/>
                <w:bottom w:val="none" w:sz="0" w:space="0" w:color="auto"/>
                <w:right w:val="none" w:sz="0" w:space="0" w:color="auto"/>
              </w:divBdr>
              <w:divsChild>
                <w:div w:id="125780789">
                  <w:marLeft w:val="0"/>
                  <w:marRight w:val="0"/>
                  <w:marTop w:val="105"/>
                  <w:marBottom w:val="0"/>
                  <w:divBdr>
                    <w:top w:val="none" w:sz="0" w:space="0" w:color="auto"/>
                    <w:left w:val="none" w:sz="0" w:space="0" w:color="auto"/>
                    <w:bottom w:val="none" w:sz="0" w:space="0" w:color="auto"/>
                    <w:right w:val="none" w:sz="0" w:space="0" w:color="auto"/>
                  </w:divBdr>
                  <w:divsChild>
                    <w:div w:id="564142726">
                      <w:marLeft w:val="450"/>
                      <w:marRight w:val="225"/>
                      <w:marTop w:val="0"/>
                      <w:marBottom w:val="0"/>
                      <w:divBdr>
                        <w:top w:val="none" w:sz="0" w:space="0" w:color="auto"/>
                        <w:left w:val="none" w:sz="0" w:space="0" w:color="auto"/>
                        <w:bottom w:val="none" w:sz="0" w:space="0" w:color="auto"/>
                        <w:right w:val="none" w:sz="0" w:space="0" w:color="auto"/>
                      </w:divBdr>
                      <w:divsChild>
                        <w:div w:id="918563971">
                          <w:marLeft w:val="0"/>
                          <w:marRight w:val="0"/>
                          <w:marTop w:val="0"/>
                          <w:marBottom w:val="600"/>
                          <w:divBdr>
                            <w:top w:val="single" w:sz="6" w:space="0" w:color="314664"/>
                            <w:left w:val="single" w:sz="6" w:space="0" w:color="314664"/>
                            <w:bottom w:val="single" w:sz="6" w:space="0" w:color="314664"/>
                            <w:right w:val="single" w:sz="6" w:space="0" w:color="314664"/>
                          </w:divBdr>
                          <w:divsChild>
                            <w:div w:id="1627933606">
                              <w:marLeft w:val="0"/>
                              <w:marRight w:val="0"/>
                              <w:marTop w:val="0"/>
                              <w:marBottom w:val="0"/>
                              <w:divBdr>
                                <w:top w:val="none" w:sz="0" w:space="0" w:color="auto"/>
                                <w:left w:val="none" w:sz="0" w:space="0" w:color="auto"/>
                                <w:bottom w:val="none" w:sz="0" w:space="0" w:color="auto"/>
                                <w:right w:val="none" w:sz="0" w:space="0" w:color="auto"/>
                              </w:divBdr>
                              <w:divsChild>
                                <w:div w:id="1522820002">
                                  <w:marLeft w:val="0"/>
                                  <w:marRight w:val="0"/>
                                  <w:marTop w:val="0"/>
                                  <w:marBottom w:val="0"/>
                                  <w:divBdr>
                                    <w:top w:val="none" w:sz="0" w:space="0" w:color="auto"/>
                                    <w:left w:val="none" w:sz="0" w:space="0" w:color="auto"/>
                                    <w:bottom w:val="none" w:sz="0" w:space="0" w:color="auto"/>
                                    <w:right w:val="none" w:sz="0" w:space="0" w:color="auto"/>
                                  </w:divBdr>
                                  <w:divsChild>
                                    <w:div w:id="695429256">
                                      <w:marLeft w:val="0"/>
                                      <w:marRight w:val="0"/>
                                      <w:marTop w:val="0"/>
                                      <w:marBottom w:val="0"/>
                                      <w:divBdr>
                                        <w:top w:val="none" w:sz="0" w:space="0" w:color="auto"/>
                                        <w:left w:val="none" w:sz="0" w:space="0" w:color="auto"/>
                                        <w:bottom w:val="none" w:sz="0" w:space="0" w:color="auto"/>
                                        <w:right w:val="none" w:sz="0" w:space="0" w:color="auto"/>
                                      </w:divBdr>
                                      <w:divsChild>
                                        <w:div w:id="684866482">
                                          <w:marLeft w:val="0"/>
                                          <w:marRight w:val="0"/>
                                          <w:marTop w:val="0"/>
                                          <w:marBottom w:val="0"/>
                                          <w:divBdr>
                                            <w:top w:val="none" w:sz="0" w:space="0" w:color="auto"/>
                                            <w:left w:val="none" w:sz="0" w:space="0" w:color="auto"/>
                                            <w:bottom w:val="none" w:sz="0" w:space="0" w:color="auto"/>
                                            <w:right w:val="none" w:sz="0" w:space="0" w:color="auto"/>
                                          </w:divBdr>
                                          <w:divsChild>
                                            <w:div w:id="1594825758">
                                              <w:marLeft w:val="0"/>
                                              <w:marRight w:val="0"/>
                                              <w:marTop w:val="0"/>
                                              <w:marBottom w:val="0"/>
                                              <w:divBdr>
                                                <w:top w:val="none" w:sz="0" w:space="0" w:color="auto"/>
                                                <w:left w:val="none" w:sz="0" w:space="0" w:color="auto"/>
                                                <w:bottom w:val="none" w:sz="0" w:space="0" w:color="auto"/>
                                                <w:right w:val="none" w:sz="0" w:space="0" w:color="auto"/>
                                              </w:divBdr>
                                              <w:divsChild>
                                                <w:div w:id="1227297632">
                                                  <w:marLeft w:val="0"/>
                                                  <w:marRight w:val="0"/>
                                                  <w:marTop w:val="0"/>
                                                  <w:marBottom w:val="0"/>
                                                  <w:divBdr>
                                                    <w:top w:val="none" w:sz="0" w:space="0" w:color="auto"/>
                                                    <w:left w:val="none" w:sz="0" w:space="0" w:color="auto"/>
                                                    <w:bottom w:val="none" w:sz="0" w:space="0" w:color="auto"/>
                                                    <w:right w:val="none" w:sz="0" w:space="0" w:color="auto"/>
                                                  </w:divBdr>
                                                  <w:divsChild>
                                                    <w:div w:id="43724592">
                                                      <w:marLeft w:val="0"/>
                                                      <w:marRight w:val="0"/>
                                                      <w:marTop w:val="0"/>
                                                      <w:marBottom w:val="0"/>
                                                      <w:divBdr>
                                                        <w:top w:val="none" w:sz="0" w:space="0" w:color="auto"/>
                                                        <w:left w:val="none" w:sz="0" w:space="0" w:color="auto"/>
                                                        <w:bottom w:val="none" w:sz="0" w:space="0" w:color="auto"/>
                                                        <w:right w:val="none" w:sz="0" w:space="0" w:color="auto"/>
                                                      </w:divBdr>
                                                      <w:divsChild>
                                                        <w:div w:id="69424228">
                                                          <w:marLeft w:val="0"/>
                                                          <w:marRight w:val="0"/>
                                                          <w:marTop w:val="83"/>
                                                          <w:marBottom w:val="0"/>
                                                          <w:divBdr>
                                                            <w:top w:val="none" w:sz="0" w:space="0" w:color="auto"/>
                                                            <w:left w:val="none" w:sz="0" w:space="0" w:color="auto"/>
                                                            <w:bottom w:val="none" w:sz="0" w:space="0" w:color="auto"/>
                                                            <w:right w:val="none" w:sz="0" w:space="0" w:color="auto"/>
                                                          </w:divBdr>
                                                        </w:div>
                                                        <w:div w:id="403645617">
                                                          <w:marLeft w:val="0"/>
                                                          <w:marRight w:val="0"/>
                                                          <w:marTop w:val="83"/>
                                                          <w:marBottom w:val="0"/>
                                                          <w:divBdr>
                                                            <w:top w:val="none" w:sz="0" w:space="0" w:color="auto"/>
                                                            <w:left w:val="none" w:sz="0" w:space="0" w:color="auto"/>
                                                            <w:bottom w:val="none" w:sz="0" w:space="0" w:color="auto"/>
                                                            <w:right w:val="none" w:sz="0" w:space="0" w:color="auto"/>
                                                          </w:divBdr>
                                                        </w:div>
                                                        <w:div w:id="582228170">
                                                          <w:marLeft w:val="0"/>
                                                          <w:marRight w:val="0"/>
                                                          <w:marTop w:val="83"/>
                                                          <w:marBottom w:val="0"/>
                                                          <w:divBdr>
                                                            <w:top w:val="none" w:sz="0" w:space="0" w:color="auto"/>
                                                            <w:left w:val="none" w:sz="0" w:space="0" w:color="auto"/>
                                                            <w:bottom w:val="none" w:sz="0" w:space="0" w:color="auto"/>
                                                            <w:right w:val="none" w:sz="0" w:space="0" w:color="auto"/>
                                                          </w:divBdr>
                                                          <w:divsChild>
                                                            <w:div w:id="16349311">
                                                              <w:marLeft w:val="0"/>
                                                              <w:marRight w:val="0"/>
                                                              <w:marTop w:val="83"/>
                                                              <w:marBottom w:val="0"/>
                                                              <w:divBdr>
                                                                <w:top w:val="none" w:sz="0" w:space="0" w:color="auto"/>
                                                                <w:left w:val="none" w:sz="0" w:space="0" w:color="auto"/>
                                                                <w:bottom w:val="none" w:sz="0" w:space="0" w:color="auto"/>
                                                                <w:right w:val="none" w:sz="0" w:space="0" w:color="auto"/>
                                                              </w:divBdr>
                                                            </w:div>
                                                            <w:div w:id="1467357917">
                                                              <w:marLeft w:val="0"/>
                                                              <w:marRight w:val="0"/>
                                                              <w:marTop w:val="83"/>
                                                              <w:marBottom w:val="0"/>
                                                              <w:divBdr>
                                                                <w:top w:val="none" w:sz="0" w:space="0" w:color="auto"/>
                                                                <w:left w:val="none" w:sz="0" w:space="0" w:color="auto"/>
                                                                <w:bottom w:val="none" w:sz="0" w:space="0" w:color="auto"/>
                                                                <w:right w:val="none" w:sz="0" w:space="0" w:color="auto"/>
                                                              </w:divBdr>
                                                            </w:div>
                                                            <w:div w:id="792557143">
                                                              <w:marLeft w:val="0"/>
                                                              <w:marRight w:val="0"/>
                                                              <w:marTop w:val="83"/>
                                                              <w:marBottom w:val="0"/>
                                                              <w:divBdr>
                                                                <w:top w:val="none" w:sz="0" w:space="0" w:color="auto"/>
                                                                <w:left w:val="none" w:sz="0" w:space="0" w:color="auto"/>
                                                                <w:bottom w:val="none" w:sz="0" w:space="0" w:color="auto"/>
                                                                <w:right w:val="none" w:sz="0" w:space="0" w:color="auto"/>
                                                              </w:divBdr>
                                                            </w:div>
                                                            <w:div w:id="58707950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9993671">
      <w:bodyDiv w:val="1"/>
      <w:marLeft w:val="0"/>
      <w:marRight w:val="0"/>
      <w:marTop w:val="0"/>
      <w:marBottom w:val="0"/>
      <w:divBdr>
        <w:top w:val="none" w:sz="0" w:space="0" w:color="auto"/>
        <w:left w:val="none" w:sz="0" w:space="0" w:color="auto"/>
        <w:bottom w:val="none" w:sz="0" w:space="0" w:color="auto"/>
        <w:right w:val="none" w:sz="0" w:space="0" w:color="auto"/>
      </w:divBdr>
      <w:divsChild>
        <w:div w:id="1520509442">
          <w:marLeft w:val="0"/>
          <w:marRight w:val="0"/>
          <w:marTop w:val="0"/>
          <w:marBottom w:val="0"/>
          <w:divBdr>
            <w:top w:val="none" w:sz="0" w:space="0" w:color="auto"/>
            <w:left w:val="none" w:sz="0" w:space="0" w:color="auto"/>
            <w:bottom w:val="none" w:sz="0" w:space="0" w:color="auto"/>
            <w:right w:val="none" w:sz="0" w:space="0" w:color="auto"/>
          </w:divBdr>
          <w:divsChild>
            <w:div w:id="1743064387">
              <w:marLeft w:val="0"/>
              <w:marRight w:val="0"/>
              <w:marTop w:val="0"/>
              <w:marBottom w:val="0"/>
              <w:divBdr>
                <w:top w:val="none" w:sz="0" w:space="0" w:color="auto"/>
                <w:left w:val="none" w:sz="0" w:space="0" w:color="auto"/>
                <w:bottom w:val="none" w:sz="0" w:space="0" w:color="auto"/>
                <w:right w:val="none" w:sz="0" w:space="0" w:color="auto"/>
              </w:divBdr>
              <w:divsChild>
                <w:div w:id="806626156">
                  <w:marLeft w:val="-225"/>
                  <w:marRight w:val="-225"/>
                  <w:marTop w:val="0"/>
                  <w:marBottom w:val="0"/>
                  <w:divBdr>
                    <w:top w:val="none" w:sz="0" w:space="0" w:color="auto"/>
                    <w:left w:val="none" w:sz="0" w:space="0" w:color="auto"/>
                    <w:bottom w:val="none" w:sz="0" w:space="0" w:color="auto"/>
                    <w:right w:val="none" w:sz="0" w:space="0" w:color="auto"/>
                  </w:divBdr>
                  <w:divsChild>
                    <w:div w:id="817573989">
                      <w:marLeft w:val="0"/>
                      <w:marRight w:val="0"/>
                      <w:marTop w:val="0"/>
                      <w:marBottom w:val="0"/>
                      <w:divBdr>
                        <w:top w:val="none" w:sz="0" w:space="0" w:color="auto"/>
                        <w:left w:val="none" w:sz="0" w:space="0" w:color="auto"/>
                        <w:bottom w:val="none" w:sz="0" w:space="0" w:color="auto"/>
                        <w:right w:val="none" w:sz="0" w:space="0" w:color="auto"/>
                      </w:divBdr>
                      <w:divsChild>
                        <w:div w:id="704452374">
                          <w:marLeft w:val="0"/>
                          <w:marRight w:val="0"/>
                          <w:marTop w:val="0"/>
                          <w:marBottom w:val="0"/>
                          <w:divBdr>
                            <w:top w:val="none" w:sz="0" w:space="0" w:color="auto"/>
                            <w:left w:val="none" w:sz="0" w:space="0" w:color="auto"/>
                            <w:bottom w:val="none" w:sz="0" w:space="0" w:color="auto"/>
                            <w:right w:val="none" w:sz="0" w:space="0" w:color="auto"/>
                          </w:divBdr>
                          <w:divsChild>
                            <w:div w:id="179440815">
                              <w:marLeft w:val="-225"/>
                              <w:marRight w:val="-225"/>
                              <w:marTop w:val="0"/>
                              <w:marBottom w:val="0"/>
                              <w:divBdr>
                                <w:top w:val="none" w:sz="0" w:space="0" w:color="auto"/>
                                <w:left w:val="none" w:sz="0" w:space="0" w:color="auto"/>
                                <w:bottom w:val="none" w:sz="0" w:space="0" w:color="auto"/>
                                <w:right w:val="none" w:sz="0" w:space="0" w:color="auto"/>
                              </w:divBdr>
                              <w:divsChild>
                                <w:div w:id="1652906321">
                                  <w:marLeft w:val="0"/>
                                  <w:marRight w:val="0"/>
                                  <w:marTop w:val="0"/>
                                  <w:marBottom w:val="0"/>
                                  <w:divBdr>
                                    <w:top w:val="none" w:sz="0" w:space="0" w:color="auto"/>
                                    <w:left w:val="none" w:sz="0" w:space="0" w:color="auto"/>
                                    <w:bottom w:val="none" w:sz="0" w:space="0" w:color="auto"/>
                                    <w:right w:val="none" w:sz="0" w:space="0" w:color="auto"/>
                                  </w:divBdr>
                                  <w:divsChild>
                                    <w:div w:id="2032487365">
                                      <w:marLeft w:val="0"/>
                                      <w:marRight w:val="0"/>
                                      <w:marTop w:val="0"/>
                                      <w:marBottom w:val="0"/>
                                      <w:divBdr>
                                        <w:top w:val="none" w:sz="0" w:space="0" w:color="auto"/>
                                        <w:left w:val="none" w:sz="0" w:space="0" w:color="auto"/>
                                        <w:bottom w:val="none" w:sz="0" w:space="0" w:color="auto"/>
                                        <w:right w:val="none" w:sz="0" w:space="0" w:color="auto"/>
                                      </w:divBdr>
                                      <w:divsChild>
                                        <w:div w:id="1541284512">
                                          <w:marLeft w:val="0"/>
                                          <w:marRight w:val="0"/>
                                          <w:marTop w:val="0"/>
                                          <w:marBottom w:val="0"/>
                                          <w:divBdr>
                                            <w:top w:val="none" w:sz="0" w:space="0" w:color="auto"/>
                                            <w:left w:val="none" w:sz="0" w:space="0" w:color="auto"/>
                                            <w:bottom w:val="none" w:sz="0" w:space="0" w:color="auto"/>
                                            <w:right w:val="none" w:sz="0" w:space="0" w:color="auto"/>
                                          </w:divBdr>
                                          <w:divsChild>
                                            <w:div w:id="170611396">
                                              <w:marLeft w:val="0"/>
                                              <w:marRight w:val="0"/>
                                              <w:marTop w:val="0"/>
                                              <w:marBottom w:val="0"/>
                                              <w:divBdr>
                                                <w:top w:val="none" w:sz="0" w:space="0" w:color="auto"/>
                                                <w:left w:val="none" w:sz="0" w:space="0" w:color="auto"/>
                                                <w:bottom w:val="none" w:sz="0" w:space="0" w:color="auto"/>
                                                <w:right w:val="none" w:sz="0" w:space="0" w:color="auto"/>
                                              </w:divBdr>
                                              <w:divsChild>
                                                <w:div w:id="1177958311">
                                                  <w:marLeft w:val="0"/>
                                                  <w:marRight w:val="0"/>
                                                  <w:marTop w:val="0"/>
                                                  <w:marBottom w:val="0"/>
                                                  <w:divBdr>
                                                    <w:top w:val="none" w:sz="0" w:space="0" w:color="auto"/>
                                                    <w:left w:val="none" w:sz="0" w:space="0" w:color="auto"/>
                                                    <w:bottom w:val="none" w:sz="0" w:space="0" w:color="auto"/>
                                                    <w:right w:val="none" w:sz="0" w:space="0" w:color="auto"/>
                                                  </w:divBdr>
                                                  <w:divsChild>
                                                    <w:div w:id="151719211">
                                                      <w:marLeft w:val="0"/>
                                                      <w:marRight w:val="0"/>
                                                      <w:marTop w:val="0"/>
                                                      <w:marBottom w:val="0"/>
                                                      <w:divBdr>
                                                        <w:top w:val="none" w:sz="0" w:space="0" w:color="auto"/>
                                                        <w:left w:val="none" w:sz="0" w:space="0" w:color="auto"/>
                                                        <w:bottom w:val="none" w:sz="0" w:space="0" w:color="auto"/>
                                                        <w:right w:val="none" w:sz="0" w:space="0" w:color="auto"/>
                                                      </w:divBdr>
                                                      <w:divsChild>
                                                        <w:div w:id="2816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51964545">
      <w:bodyDiv w:val="1"/>
      <w:marLeft w:val="0"/>
      <w:marRight w:val="0"/>
      <w:marTop w:val="0"/>
      <w:marBottom w:val="0"/>
      <w:divBdr>
        <w:top w:val="none" w:sz="0" w:space="0" w:color="auto"/>
        <w:left w:val="none" w:sz="0" w:space="0" w:color="auto"/>
        <w:bottom w:val="none" w:sz="0" w:space="0" w:color="auto"/>
        <w:right w:val="none" w:sz="0" w:space="0" w:color="auto"/>
      </w:divBdr>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 w:id="1865366903">
      <w:bodyDiv w:val="1"/>
      <w:marLeft w:val="0"/>
      <w:marRight w:val="0"/>
      <w:marTop w:val="0"/>
      <w:marBottom w:val="0"/>
      <w:divBdr>
        <w:top w:val="none" w:sz="0" w:space="0" w:color="auto"/>
        <w:left w:val="none" w:sz="0" w:space="0" w:color="auto"/>
        <w:bottom w:val="none" w:sz="0" w:space="0" w:color="auto"/>
        <w:right w:val="none" w:sz="0" w:space="0" w:color="auto"/>
      </w:divBdr>
      <w:divsChild>
        <w:div w:id="179322911">
          <w:marLeft w:val="0"/>
          <w:marRight w:val="0"/>
          <w:marTop w:val="0"/>
          <w:marBottom w:val="0"/>
          <w:divBdr>
            <w:top w:val="none" w:sz="0" w:space="0" w:color="auto"/>
            <w:left w:val="none" w:sz="0" w:space="0" w:color="auto"/>
            <w:bottom w:val="none" w:sz="0" w:space="0" w:color="auto"/>
            <w:right w:val="none" w:sz="0" w:space="0" w:color="auto"/>
          </w:divBdr>
          <w:divsChild>
            <w:div w:id="1628857054">
              <w:marLeft w:val="0"/>
              <w:marRight w:val="0"/>
              <w:marTop w:val="0"/>
              <w:marBottom w:val="0"/>
              <w:divBdr>
                <w:top w:val="none" w:sz="0" w:space="0" w:color="auto"/>
                <w:left w:val="none" w:sz="0" w:space="0" w:color="auto"/>
                <w:bottom w:val="none" w:sz="0" w:space="0" w:color="auto"/>
                <w:right w:val="none" w:sz="0" w:space="0" w:color="auto"/>
              </w:divBdr>
              <w:divsChild>
                <w:div w:id="1232739262">
                  <w:marLeft w:val="-225"/>
                  <w:marRight w:val="-225"/>
                  <w:marTop w:val="0"/>
                  <w:marBottom w:val="0"/>
                  <w:divBdr>
                    <w:top w:val="none" w:sz="0" w:space="0" w:color="auto"/>
                    <w:left w:val="none" w:sz="0" w:space="0" w:color="auto"/>
                    <w:bottom w:val="none" w:sz="0" w:space="0" w:color="auto"/>
                    <w:right w:val="none" w:sz="0" w:space="0" w:color="auto"/>
                  </w:divBdr>
                  <w:divsChild>
                    <w:div w:id="1077284877">
                      <w:marLeft w:val="0"/>
                      <w:marRight w:val="0"/>
                      <w:marTop w:val="0"/>
                      <w:marBottom w:val="0"/>
                      <w:divBdr>
                        <w:top w:val="none" w:sz="0" w:space="0" w:color="auto"/>
                        <w:left w:val="none" w:sz="0" w:space="0" w:color="auto"/>
                        <w:bottom w:val="none" w:sz="0" w:space="0" w:color="auto"/>
                        <w:right w:val="none" w:sz="0" w:space="0" w:color="auto"/>
                      </w:divBdr>
                      <w:divsChild>
                        <w:div w:id="867794411">
                          <w:marLeft w:val="0"/>
                          <w:marRight w:val="0"/>
                          <w:marTop w:val="0"/>
                          <w:marBottom w:val="0"/>
                          <w:divBdr>
                            <w:top w:val="none" w:sz="0" w:space="0" w:color="auto"/>
                            <w:left w:val="none" w:sz="0" w:space="0" w:color="auto"/>
                            <w:bottom w:val="none" w:sz="0" w:space="0" w:color="auto"/>
                            <w:right w:val="none" w:sz="0" w:space="0" w:color="auto"/>
                          </w:divBdr>
                          <w:divsChild>
                            <w:div w:id="1947154537">
                              <w:marLeft w:val="-225"/>
                              <w:marRight w:val="-225"/>
                              <w:marTop w:val="0"/>
                              <w:marBottom w:val="0"/>
                              <w:divBdr>
                                <w:top w:val="none" w:sz="0" w:space="0" w:color="auto"/>
                                <w:left w:val="none" w:sz="0" w:space="0" w:color="auto"/>
                                <w:bottom w:val="none" w:sz="0" w:space="0" w:color="auto"/>
                                <w:right w:val="none" w:sz="0" w:space="0" w:color="auto"/>
                              </w:divBdr>
                              <w:divsChild>
                                <w:div w:id="55011011">
                                  <w:marLeft w:val="0"/>
                                  <w:marRight w:val="0"/>
                                  <w:marTop w:val="0"/>
                                  <w:marBottom w:val="0"/>
                                  <w:divBdr>
                                    <w:top w:val="none" w:sz="0" w:space="0" w:color="auto"/>
                                    <w:left w:val="none" w:sz="0" w:space="0" w:color="auto"/>
                                    <w:bottom w:val="none" w:sz="0" w:space="0" w:color="auto"/>
                                    <w:right w:val="none" w:sz="0" w:space="0" w:color="auto"/>
                                  </w:divBdr>
                                  <w:divsChild>
                                    <w:div w:id="1788425383">
                                      <w:marLeft w:val="0"/>
                                      <w:marRight w:val="0"/>
                                      <w:marTop w:val="0"/>
                                      <w:marBottom w:val="0"/>
                                      <w:divBdr>
                                        <w:top w:val="none" w:sz="0" w:space="0" w:color="auto"/>
                                        <w:left w:val="none" w:sz="0" w:space="0" w:color="auto"/>
                                        <w:bottom w:val="none" w:sz="0" w:space="0" w:color="auto"/>
                                        <w:right w:val="none" w:sz="0" w:space="0" w:color="auto"/>
                                      </w:divBdr>
                                      <w:divsChild>
                                        <w:div w:id="66851397">
                                          <w:marLeft w:val="0"/>
                                          <w:marRight w:val="0"/>
                                          <w:marTop w:val="0"/>
                                          <w:marBottom w:val="0"/>
                                          <w:divBdr>
                                            <w:top w:val="none" w:sz="0" w:space="0" w:color="auto"/>
                                            <w:left w:val="none" w:sz="0" w:space="0" w:color="auto"/>
                                            <w:bottom w:val="none" w:sz="0" w:space="0" w:color="auto"/>
                                            <w:right w:val="none" w:sz="0" w:space="0" w:color="auto"/>
                                          </w:divBdr>
                                          <w:divsChild>
                                            <w:div w:id="414207869">
                                              <w:marLeft w:val="0"/>
                                              <w:marRight w:val="0"/>
                                              <w:marTop w:val="0"/>
                                              <w:marBottom w:val="0"/>
                                              <w:divBdr>
                                                <w:top w:val="none" w:sz="0" w:space="0" w:color="auto"/>
                                                <w:left w:val="none" w:sz="0" w:space="0" w:color="auto"/>
                                                <w:bottom w:val="none" w:sz="0" w:space="0" w:color="auto"/>
                                                <w:right w:val="none" w:sz="0" w:space="0" w:color="auto"/>
                                              </w:divBdr>
                                              <w:divsChild>
                                                <w:div w:id="240483651">
                                                  <w:marLeft w:val="0"/>
                                                  <w:marRight w:val="0"/>
                                                  <w:marTop w:val="0"/>
                                                  <w:marBottom w:val="0"/>
                                                  <w:divBdr>
                                                    <w:top w:val="none" w:sz="0" w:space="0" w:color="auto"/>
                                                    <w:left w:val="none" w:sz="0" w:space="0" w:color="auto"/>
                                                    <w:bottom w:val="none" w:sz="0" w:space="0" w:color="auto"/>
                                                    <w:right w:val="none" w:sz="0" w:space="0" w:color="auto"/>
                                                  </w:divBdr>
                                                  <w:divsChild>
                                                    <w:div w:id="10799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86213">
      <w:bodyDiv w:val="1"/>
      <w:marLeft w:val="0"/>
      <w:marRight w:val="0"/>
      <w:marTop w:val="0"/>
      <w:marBottom w:val="0"/>
      <w:divBdr>
        <w:top w:val="none" w:sz="0" w:space="0" w:color="auto"/>
        <w:left w:val="none" w:sz="0" w:space="0" w:color="auto"/>
        <w:bottom w:val="none" w:sz="0" w:space="0" w:color="auto"/>
        <w:right w:val="none" w:sz="0" w:space="0" w:color="auto"/>
      </w:divBdr>
      <w:divsChild>
        <w:div w:id="1567691700">
          <w:marLeft w:val="0"/>
          <w:marRight w:val="0"/>
          <w:marTop w:val="0"/>
          <w:marBottom w:val="0"/>
          <w:divBdr>
            <w:top w:val="none" w:sz="0" w:space="0" w:color="auto"/>
            <w:left w:val="none" w:sz="0" w:space="0" w:color="auto"/>
            <w:bottom w:val="none" w:sz="0" w:space="0" w:color="auto"/>
            <w:right w:val="none" w:sz="0" w:space="0" w:color="auto"/>
          </w:divBdr>
          <w:divsChild>
            <w:div w:id="1948612108">
              <w:marLeft w:val="0"/>
              <w:marRight w:val="0"/>
              <w:marTop w:val="0"/>
              <w:marBottom w:val="0"/>
              <w:divBdr>
                <w:top w:val="none" w:sz="0" w:space="0" w:color="auto"/>
                <w:left w:val="none" w:sz="0" w:space="0" w:color="auto"/>
                <w:bottom w:val="none" w:sz="0" w:space="0" w:color="auto"/>
                <w:right w:val="none" w:sz="0" w:space="0" w:color="auto"/>
              </w:divBdr>
              <w:divsChild>
                <w:div w:id="1191071626">
                  <w:marLeft w:val="-225"/>
                  <w:marRight w:val="-225"/>
                  <w:marTop w:val="0"/>
                  <w:marBottom w:val="0"/>
                  <w:divBdr>
                    <w:top w:val="none" w:sz="0" w:space="0" w:color="auto"/>
                    <w:left w:val="none" w:sz="0" w:space="0" w:color="auto"/>
                    <w:bottom w:val="none" w:sz="0" w:space="0" w:color="auto"/>
                    <w:right w:val="none" w:sz="0" w:space="0" w:color="auto"/>
                  </w:divBdr>
                  <w:divsChild>
                    <w:div w:id="849568627">
                      <w:marLeft w:val="0"/>
                      <w:marRight w:val="0"/>
                      <w:marTop w:val="0"/>
                      <w:marBottom w:val="0"/>
                      <w:divBdr>
                        <w:top w:val="none" w:sz="0" w:space="0" w:color="auto"/>
                        <w:left w:val="none" w:sz="0" w:space="0" w:color="auto"/>
                        <w:bottom w:val="none" w:sz="0" w:space="0" w:color="auto"/>
                        <w:right w:val="none" w:sz="0" w:space="0" w:color="auto"/>
                      </w:divBdr>
                      <w:divsChild>
                        <w:div w:id="859659839">
                          <w:marLeft w:val="0"/>
                          <w:marRight w:val="0"/>
                          <w:marTop w:val="0"/>
                          <w:marBottom w:val="0"/>
                          <w:divBdr>
                            <w:top w:val="none" w:sz="0" w:space="0" w:color="auto"/>
                            <w:left w:val="none" w:sz="0" w:space="0" w:color="auto"/>
                            <w:bottom w:val="none" w:sz="0" w:space="0" w:color="auto"/>
                            <w:right w:val="none" w:sz="0" w:space="0" w:color="auto"/>
                          </w:divBdr>
                          <w:divsChild>
                            <w:div w:id="1539774887">
                              <w:marLeft w:val="-225"/>
                              <w:marRight w:val="-225"/>
                              <w:marTop w:val="0"/>
                              <w:marBottom w:val="0"/>
                              <w:divBdr>
                                <w:top w:val="none" w:sz="0" w:space="0" w:color="auto"/>
                                <w:left w:val="none" w:sz="0" w:space="0" w:color="auto"/>
                                <w:bottom w:val="none" w:sz="0" w:space="0" w:color="auto"/>
                                <w:right w:val="none" w:sz="0" w:space="0" w:color="auto"/>
                              </w:divBdr>
                              <w:divsChild>
                                <w:div w:id="970206187">
                                  <w:marLeft w:val="0"/>
                                  <w:marRight w:val="0"/>
                                  <w:marTop w:val="0"/>
                                  <w:marBottom w:val="0"/>
                                  <w:divBdr>
                                    <w:top w:val="none" w:sz="0" w:space="0" w:color="auto"/>
                                    <w:left w:val="none" w:sz="0" w:space="0" w:color="auto"/>
                                    <w:bottom w:val="none" w:sz="0" w:space="0" w:color="auto"/>
                                    <w:right w:val="none" w:sz="0" w:space="0" w:color="auto"/>
                                  </w:divBdr>
                                  <w:divsChild>
                                    <w:div w:id="903417014">
                                      <w:marLeft w:val="0"/>
                                      <w:marRight w:val="0"/>
                                      <w:marTop w:val="0"/>
                                      <w:marBottom w:val="0"/>
                                      <w:divBdr>
                                        <w:top w:val="none" w:sz="0" w:space="0" w:color="auto"/>
                                        <w:left w:val="none" w:sz="0" w:space="0" w:color="auto"/>
                                        <w:bottom w:val="none" w:sz="0" w:space="0" w:color="auto"/>
                                        <w:right w:val="none" w:sz="0" w:space="0" w:color="auto"/>
                                      </w:divBdr>
                                      <w:divsChild>
                                        <w:div w:id="1034498026">
                                          <w:marLeft w:val="0"/>
                                          <w:marRight w:val="0"/>
                                          <w:marTop w:val="0"/>
                                          <w:marBottom w:val="0"/>
                                          <w:divBdr>
                                            <w:top w:val="none" w:sz="0" w:space="0" w:color="auto"/>
                                            <w:left w:val="none" w:sz="0" w:space="0" w:color="auto"/>
                                            <w:bottom w:val="none" w:sz="0" w:space="0" w:color="auto"/>
                                            <w:right w:val="none" w:sz="0" w:space="0" w:color="auto"/>
                                          </w:divBdr>
                                          <w:divsChild>
                                            <w:div w:id="1483692727">
                                              <w:marLeft w:val="0"/>
                                              <w:marRight w:val="0"/>
                                              <w:marTop w:val="0"/>
                                              <w:marBottom w:val="0"/>
                                              <w:divBdr>
                                                <w:top w:val="none" w:sz="0" w:space="0" w:color="auto"/>
                                                <w:left w:val="none" w:sz="0" w:space="0" w:color="auto"/>
                                                <w:bottom w:val="none" w:sz="0" w:space="0" w:color="auto"/>
                                                <w:right w:val="none" w:sz="0" w:space="0" w:color="auto"/>
                                              </w:divBdr>
                                              <w:divsChild>
                                                <w:div w:id="1420522406">
                                                  <w:marLeft w:val="0"/>
                                                  <w:marRight w:val="0"/>
                                                  <w:marTop w:val="0"/>
                                                  <w:marBottom w:val="0"/>
                                                  <w:divBdr>
                                                    <w:top w:val="none" w:sz="0" w:space="0" w:color="auto"/>
                                                    <w:left w:val="none" w:sz="0" w:space="0" w:color="auto"/>
                                                    <w:bottom w:val="none" w:sz="0" w:space="0" w:color="auto"/>
                                                    <w:right w:val="none" w:sz="0" w:space="0" w:color="auto"/>
                                                  </w:divBdr>
                                                  <w:divsChild>
                                                    <w:div w:id="1416121972">
                                                      <w:marLeft w:val="0"/>
                                                      <w:marRight w:val="0"/>
                                                      <w:marTop w:val="0"/>
                                                      <w:marBottom w:val="0"/>
                                                      <w:divBdr>
                                                        <w:top w:val="none" w:sz="0" w:space="0" w:color="auto"/>
                                                        <w:left w:val="none" w:sz="0" w:space="0" w:color="auto"/>
                                                        <w:bottom w:val="none" w:sz="0" w:space="0" w:color="auto"/>
                                                        <w:right w:val="none" w:sz="0" w:space="0" w:color="auto"/>
                                                      </w:divBdr>
                                                      <w:divsChild>
                                                        <w:div w:id="1430007808">
                                                          <w:marLeft w:val="0"/>
                                                          <w:marRight w:val="0"/>
                                                          <w:marTop w:val="0"/>
                                                          <w:marBottom w:val="0"/>
                                                          <w:divBdr>
                                                            <w:top w:val="none" w:sz="0" w:space="0" w:color="auto"/>
                                                            <w:left w:val="none" w:sz="0" w:space="0" w:color="auto"/>
                                                            <w:bottom w:val="none" w:sz="0" w:space="0" w:color="auto"/>
                                                            <w:right w:val="none" w:sz="0" w:space="0" w:color="auto"/>
                                                          </w:divBdr>
                                                        </w:div>
                                                        <w:div w:id="20945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areerforce.org.n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areerforce.org.nz/pay-equity/equivalencies" TargetMode="External"/><Relationship Id="rId4" Type="http://schemas.microsoft.com/office/2007/relationships/stylesWithEffects" Target="stylesWithEffects.xml"/><Relationship Id="rId9" Type="http://schemas.openxmlformats.org/officeDocument/2006/relationships/hyperlink" Target="http://www.legislation.govt.nz/act/public/2000/0024/latest/DLM5918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C0997-976A-46DE-8A49-8402D611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Employer factsheet Care and Support Workers (Pay Equity) Settlement Agreement - May 2017</vt:lpstr>
    </vt:vector>
  </TitlesOfParts>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factsheet Care and Support Workers (Pay Equity) Settlement Agreement - May 2017</dc:title>
  <dc:creator/>
  <cp:lastModifiedBy/>
  <cp:revision>1</cp:revision>
  <dcterms:created xsi:type="dcterms:W3CDTF">2019-01-16T04:55:00Z</dcterms:created>
  <dcterms:modified xsi:type="dcterms:W3CDTF">2019-01-16T04:55:00Z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A11114092</vt:lpwstr>
  </property>
  <property fmtid="{D5CDD505-2E9C-101B-9397-08002B2CF9AE}" pid="4" name="Objective-Title">
    <vt:lpwstr>Disability care and support worker fact sheet</vt:lpwstr>
  </property>
  <property fmtid="{D5CDD505-2E9C-101B-9397-08002B2CF9AE}" pid="5" name="Objective-Comment">
    <vt:lpwstr/>
  </property>
  <property fmtid="{D5CDD505-2E9C-101B-9397-08002B2CF9AE}" pid="6" name="Objective-CreationStamp">
    <vt:filetime>2019-01-16T04:55:37Z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2019-01-16T04:57:15Z</vt:filetime>
  </property>
  <property fmtid="{D5CDD505-2E9C-101B-9397-08002B2CF9AE}" pid="11" name="Objective-Owner">
    <vt:lpwstr>Emi Piuila-Afitu</vt:lpwstr>
  </property>
  <property fmtid="{D5CDD505-2E9C-101B-9397-08002B2CF9AE}" pid="12" name="Objective-Path">
    <vt:lpwstr>Global Folder:MSD INFORMATION REPOSITORY:Service Delivery:Work and Income:Account Management:Contracting for Services:Vocational Services:Service Development:Pay Equity:Disability Care and Support Settlement:Communications:20190116 Webpage Fact Sheets:</vt:lpwstr>
  </property>
  <property fmtid="{D5CDD505-2E9C-101B-9397-08002B2CF9AE}" pid="13" name="Objective-Parent">
    <vt:lpwstr>20190116 Webpage Fact Sheets</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